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double" w:color="auto" w:sz="4" w:space="0"/>
        </w:pBdr>
        <w:rPr>
          <w:rFonts w:hint="eastAsia" w:ascii="微软雅黑" w:hAnsi="微软雅黑" w:eastAsia="微软雅黑" w:cs="微软雅黑"/>
          <w:i w:val="0"/>
          <w:caps w:val="0"/>
          <w:color w:val="000000"/>
          <w:spacing w:val="0"/>
          <w:sz w:val="20"/>
          <w:szCs w:val="20"/>
          <w:shd w:val="clear" w:fill="FFFFFF"/>
        </w:rPr>
      </w:pPr>
      <w:r>
        <w:rPr>
          <w:rFonts w:ascii="微软雅黑" w:hAnsi="微软雅黑" w:eastAsia="微软雅黑" w:cs="微软雅黑"/>
          <w:i w:val="0"/>
          <w:caps w:val="0"/>
          <w:color w:val="000000"/>
          <w:spacing w:val="0"/>
          <w:sz w:val="20"/>
          <w:szCs w:val="20"/>
          <w:shd w:val="clear" w:fill="FFFFFF"/>
        </w:rPr>
        <w:t>期刊论文：1.Chen,XiangfengandAnyuWang.2012.Tradecreditcontractwithlimitedliabilityinthesupplychainwithbudgetconstraints.</w:t>
      </w:r>
      <w:r>
        <w:rPr>
          <w:rFonts w:hint="eastAsia" w:ascii="微软雅黑" w:hAnsi="微软雅黑" w:eastAsia="微软雅黑" w:cs="微软雅黑"/>
          <w:i/>
          <w:caps w:val="0"/>
          <w:color w:val="000000"/>
          <w:spacing w:val="0"/>
          <w:sz w:val="20"/>
          <w:szCs w:val="20"/>
          <w:shd w:val="clear" w:fill="FFFFFF"/>
        </w:rPr>
        <w:t>AnnalsofOperationsResearch</w:t>
      </w:r>
      <w:r>
        <w:rPr>
          <w:rFonts w:hint="eastAsia" w:ascii="微软雅黑" w:hAnsi="微软雅黑" w:eastAsia="微软雅黑" w:cs="微软雅黑"/>
          <w:i w:val="0"/>
          <w:caps w:val="0"/>
          <w:color w:val="000000"/>
          <w:spacing w:val="0"/>
          <w:sz w:val="20"/>
          <w:szCs w:val="20"/>
          <w:shd w:val="clear" w:fill="FFFFFF"/>
        </w:rPr>
        <w:t>196(1)153-165.</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2.Chen,XiangfengandGangshu(George)Cai.2011.Jointlogisticsandfinancialservicesbya3PLfirm.</w:t>
      </w:r>
      <w:r>
        <w:rPr>
          <w:rFonts w:hint="eastAsia" w:ascii="微软雅黑" w:hAnsi="微软雅黑" w:eastAsia="微软雅黑" w:cs="微软雅黑"/>
          <w:i/>
          <w:caps w:val="0"/>
          <w:color w:val="000000"/>
          <w:spacing w:val="0"/>
          <w:sz w:val="20"/>
          <w:szCs w:val="20"/>
          <w:shd w:val="clear" w:fill="FFFFFF"/>
        </w:rPr>
        <w:t>EuropeanJournalofOperationalResearch</w:t>
      </w:r>
      <w:r>
        <w:rPr>
          <w:rFonts w:hint="eastAsia" w:ascii="微软雅黑" w:hAnsi="微软雅黑" w:eastAsia="微软雅黑" w:cs="微软雅黑"/>
          <w:i w:val="0"/>
          <w:caps w:val="0"/>
          <w:color w:val="000000"/>
          <w:spacing w:val="0"/>
          <w:sz w:val="20"/>
          <w:szCs w:val="20"/>
          <w:shd w:val="clear" w:fill="FFFFFF"/>
        </w:rPr>
        <w:t>214(3)579-587.</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3.Chen,XiangfengandGuohuaWan.2011.Theeffectoffinancingonabudget-constrainedsupplychainunderwholesalepricecontract.</w:t>
      </w:r>
      <w:r>
        <w:rPr>
          <w:rFonts w:hint="eastAsia" w:ascii="微软雅黑" w:hAnsi="微软雅黑" w:eastAsia="微软雅黑" w:cs="微软雅黑"/>
          <w:i/>
          <w:caps w:val="0"/>
          <w:color w:val="000000"/>
          <w:spacing w:val="0"/>
          <w:sz w:val="20"/>
          <w:szCs w:val="20"/>
          <w:shd w:val="clear" w:fill="FFFFFF"/>
        </w:rPr>
        <w:t>Asia-PacificJournalofOperationalResearch</w:t>
      </w:r>
      <w:r>
        <w:rPr>
          <w:rFonts w:hint="eastAsia" w:ascii="微软雅黑" w:hAnsi="微软雅黑" w:eastAsia="微软雅黑" w:cs="微软雅黑"/>
          <w:i w:val="0"/>
          <w:caps w:val="0"/>
          <w:color w:val="000000"/>
          <w:spacing w:val="0"/>
          <w:sz w:val="20"/>
          <w:szCs w:val="20"/>
          <w:shd w:val="clear" w:fill="FFFFFF"/>
        </w:rPr>
        <w:t>28(4)457-485.</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4.Cai,Gangshu,Wen-ChyuanChiang,andXiangfengChen.2011.Gametheoreticpricingandorderingdecisionswithpartiallostsalesintwo-stagesupplychains.</w:t>
      </w:r>
      <w:r>
        <w:rPr>
          <w:rFonts w:hint="eastAsia" w:ascii="微软雅黑" w:hAnsi="微软雅黑" w:eastAsia="微软雅黑" w:cs="微软雅黑"/>
          <w:i/>
          <w:caps w:val="0"/>
          <w:color w:val="000000"/>
          <w:spacing w:val="0"/>
          <w:sz w:val="20"/>
          <w:szCs w:val="20"/>
          <w:shd w:val="clear" w:fill="FFFFFF"/>
        </w:rPr>
        <w:t>InternationalJournalofProductionEconomics</w:t>
      </w:r>
      <w:r>
        <w:rPr>
          <w:rFonts w:hint="eastAsia" w:ascii="微软雅黑" w:hAnsi="微软雅黑" w:eastAsia="微软雅黑" w:cs="微软雅黑"/>
          <w:i w:val="0"/>
          <w:caps w:val="0"/>
          <w:color w:val="000000"/>
          <w:spacing w:val="0"/>
          <w:sz w:val="20"/>
          <w:szCs w:val="20"/>
          <w:shd w:val="clear" w:fill="FFFFFF"/>
        </w:rPr>
        <w:t>130(2)175-185.</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5.MichaelZhang,PeterC.Bell,Gangshu(George)Cai,XiangfengChen.2010.OptimalFencesandJointPriceandInventoryDecisionsinDistinctMarketswithDemandLeakage.</w:t>
      </w:r>
      <w:r>
        <w:rPr>
          <w:rFonts w:hint="eastAsia" w:ascii="微软雅黑" w:hAnsi="微软雅黑" w:eastAsia="微软雅黑" w:cs="微软雅黑"/>
          <w:i/>
          <w:caps w:val="0"/>
          <w:color w:val="000000"/>
          <w:spacing w:val="0"/>
          <w:sz w:val="20"/>
          <w:szCs w:val="20"/>
          <w:shd w:val="clear" w:fill="FFFFFF"/>
        </w:rPr>
        <w:t>EuropeanJournalofOperationalResearch</w:t>
      </w:r>
      <w:r>
        <w:rPr>
          <w:rFonts w:hint="eastAsia" w:ascii="微软雅黑" w:hAnsi="微软雅黑" w:eastAsia="微软雅黑" w:cs="微软雅黑"/>
          <w:i w:val="0"/>
          <w:caps w:val="0"/>
          <w:color w:val="000000"/>
          <w:spacing w:val="0"/>
          <w:sz w:val="20"/>
          <w:szCs w:val="20"/>
          <w:shd w:val="clear" w:fill="FFFFFF"/>
        </w:rPr>
        <w:t>204(3)589-596.</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6.XiangfengChen,XiaoyanXie.2009.TheValueofIntegratedLogisticsandFinanceServicesofThirdPartyLogisticsFirms.</w:t>
      </w:r>
      <w:r>
        <w:rPr>
          <w:rFonts w:hint="eastAsia" w:ascii="微软雅黑" w:hAnsi="微软雅黑" w:eastAsia="微软雅黑" w:cs="微软雅黑"/>
          <w:i/>
          <w:caps w:val="0"/>
          <w:color w:val="000000"/>
          <w:spacing w:val="0"/>
          <w:sz w:val="20"/>
          <w:szCs w:val="20"/>
          <w:shd w:val="clear" w:fill="FFFFFF"/>
        </w:rPr>
        <w:t>Int.J.ServicesOperationsandInformatics</w:t>
      </w:r>
      <w:r>
        <w:rPr>
          <w:rFonts w:hint="eastAsia" w:ascii="微软雅黑" w:hAnsi="微软雅黑" w:eastAsia="微软雅黑" w:cs="微软雅黑"/>
          <w:i w:val="0"/>
          <w:caps w:val="0"/>
          <w:color w:val="000000"/>
          <w:spacing w:val="0"/>
          <w:sz w:val="20"/>
          <w:szCs w:val="20"/>
          <w:shd w:val="clear" w:fill="FFFFFF"/>
        </w:rPr>
        <w:t>Vol.4(4)333-351.</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7.马中华，陈祥锋，朱道立.短期借款和贸易信用对企业经营的影响.系统工程,2009,vol.27(11):39-45.</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8.陈祥锋,朱道立.资金约束供应链中物流提供商的系统价值研究.系统工程学报,2008,Vol.23(6):666-673.</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9.陈祥锋，朱道立，应雯珺.资金约束与供应链中的融资和运营综合决策研究.管理科学学报,2008,11(3):70-77.</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10.陈祥锋,朱晨波.供应链采购管理中的期权合同价值研究.系统工程学报,2007,Vol.22(4):401-406.</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11.陈志刚,陈祥锋,黄中鼎.构建物流安全系统的框架研究.科技导报,2007,Vol.25(15):48-52.</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12.陈祥锋,石代伦,朱道立.金融供应链与融通仓服务.物流技术与应用,2006,Vol.(3):93-95.</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13.陈祥锋.供应链采购合同组合管理策略研究.科技导报,2006,Vol.24(2):78-81.</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14.陈祥锋,石代伦,朱道立.融通仓运作模式研究.物流技术与应用,2006,Vol.(1):97-99.</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15.陈祥锋,石代伦,朱道立.融通仓与物流金融服务创新.科技导报,2005,Vol.23(9):30-32.</w:t>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br w:type="textWrapping"/>
      </w:r>
      <w:r>
        <w:rPr>
          <w:rFonts w:hint="eastAsia" w:ascii="微软雅黑" w:hAnsi="微软雅黑" w:eastAsia="微软雅黑" w:cs="微软雅黑"/>
          <w:i w:val="0"/>
          <w:caps w:val="0"/>
          <w:color w:val="000000"/>
          <w:spacing w:val="0"/>
          <w:sz w:val="20"/>
          <w:szCs w:val="20"/>
          <w:shd w:val="clear" w:fill="FFFFFF"/>
        </w:rPr>
        <w:t>16.陈祥锋,朱道立.合同管理中二层谈判策略.管理科学学报,2002,Vol.5(3):17-22.</w:t>
      </w:r>
    </w:p>
    <w:p>
      <w:pPr>
        <w:rPr>
          <w:rFonts w:hint="eastAsia" w:ascii="微软雅黑" w:hAnsi="微软雅黑" w:eastAsia="微软雅黑" w:cs="微软雅黑"/>
          <w:i w:val="0"/>
          <w:caps w:val="0"/>
          <w:color w:val="000000"/>
          <w:spacing w:val="0"/>
          <w:sz w:val="20"/>
          <w:szCs w:val="20"/>
          <w:shd w:val="clear" w:fill="FFFFFF"/>
          <w:lang w:val="en-US" w:eastAsia="zh-CN"/>
        </w:rPr>
      </w:pPr>
    </w:p>
    <w:p>
      <w:pPr>
        <w:rPr>
          <w:rFonts w:hint="default" w:ascii="Times New Roman" w:hAnsi="Times New Roman" w:eastAsia="宋体" w:cs="Times New Roman"/>
          <w:i w:val="0"/>
          <w:caps w:val="0"/>
          <w:color w:val="800080"/>
          <w:spacing w:val="0"/>
          <w:sz w:val="15"/>
          <w:szCs w:val="15"/>
          <w:u w:val="single"/>
          <w:shd w:val="clear" w:fill="CCFFFF"/>
        </w:rPr>
      </w:pPr>
      <w:r>
        <w:rPr>
          <w:rFonts w:hint="default" w:ascii="Times New Roman" w:hAnsi="Times New Roman" w:eastAsia="宋体" w:cs="Times New Roman"/>
          <w:i w:val="0"/>
          <w:caps w:val="0"/>
          <w:color w:val="800080"/>
          <w:spacing w:val="0"/>
          <w:sz w:val="15"/>
          <w:szCs w:val="15"/>
          <w:u w:val="single"/>
          <w:shd w:val="clear" w:fill="CCFFFF"/>
        </w:rPr>
        <w:fldChar w:fldCharType="begin"/>
      </w:r>
      <w:r>
        <w:rPr>
          <w:rFonts w:hint="default" w:ascii="Times New Roman" w:hAnsi="Times New Roman" w:eastAsia="宋体" w:cs="Times New Roman"/>
          <w:i w:val="0"/>
          <w:caps w:val="0"/>
          <w:color w:val="800080"/>
          <w:spacing w:val="0"/>
          <w:sz w:val="15"/>
          <w:szCs w:val="15"/>
          <w:u w:val="single"/>
          <w:shd w:val="clear" w:fill="CCFFFF"/>
        </w:rPr>
        <w:instrText xml:space="preserve"> HYPERLINK "mailto:chenxf@fudan.edu.cn" </w:instrText>
      </w:r>
      <w:r>
        <w:rPr>
          <w:rFonts w:hint="default" w:ascii="Times New Roman" w:hAnsi="Times New Roman" w:eastAsia="宋体" w:cs="Times New Roman"/>
          <w:i w:val="0"/>
          <w:caps w:val="0"/>
          <w:color w:val="800080"/>
          <w:spacing w:val="0"/>
          <w:sz w:val="15"/>
          <w:szCs w:val="15"/>
          <w:u w:val="single"/>
          <w:shd w:val="clear" w:fill="CCFFFF"/>
        </w:rPr>
        <w:fldChar w:fldCharType="separate"/>
      </w:r>
      <w:r>
        <w:rPr>
          <w:rStyle w:val="6"/>
          <w:rFonts w:hint="default" w:ascii="Times New Roman" w:hAnsi="Times New Roman" w:eastAsia="宋体" w:cs="Times New Roman"/>
          <w:i w:val="0"/>
          <w:caps w:val="0"/>
          <w:color w:val="800080"/>
          <w:spacing w:val="0"/>
          <w:sz w:val="15"/>
          <w:szCs w:val="15"/>
          <w:u w:val="single"/>
          <w:shd w:val="clear" w:fill="CCFFFF"/>
        </w:rPr>
        <w:t>chenxf@fudan.edu.cn</w:t>
      </w:r>
      <w:r>
        <w:rPr>
          <w:rFonts w:hint="default" w:ascii="Times New Roman" w:hAnsi="Times New Roman" w:eastAsia="宋体" w:cs="Times New Roman"/>
          <w:i w:val="0"/>
          <w:caps w:val="0"/>
          <w:color w:val="800080"/>
          <w:spacing w:val="0"/>
          <w:sz w:val="15"/>
          <w:szCs w:val="15"/>
          <w:u w:val="single"/>
          <w:shd w:val="clear" w:fill="CCFFFF"/>
        </w:rPr>
        <w:fldChar w:fldCharType="end"/>
      </w:r>
    </w:p>
    <w:p>
      <w:pPr>
        <w:pBdr>
          <w:bottom w:val="double" w:color="auto" w:sz="4" w:space="0"/>
        </w:pBdr>
        <w:rPr>
          <w:rFonts w:hint="default" w:ascii="Times New Roman" w:hAnsi="Times New Roman" w:eastAsia="宋体" w:cs="Times New Roman"/>
          <w:i w:val="0"/>
          <w:caps w:val="0"/>
          <w:color w:val="800080"/>
          <w:spacing w:val="0"/>
          <w:sz w:val="15"/>
          <w:szCs w:val="15"/>
          <w:u w:val="single"/>
          <w:shd w:val="clear" w:fill="CCFFFF"/>
        </w:rPr>
      </w:pPr>
    </w:p>
    <w:p>
      <w:pPr>
        <w:rPr>
          <w:rFonts w:hint="eastAsia" w:ascii="Times New Roman" w:hAnsi="Times New Roman" w:eastAsia="宋体" w:cs="Times New Roman"/>
          <w:i w:val="0"/>
          <w:caps w:val="0"/>
          <w:color w:val="800080"/>
          <w:spacing w:val="0"/>
          <w:sz w:val="15"/>
          <w:szCs w:val="15"/>
          <w:u w:val="single"/>
          <w:shd w:val="clear" w:fill="CCFFFF"/>
          <w:lang w:val="en-US" w:eastAsia="zh-CN"/>
        </w:rPr>
      </w:pPr>
    </w:p>
    <w:p>
      <w:pPr>
        <w:pStyle w:val="3"/>
        <w:keepNext w:val="0"/>
        <w:keepLines w:val="0"/>
        <w:widowControl/>
        <w:suppressLineNumbers w:val="0"/>
        <w:shd w:val="clear" w:fill="FFFFFF"/>
        <w:spacing w:before="0" w:beforeAutospacing="1" w:after="0" w:afterAutospacing="1" w:line="251" w:lineRule="atLeast"/>
        <w:ind w:left="0" w:right="0" w:firstLine="349"/>
        <w:rPr>
          <w:rFonts w:ascii="微软雅黑" w:hAnsi="微软雅黑" w:eastAsia="微软雅黑" w:cs="微软雅黑"/>
          <w:i w:val="0"/>
          <w:caps w:val="0"/>
          <w:color w:val="333333"/>
          <w:spacing w:val="0"/>
          <w:sz w:val="15"/>
          <w:szCs w:val="15"/>
        </w:rPr>
      </w:pPr>
      <w:r>
        <w:rPr>
          <w:rFonts w:hint="eastAsia" w:ascii="微软雅黑" w:hAnsi="微软雅黑" w:eastAsia="微软雅黑" w:cs="微软雅黑"/>
          <w:i w:val="0"/>
          <w:caps w:val="0"/>
          <w:color w:val="333333"/>
          <w:spacing w:val="0"/>
          <w:sz w:val="15"/>
          <w:szCs w:val="15"/>
          <w:shd w:val="clear" w:fill="FFFFFF"/>
        </w:rPr>
        <w:t>学院从2012年开始，现有科学学位博士点，统一按照</w:t>
      </w:r>
      <w:r>
        <w:rPr>
          <w:rFonts w:hint="eastAsia" w:ascii="微软雅黑" w:hAnsi="微软雅黑" w:eastAsia="微软雅黑" w:cs="微软雅黑"/>
          <w:i w:val="0"/>
          <w:caps w:val="0"/>
          <w:color w:val="333333"/>
          <w:spacing w:val="0"/>
          <w:sz w:val="15"/>
          <w:szCs w:val="15"/>
          <w:shd w:val="clear" w:color="FFFFFF" w:fill="D9D9D9"/>
        </w:rPr>
        <w:t>管理科学与工程、工商管理、应用经济学、统计学</w:t>
      </w:r>
      <w:r>
        <w:rPr>
          <w:rFonts w:hint="eastAsia" w:ascii="微软雅黑" w:hAnsi="微软雅黑" w:eastAsia="微软雅黑" w:cs="微软雅黑"/>
          <w:i w:val="0"/>
          <w:caps w:val="0"/>
          <w:color w:val="333333"/>
          <w:spacing w:val="0"/>
          <w:sz w:val="15"/>
          <w:szCs w:val="15"/>
          <w:shd w:val="clear" w:fill="FFFFFF"/>
        </w:rPr>
        <w:t>四个一级学科，和</w:t>
      </w:r>
      <w:r>
        <w:rPr>
          <w:rFonts w:hint="eastAsia" w:ascii="微软雅黑" w:hAnsi="微软雅黑" w:eastAsia="微软雅黑" w:cs="微软雅黑"/>
          <w:i w:val="0"/>
          <w:caps w:val="0"/>
          <w:color w:val="333333"/>
          <w:spacing w:val="0"/>
          <w:sz w:val="15"/>
          <w:szCs w:val="15"/>
          <w:shd w:val="clear" w:color="FFFFFF" w:fill="D9D9D9"/>
        </w:rPr>
        <w:t>概率论与数理统计、运筹学与控制论</w:t>
      </w:r>
      <w:r>
        <w:rPr>
          <w:rFonts w:hint="eastAsia" w:ascii="微软雅黑" w:hAnsi="微软雅黑" w:eastAsia="微软雅黑" w:cs="微软雅黑"/>
          <w:i w:val="0"/>
          <w:caps w:val="0"/>
          <w:color w:val="333333"/>
          <w:spacing w:val="0"/>
          <w:sz w:val="15"/>
          <w:szCs w:val="15"/>
          <w:shd w:val="clear" w:fill="FFFFFF"/>
        </w:rPr>
        <w:t>两个专业招生和培养。招生时公开招考类型博士的入学考试和硕博连读项目的资格考试并轨，报名时不报博士生导师。</w:t>
      </w:r>
    </w:p>
    <w:p>
      <w:pPr>
        <w:keepNext w:val="0"/>
        <w:keepLines w:val="0"/>
        <w:widowControl/>
        <w:suppressLineNumbers w:val="0"/>
        <w:shd w:val="clear" w:fill="FFFFFF"/>
        <w:spacing w:line="251" w:lineRule="atLeast"/>
        <w:ind w:left="0" w:firstLine="349"/>
        <w:jc w:val="left"/>
        <w:rPr>
          <w:rFonts w:hint="eastAsia" w:ascii="微软雅黑" w:hAnsi="微软雅黑" w:eastAsia="微软雅黑" w:cs="微软雅黑"/>
          <w:i w:val="0"/>
          <w:caps w:val="0"/>
          <w:color w:val="333333"/>
          <w:spacing w:val="0"/>
          <w:sz w:val="15"/>
          <w:szCs w:val="15"/>
        </w:rPr>
      </w:pPr>
      <w:r>
        <w:rPr>
          <w:rFonts w:hint="eastAsia" w:ascii="微软雅黑" w:hAnsi="微软雅黑" w:eastAsia="微软雅黑" w:cs="微软雅黑"/>
          <w:i w:val="0"/>
          <w:caps w:val="0"/>
          <w:color w:val="333333"/>
          <w:spacing w:val="0"/>
          <w:kern w:val="0"/>
          <w:sz w:val="15"/>
          <w:szCs w:val="15"/>
          <w:shd w:val="clear" w:fill="FFFFFF"/>
          <w:lang w:val="en-US" w:eastAsia="zh-CN" w:bidi="ar"/>
        </w:rPr>
        <w:t>本项目致力于培养德、智、体全面发展，在本门学科上掌握坚实的基础理论和系统深入的专门知识、具有独立从事科学研究工作的能力，在科学和专门技术上做出创造性成果的研究型学者。</w:t>
      </w:r>
      <w:r>
        <w:rPr>
          <w:rFonts w:hint="eastAsia" w:ascii="微软雅黑" w:hAnsi="微软雅黑" w:eastAsia="微软雅黑" w:cs="微软雅黑"/>
          <w:i w:val="0"/>
          <w:caps w:val="0"/>
          <w:color w:val="333333"/>
          <w:spacing w:val="0"/>
          <w:kern w:val="0"/>
          <w:sz w:val="15"/>
          <w:szCs w:val="15"/>
          <w:shd w:val="clear" w:fill="FFFFFF"/>
          <w:lang w:val="en-US" w:eastAsia="zh-CN" w:bidi="ar"/>
        </w:rPr>
        <w:br w:type="textWrapping"/>
      </w:r>
      <w:bookmarkStart w:id="0" w:name="_GoBack"/>
      <w:bookmarkEnd w:id="0"/>
      <w:r>
        <w:rPr>
          <w:rFonts w:hint="eastAsia" w:ascii="微软雅黑" w:hAnsi="微软雅黑" w:eastAsia="微软雅黑" w:cs="微软雅黑"/>
          <w:i w:val="0"/>
          <w:caps w:val="0"/>
          <w:color w:val="333333"/>
          <w:spacing w:val="0"/>
          <w:kern w:val="0"/>
          <w:sz w:val="15"/>
          <w:szCs w:val="15"/>
          <w:shd w:val="clear" w:fill="FFFFFF"/>
          <w:lang w:val="en-US" w:eastAsia="zh-CN" w:bidi="ar"/>
        </w:rPr>
        <w:br w:type="textWrapping"/>
      </w:r>
      <w:r>
        <w:rPr>
          <w:rFonts w:hint="eastAsia" w:ascii="微软雅黑" w:hAnsi="微软雅黑" w:eastAsia="微软雅黑" w:cs="微软雅黑"/>
          <w:i w:val="0"/>
          <w:caps w:val="0"/>
          <w:color w:val="333333"/>
          <w:spacing w:val="0"/>
          <w:kern w:val="0"/>
          <w:sz w:val="15"/>
          <w:szCs w:val="15"/>
          <w:shd w:val="clear" w:fill="FFFFFF"/>
          <w:lang w:val="en-US" w:eastAsia="zh-CN" w:bidi="ar"/>
        </w:rPr>
        <w:t>        本项目基本学习年限为</w:t>
      </w:r>
      <w:r>
        <w:rPr>
          <w:rFonts w:hint="eastAsia" w:ascii="微软雅黑" w:hAnsi="微软雅黑" w:eastAsia="微软雅黑" w:cs="微软雅黑"/>
          <w:i w:val="0"/>
          <w:caps w:val="0"/>
          <w:color w:val="333333"/>
          <w:spacing w:val="0"/>
          <w:kern w:val="0"/>
          <w:sz w:val="15"/>
          <w:szCs w:val="15"/>
          <w:shd w:val="clear" w:color="FFFFFF" w:fill="D9D9D9"/>
          <w:lang w:val="en-US" w:eastAsia="zh-CN" w:bidi="ar"/>
        </w:rPr>
        <w:t>3-4年</w:t>
      </w:r>
      <w:r>
        <w:rPr>
          <w:rFonts w:hint="eastAsia" w:ascii="微软雅黑" w:hAnsi="微软雅黑" w:eastAsia="微软雅黑" w:cs="微软雅黑"/>
          <w:i w:val="0"/>
          <w:caps w:val="0"/>
          <w:color w:val="333333"/>
          <w:spacing w:val="0"/>
          <w:kern w:val="0"/>
          <w:sz w:val="15"/>
          <w:szCs w:val="15"/>
          <w:shd w:val="clear" w:fill="FFFFFF"/>
          <w:lang w:val="en-US" w:eastAsia="zh-CN" w:bidi="ar"/>
        </w:rPr>
        <w:t>。在学习专业方向知识的基础上，以科学研究和撰写博士学位论文为主，依托各系进行培养，并由博士生导师及指导小组负责指导。</w:t>
      </w:r>
    </w:p>
    <w:p>
      <w:pPr>
        <w:pStyle w:val="3"/>
        <w:keepNext w:val="0"/>
        <w:keepLines w:val="0"/>
        <w:widowControl/>
        <w:suppressLineNumbers w:val="0"/>
        <w:pBdr>
          <w:bottom w:val="double" w:color="auto" w:sz="4" w:space="0"/>
        </w:pBdr>
        <w:shd w:val="clear" w:fill="FFFFFF"/>
        <w:spacing w:before="0" w:beforeAutospacing="1" w:after="0" w:afterAutospacing="1" w:line="251" w:lineRule="atLeast"/>
        <w:ind w:left="0" w:right="0" w:firstLine="349"/>
        <w:rPr>
          <w:rFonts w:hint="eastAsia" w:ascii="微软雅黑" w:hAnsi="微软雅黑" w:eastAsia="微软雅黑" w:cs="微软雅黑"/>
          <w:i w:val="0"/>
          <w:caps w:val="0"/>
          <w:color w:val="333333"/>
          <w:spacing w:val="0"/>
          <w:sz w:val="15"/>
          <w:szCs w:val="15"/>
        </w:rPr>
      </w:pPr>
      <w:r>
        <w:rPr>
          <w:rFonts w:hint="eastAsia" w:ascii="微软雅黑" w:hAnsi="微软雅黑" w:eastAsia="微软雅黑" w:cs="微软雅黑"/>
          <w:i w:val="0"/>
          <w:caps w:val="0"/>
          <w:color w:val="333333"/>
          <w:spacing w:val="0"/>
          <w:sz w:val="15"/>
          <w:szCs w:val="15"/>
          <w:shd w:val="clear" w:fill="FFFFFF"/>
        </w:rPr>
        <w:t>管理学院目前设有8个系，分别是财务金融系、会计学系、产业经济学系、企业管理系、管理科学系、市场营销系、信息管理与信息系统系、统计学系。</w:t>
      </w:r>
    </w:p>
    <w:p>
      <w:pPr>
        <w:rPr>
          <w:rFonts w:hint="eastAsia" w:ascii="Times New Roman" w:hAnsi="Times New Roman" w:eastAsia="宋体" w:cs="Times New Roman"/>
          <w:i w:val="0"/>
          <w:caps w:val="0"/>
          <w:color w:val="800080"/>
          <w:spacing w:val="0"/>
          <w:sz w:val="15"/>
          <w:szCs w:val="15"/>
          <w:u w:val="single"/>
          <w:shd w:val="clear" w:fill="CC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32" w:lineRule="atLeast"/>
        <w:ind w:left="0" w:right="0" w:firstLine="0"/>
        <w:rPr>
          <w:rFonts w:hint="eastAsia" w:ascii="微软雅黑" w:hAnsi="微软雅黑" w:eastAsia="微软雅黑" w:cs="微软雅黑"/>
          <w:i w:val="0"/>
          <w:caps w:val="0"/>
          <w:color w:val="333333"/>
          <w:spacing w:val="0"/>
          <w:sz w:val="26"/>
          <w:szCs w:val="26"/>
          <w:lang w:eastAsia="zh-CN"/>
        </w:rPr>
      </w:pPr>
      <w:r>
        <w:rPr>
          <w:rFonts w:hint="eastAsia" w:ascii="微软雅黑" w:hAnsi="微软雅黑" w:eastAsia="微软雅黑" w:cs="微软雅黑"/>
          <w:i w:val="0"/>
          <w:caps w:val="0"/>
          <w:color w:val="333333"/>
          <w:spacing w:val="0"/>
          <w:sz w:val="26"/>
          <w:szCs w:val="26"/>
          <w:shd w:val="clear" w:fill="F8F8F8"/>
        </w:rPr>
        <w:t>管理科学系</w:t>
      </w:r>
      <w:r>
        <w:rPr>
          <w:rFonts w:hint="eastAsia" w:ascii="微软雅黑" w:hAnsi="微软雅黑" w:eastAsia="微软雅黑" w:cs="微软雅黑"/>
          <w:i w:val="0"/>
          <w:caps w:val="0"/>
          <w:color w:val="333333"/>
          <w:spacing w:val="0"/>
          <w:sz w:val="26"/>
          <w:szCs w:val="26"/>
          <w:shd w:val="clear" w:fill="F8F8F8"/>
          <w:lang w:eastAsia="zh-CN"/>
        </w:rPr>
        <w:t>（</w:t>
      </w:r>
      <w:r>
        <w:rPr>
          <w:rFonts w:hint="eastAsia" w:ascii="微软雅黑" w:hAnsi="微软雅黑" w:eastAsia="微软雅黑" w:cs="微软雅黑"/>
          <w:i w:val="0"/>
          <w:caps w:val="0"/>
          <w:color w:val="333333"/>
          <w:spacing w:val="0"/>
          <w:sz w:val="26"/>
          <w:szCs w:val="26"/>
          <w:shd w:val="clear" w:fill="F8F8F8"/>
          <w:lang w:val="en-US" w:eastAsia="zh-CN"/>
        </w:rPr>
        <w:t>要具体了解</w:t>
      </w:r>
      <w:r>
        <w:rPr>
          <w:rFonts w:hint="eastAsia" w:ascii="微软雅黑" w:hAnsi="微软雅黑" w:eastAsia="微软雅黑" w:cs="微软雅黑"/>
          <w:i w:val="0"/>
          <w:caps w:val="0"/>
          <w:color w:val="333333"/>
          <w:spacing w:val="0"/>
          <w:sz w:val="26"/>
          <w:szCs w:val="26"/>
          <w:shd w:val="clear" w:fill="F8F8F8"/>
          <w:lang w:eastAsia="zh-CN"/>
        </w:rPr>
        <w:t>）</w:t>
      </w:r>
    </w:p>
    <w:p>
      <w:pPr>
        <w:pBdr>
          <w:bottom w:val="double" w:color="auto" w:sz="4" w:space="0"/>
        </w:pBdr>
        <w:rPr>
          <w:rFonts w:hint="default" w:ascii="Times New Roman" w:hAnsi="Times New Roman" w:eastAsia="宋体" w:cs="Times New Roman"/>
          <w:i w:val="0"/>
          <w:caps w:val="0"/>
          <w:color w:val="800080"/>
          <w:spacing w:val="0"/>
          <w:sz w:val="15"/>
          <w:szCs w:val="15"/>
          <w:u w:val="single"/>
          <w:shd w:val="clear" w:fill="CCFFFF"/>
          <w:lang w:val="en-US" w:eastAsia="zh-CN"/>
        </w:rPr>
      </w:pPr>
    </w:p>
    <w:p>
      <w:pPr>
        <w:rPr>
          <w:rFonts w:hint="default" w:ascii="Times New Roman" w:hAnsi="Times New Roman" w:eastAsia="宋体" w:cs="Times New Roman"/>
          <w:i w:val="0"/>
          <w:caps w:val="0"/>
          <w:color w:val="800080"/>
          <w:spacing w:val="0"/>
          <w:sz w:val="15"/>
          <w:szCs w:val="15"/>
          <w:u w:val="single"/>
          <w:shd w:val="clear" w:fill="CCFFFF"/>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14" w:right="0"/>
      </w:pPr>
      <w:r>
        <w:rPr>
          <w:rFonts w:hint="eastAsia" w:ascii="微软雅黑" w:hAnsi="微软雅黑" w:eastAsia="微软雅黑" w:cs="微软雅黑"/>
          <w:i w:val="0"/>
          <w:caps w:val="0"/>
          <w:color w:val="3F88BF"/>
          <w:spacing w:val="0"/>
          <w:sz w:val="20"/>
          <w:szCs w:val="20"/>
          <w:u w:val="single"/>
          <w:shd w:val="clear" w:fill="FFFFFF"/>
        </w:rPr>
        <w:fldChar w:fldCharType="begin"/>
      </w:r>
      <w:r>
        <w:rPr>
          <w:rFonts w:hint="eastAsia" w:ascii="微软雅黑" w:hAnsi="微软雅黑" w:eastAsia="微软雅黑" w:cs="微软雅黑"/>
          <w:i w:val="0"/>
          <w:caps w:val="0"/>
          <w:color w:val="3F88BF"/>
          <w:spacing w:val="0"/>
          <w:sz w:val="20"/>
          <w:szCs w:val="20"/>
          <w:u w:val="single"/>
          <w:shd w:val="clear" w:fill="FFFFFF"/>
        </w:rPr>
        <w:instrText xml:space="preserve"> HYPERLINK "https://www.baidu.com/s?wd=%E5%85%AC%E5%85%B1%E7%AE%A1%E7%90%86%E5%AD%A6&amp;tn=SE_PcZhidaonwhc_ngpagmjz&amp;rsv_dl=gh_pc_zhidao"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single"/>
          <w:shd w:val="clear" w:fill="FFFFFF"/>
        </w:rPr>
        <w:fldChar w:fldCharType="separate"/>
      </w:r>
      <w:r>
        <w:rPr>
          <w:rStyle w:val="6"/>
          <w:rFonts w:hint="eastAsia" w:ascii="微软雅黑" w:hAnsi="微软雅黑" w:eastAsia="微软雅黑" w:cs="微软雅黑"/>
          <w:i w:val="0"/>
          <w:caps w:val="0"/>
          <w:color w:val="3F88BF"/>
          <w:spacing w:val="0"/>
          <w:sz w:val="20"/>
          <w:szCs w:val="20"/>
          <w:u w:val="single"/>
          <w:shd w:val="clear" w:fill="FFFFFF"/>
        </w:rPr>
        <w:t>公共管理学</w:t>
      </w:r>
      <w:r>
        <w:rPr>
          <w:rFonts w:hint="eastAsia" w:ascii="微软雅黑" w:hAnsi="微软雅黑" w:eastAsia="微软雅黑" w:cs="微软雅黑"/>
          <w:i w:val="0"/>
          <w:caps w:val="0"/>
          <w:color w:val="3F88BF"/>
          <w:spacing w:val="0"/>
          <w:sz w:val="20"/>
          <w:szCs w:val="20"/>
          <w:u w:val="singl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主要包括行政管理、社会保障、</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"https://www.baidu.com/s?wd=%E7%A4%BE%E4%BC%9A%E5%8C%BB%E5%AD%A6%E4%B8%8E%E5%8D%AB%E7%94%9F%E4%BA%8B%E4%B8%9A%E7%AE%A1%E7%90%86&amp;tn=SE_PcZhidaonwhc_ngpagmjz&amp;rsv_dl=gh_pc_zhidao"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6"/>
          <w:rFonts w:hint="eastAsia" w:ascii="微软雅黑" w:hAnsi="微软雅黑" w:eastAsia="微软雅黑" w:cs="微软雅黑"/>
          <w:i w:val="0"/>
          <w:caps w:val="0"/>
          <w:color w:val="3F88BF"/>
          <w:spacing w:val="0"/>
          <w:sz w:val="20"/>
          <w:szCs w:val="20"/>
          <w:u w:val="none"/>
          <w:shd w:val="clear" w:fill="FFFFFF"/>
        </w:rPr>
        <w:t>社会医学与卫生事业管理</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"https://www.baidu.com/s?wd=%E5%9C%9F%E5%9C%B0%E8%B5%84%E6%BA%90%E7%AE%A1%E7%90%86&amp;tn=SE_PcZhidaonwhc_ngpagmjz&amp;rsv_dl=gh_pc_zhidao"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6"/>
          <w:rFonts w:hint="eastAsia" w:ascii="微软雅黑" w:hAnsi="微软雅黑" w:eastAsia="微软雅黑" w:cs="微软雅黑"/>
          <w:i w:val="0"/>
          <w:caps w:val="0"/>
          <w:color w:val="3F88BF"/>
          <w:spacing w:val="0"/>
          <w:sz w:val="20"/>
          <w:szCs w:val="20"/>
          <w:u w:val="none"/>
          <w:shd w:val="clear" w:fill="FFFFFF"/>
        </w:rPr>
        <w:t>土地资源管理</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、教育经济与管理五个二级学科门类；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14" w:right="0"/>
      </w:pP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"https://www.baidu.com/s?wd=%E5%B7%A5%E5%95%86%E7%AE%A1%E7%90%86%E7%B1%BB&amp;tn=SE_PcZhidaonwhc_ngpagmjz&amp;rsv_dl=gh_pc_zhidao"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6"/>
          <w:rFonts w:hint="eastAsia" w:ascii="微软雅黑" w:hAnsi="微软雅黑" w:eastAsia="微软雅黑" w:cs="微软雅黑"/>
          <w:i w:val="0"/>
          <w:caps w:val="0"/>
          <w:color w:val="3F88BF"/>
          <w:spacing w:val="0"/>
          <w:sz w:val="20"/>
          <w:szCs w:val="20"/>
          <w:u w:val="none"/>
          <w:shd w:val="clear" w:fill="FFFFFF"/>
        </w:rPr>
        <w:t>工商管理类</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包括信息管理与信息系统 、</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"https://www.baidu.com/s?wd=%E7%AE%A1%E7%90%86%E7%A7%91%E5%AD%A6%E4%B8%8E%E5%B7%A5%E7%A8%8B&amp;tn=SE_PcZhidaonwhc_ngpagmjz&amp;rsv_dl=gh_pc_zhidao"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6"/>
          <w:rFonts w:hint="eastAsia" w:ascii="微软雅黑" w:hAnsi="微软雅黑" w:eastAsia="微软雅黑" w:cs="微软雅黑"/>
          <w:i w:val="0"/>
          <w:caps w:val="0"/>
          <w:color w:val="3F88BF"/>
          <w:spacing w:val="0"/>
          <w:sz w:val="20"/>
          <w:szCs w:val="20"/>
          <w:u w:val="none"/>
          <w:shd w:val="clear" w:fill="FFFFFF"/>
        </w:rPr>
        <w:t>管理科学与工程</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 、市场营销 、工商管理 、统计 、财务管理等。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p>
    <w:p>
      <w:r>
        <w:drawing>
          <wp:inline distT="0" distB="0" distL="114300" distR="114300">
            <wp:extent cx="5266690" cy="425767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4257675"/>
                    </a:xfrm>
                    <a:prstGeom prst="rect">
                      <a:avLst/>
                    </a:prstGeom>
                    <a:noFill/>
                    <a:ln>
                      <a:noFill/>
                    </a:ln>
                  </pic:spPr>
                </pic:pic>
              </a:graphicData>
            </a:graphic>
          </wp:inline>
        </w:drawing>
      </w:r>
    </w:p>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"https://www.baidu.com/s?wd=%E5%AD%A6%E7%A7%91%E9%97%A8%E7%B1%BB&amp;tn=SE_PcZhidaonwhc_ngpagmjz&amp;rsv_dl=gh_pc_zhidao"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6"/>
          <w:rFonts w:hint="eastAsia" w:ascii="微软雅黑" w:hAnsi="微软雅黑" w:eastAsia="微软雅黑" w:cs="微软雅黑"/>
          <w:i w:val="0"/>
          <w:caps w:val="0"/>
          <w:color w:val="3F88BF"/>
          <w:spacing w:val="0"/>
          <w:sz w:val="20"/>
          <w:szCs w:val="20"/>
          <w:u w:val="none"/>
          <w:shd w:val="clear" w:fill="FFFFFF"/>
        </w:rPr>
        <w:t>学科门类</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”、“学科大类（一级学科）”、“专业”（二级学科）三个层次来设置。 按照国家1997年颁布《授予博士、</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"https://www.baidu.com/s?wd=%E7%A1%95%E5%A3%AB%E5%AD%A6%E4%BD%8D&amp;tn=SE_PcZhidaonwhc_ngpagmjz&amp;rsv_dl=gh_pc_zhidao"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6"/>
          <w:rFonts w:hint="eastAsia" w:ascii="微软雅黑" w:hAnsi="微软雅黑" w:eastAsia="微软雅黑" w:cs="微软雅黑"/>
          <w:i w:val="0"/>
          <w:caps w:val="0"/>
          <w:color w:val="3F88BF"/>
          <w:spacing w:val="0"/>
          <w:sz w:val="20"/>
          <w:szCs w:val="20"/>
          <w:u w:val="none"/>
          <w:shd w:val="clear" w:fill="FFFFFF"/>
        </w:rPr>
        <w:t>硕士学位</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和培养研究生的的学科、专业目录》，分为哲学、经济学、法学、教育学、文学、历史学、理学、工学、农学、医学、军事学和管理学12大门类，每大门类下设若干一级学科，如理学门类下设数学、物理、化学等12个一级学科。 一级学科再下设若干二级学科，如数学下设基础数学、</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"https://www.baidu.com/s?wd=%E8%AE%A1%E7%AE%97%E6%95%B0%E5%AD%A6&amp;tn=SE_PcZhidaonwhc_ngpagmjz&amp;rsv_dl=gh_pc_zhidao"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6"/>
          <w:rFonts w:hint="eastAsia" w:ascii="微软雅黑" w:hAnsi="微软雅黑" w:eastAsia="微软雅黑" w:cs="微软雅黑"/>
          <w:i w:val="0"/>
          <w:caps w:val="0"/>
          <w:color w:val="3F88BF"/>
          <w:spacing w:val="0"/>
          <w:sz w:val="20"/>
          <w:szCs w:val="20"/>
          <w:u w:val="none"/>
          <w:shd w:val="clear" w:fill="FFFFFF"/>
        </w:rPr>
        <w:t>计算数学</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等5个二级学科。博士、</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"https://www.baidu.com/s?wd=%E7%A1%95%E5%A3%AB%E5%AD%A6%E4%BD%8D&amp;tn=SE_PcZhidaonwhc_ngpagmjz&amp;rsv_dl=gh_pc_zhidao"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6"/>
          <w:rFonts w:hint="eastAsia" w:ascii="微软雅黑" w:hAnsi="微软雅黑" w:eastAsia="微软雅黑" w:cs="微软雅黑"/>
          <w:i w:val="0"/>
          <w:caps w:val="0"/>
          <w:color w:val="3F88BF"/>
          <w:spacing w:val="0"/>
          <w:sz w:val="20"/>
          <w:szCs w:val="20"/>
          <w:u w:val="none"/>
          <w:shd w:val="clear" w:fill="FFFFFF"/>
        </w:rPr>
        <w:t>硕士学位</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就授至二级学科，一般意义上的博硕士点数指的就是可以授予博士和</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"https://www.baidu.com/s?wd=%E7%A1%95%E5%A3%AB%E5%AD%A6%E4%BD%8D&amp;tn=SE_PcZhidaonwhc_ngpagmjz&amp;rsv_dl=gh_pc_zhidao"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6"/>
          <w:rFonts w:hint="eastAsia" w:ascii="微软雅黑" w:hAnsi="微软雅黑" w:eastAsia="微软雅黑" w:cs="微软雅黑"/>
          <w:i w:val="0"/>
          <w:caps w:val="0"/>
          <w:color w:val="3F88BF"/>
          <w:spacing w:val="0"/>
          <w:sz w:val="20"/>
          <w:szCs w:val="20"/>
          <w:u w:val="none"/>
          <w:shd w:val="clear" w:fill="FFFFFF"/>
        </w:rPr>
        <w:t>硕士学位</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的二级学科的数目。</w:t>
      </w:r>
    </w:p>
    <w:p>
      <w:pPr>
        <w:rPr>
          <w:rFonts w:hint="eastAsia" w:ascii="微软雅黑" w:hAnsi="微软雅黑" w:eastAsia="微软雅黑" w:cs="微软雅黑"/>
          <w:i w:val="0"/>
          <w:caps w:val="0"/>
          <w:color w:val="333333"/>
          <w:spacing w:val="0"/>
          <w:sz w:val="20"/>
          <w:szCs w:val="20"/>
          <w:shd w:val="clear" w:fill="FFFFFF"/>
        </w:rPr>
      </w:pPr>
    </w:p>
    <w:p>
      <w:pPr>
        <w:rPr>
          <w:rFonts w:hint="default" w:ascii="微软雅黑" w:hAnsi="微软雅黑" w:eastAsia="微软雅黑" w:cs="微软雅黑"/>
          <w:i w:val="0"/>
          <w:caps w:val="0"/>
          <w:color w:val="333333"/>
          <w:spacing w:val="0"/>
          <w:sz w:val="20"/>
          <w:szCs w:val="2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0F3933"/>
    <w:multiLevelType w:val="multilevel"/>
    <w:tmpl w:val="D40F39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31C1D"/>
    <w:rsid w:val="117212FB"/>
    <w:rsid w:val="5963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2019-03-13T02:23:10Z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