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马赛克的算法就是在N个小块儿区域内(比如有很多个10 * 10小块儿),使用一个随机的像素值,代替其他像素值.效果如下: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6230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毛玻璃的算法和马赛克的算法有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0"/>
          <w:szCs w:val="20"/>
          <w:u w:val="none"/>
          <w:shd w:val="clear" w:fill="FFFFFF"/>
        </w:rPr>
        <w:instrText xml:space="preserve"> HYPERLINK "https://www.baidu.com/s?wd=%E5%BC%82%E6%9B%B2%E5%90%8C%E5%B7%A5&amp;tn=24004469_oem_dg&amp;rsv_dl=gh_pl_sl_csd" \t "https://blog.csdn.net/missyougoon/article/details/_blank"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0"/>
          <w:szCs w:val="20"/>
          <w:u w:val="none"/>
          <w:shd w:val="clear" w:fill="FFFFFF"/>
        </w:rPr>
        <w:t>异曲同工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之妙.毛玻璃是通过在某一个区域内随机选择一个像素点,用来代替当前像素点的做法,实现一个类似毛玻璃的效果.效果图如下: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62300"/>
            <wp:effectExtent l="0" t="0" r="889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2019-03-01T02:57:59Z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