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19775" cy="1638300"/>
            <wp:effectExtent l="0" t="0" r="8255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3" w:afterAutospacing="0" w:line="18" w:lineRule="atLeast"/>
        <w:ind w:left="0" w:right="0" w:firstLine="0"/>
        <w:rPr>
          <w:rFonts w:ascii="Microsoft YaHei UI" w:hAnsi="Microsoft YaHei UI" w:eastAsia="Microsoft YaHei UI" w:cs="Microsoft YaHei UI"/>
          <w:i w:val="0"/>
          <w:caps w:val="0"/>
          <w:color w:val="333333"/>
          <w:spacing w:val="7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8"/>
          <w:szCs w:val="28"/>
          <w:bdr w:val="none" w:color="auto" w:sz="0" w:space="0"/>
          <w:shd w:val="clear" w:fill="FFFFFF"/>
        </w:rPr>
        <w:t>ACL 2019论文提交数暴增81%，史上最大规模NLP会议即将诞生！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ACL 2018的论文提交数为1544篇，而今年若是超过了2800篇，那么增量将超过</w:t>
      </w: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FF6827"/>
          <w:spacing w:val="7"/>
          <w:sz w:val="19"/>
          <w:szCs w:val="19"/>
          <w:bdr w:val="none" w:color="auto" w:sz="0" w:space="0"/>
          <w:shd w:val="clear" w:fill="FFFFFF"/>
        </w:rPr>
        <w:t>81%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</w:pPr>
    </w:p>
    <w:p>
      <w:pP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7C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2019-03-06T12:59:30Z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