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截至到2018年1月14日，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Nature的子刊共有51本！</w:t>
      </w:r>
    </w:p>
    <w:p>
      <w:pP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22"/>
          <w:szCs w:val="22"/>
          <w:shd w:val="clear" w:fill="FFFFFF"/>
        </w:rPr>
        <w:t>本次调查报告以Web of Science为检索工具，在2014年到2018年，中国高校参与及合作研究共在Nature和Science上发表101篇材料类文章。尽管总数量令人可喜，但是其中独立研究的工作却仅有6篇，这说明我们国家的独立科研水平能力还有待提高。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子刊属于主刊旗下刊物，主刊有综合性，而子刊偏向某一专业。同一篇文章可以同时发子刊主刊。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3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"https://www.baidu.com/s?wd=%E3%80%8ANature%E3%80%8B&amp;tn=SE_PcZhidaonwhc_ngpagmjz&amp;rsv_dl=gh_pc_zhidao"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t>《Nature》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"https://www.baidu.com/s?wd=%E3%80%8AScience%E3%80%8B&amp;tn=SE_PcZhidaonwhc_ngpagmjz&amp;rsv_dl=gh_pc_zhidao"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t>《Science》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他们是综合性刊物，更偏向通俗类科普读物；而子刊是更专业的，专门针对某一类别的研究。其中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"https://www.baidu.com/s?wd=%E3%80%8ANature%E3%80%8B&amp;tn=SE_PcZhidaonwhc_ngpagmjz&amp;rsv_dl=gh_pc_zhidao"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t>《Nature》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是私人商业集团管理，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"https://www.baidu.com/s?wd=%E3%80%8AScience%E3%80%8B&amp;tn=SE_PcZhidaonwhc_ngpagmjz&amp;rsv_dl=gh_pc_zhidao"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t>《Science》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是公益性的学会管理。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3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同一篇文章是可能在其主刊和子刊以相同的名称发表的,因为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"https://www.baidu.com/s?wd=%E3%80%8ANature%E3%80%8B&amp;tn=SE_PcZhidaonwhc_ngpagmjz&amp;rsv_dl=gh_pc_zhidao"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t>《Nature》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"https://www.baidu.com/s?wd=%E3%80%8AScience%E3%80%8B&amp;tn=SE_PcZhidaonwhc_ngpagmjz&amp;rsv_dl=gh_pc_zhidao"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t>《Science》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的出版周期很短,一周一刊,他会尽快的将研究成果展现出来,然后进一步通过子刊来深入介绍。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  <w:t>如果你觉得50万很高，那你还没见到更高的。根据珠海《横琴新区博士后管理工作暂行办法》，“在国际学术刊物Nature或Science发表论文，给予每篇100万元的奖励。”</w:t>
      </w: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F24C2"/>
    <w:rsid w:val="52D7103A"/>
    <w:rsid w:val="68AD6BF3"/>
    <w:rsid w:val="78FB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2019-03-13T11:25:06Z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