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478C7">
      <w:pPr>
        <w:spacing w:before="0" w:after="720" w:line="320" w:lineRule="auto"/>
        <w:jc w:val="center"/>
        <w:rPr>
          <w:rFonts w:hint="eastAsia" w:ascii="宋体" w:hAnsi="宋体" w:eastAsia="宋体" w:cs="宋体"/>
          <w:color w:val="auto"/>
        </w:rPr>
      </w:pPr>
      <w:r>
        <w:rPr>
          <w:rFonts w:hint="eastAsia" w:ascii="宋体" w:hAnsi="宋体" w:eastAsia="宋体" w:cs="宋体"/>
          <w:b/>
          <w:i w:val="0"/>
          <w:color w:val="auto"/>
          <w:sz w:val="22"/>
        </w:rPr>
        <w:t>武汉大学儿科学 · 智能体大赛项目</w:t>
      </w:r>
    </w:p>
    <w:p w14:paraId="535856FA">
      <w:pPr>
        <w:spacing w:before="0" w:after="240" w:line="320" w:lineRule="auto"/>
        <w:jc w:val="center"/>
        <w:rPr>
          <w:rFonts w:hint="eastAsia" w:ascii="宋体" w:hAnsi="宋体" w:eastAsia="宋体" w:cs="宋体"/>
          <w:color w:val="auto"/>
        </w:rPr>
      </w:pPr>
      <w:r>
        <w:rPr>
          <w:rFonts w:hint="eastAsia" w:ascii="宋体" w:hAnsi="宋体" w:eastAsia="宋体" w:cs="宋体"/>
          <w:b/>
          <w:i w:val="0"/>
          <w:color w:val="auto"/>
          <w:sz w:val="58"/>
        </w:rPr>
        <w:t>珞珈儿科智训：功能介绍</w:t>
      </w:r>
      <w:bookmarkStart w:id="0" w:name="_GoBack"/>
      <w:bookmarkEnd w:id="0"/>
    </w:p>
    <w:p w14:paraId="3806D071">
      <w:pPr>
        <w:spacing w:before="0" w:after="680" w:line="320" w:lineRule="auto"/>
        <w:jc w:val="center"/>
        <w:rPr>
          <w:rFonts w:hint="eastAsia" w:ascii="宋体" w:hAnsi="宋体" w:eastAsia="宋体" w:cs="宋体"/>
          <w:color w:val="auto"/>
        </w:rPr>
      </w:pPr>
      <w:r>
        <w:rPr>
          <w:rFonts w:hint="eastAsia" w:ascii="宋体" w:hAnsi="宋体" w:eastAsia="宋体" w:cs="宋体"/>
          <w:b/>
          <w:i w:val="0"/>
          <w:color w:val="auto"/>
          <w:sz w:val="30"/>
        </w:rPr>
        <w:t>儿童全周期临床胜任力训练与OSCE考核智能体</w:t>
      </w:r>
    </w:p>
    <w:p w14:paraId="69BADA68">
      <w:pPr>
        <w:pBdr>
          <w:left w:val="single" w:color="176FA9" w:sz="22" w:space="0"/>
        </w:pBdr>
        <w:shd w:val="clear" w:fill="EAF4F8"/>
        <w:spacing w:before="140" w:after="140" w:line="300" w:lineRule="auto"/>
        <w:ind w:left="173" w:right="115"/>
        <w:rPr>
          <w:rFonts w:hint="eastAsia" w:ascii="宋体" w:hAnsi="宋体" w:eastAsia="宋体" w:cs="宋体"/>
          <w:color w:val="auto"/>
        </w:rPr>
      </w:pPr>
      <w:r>
        <w:rPr>
          <w:rFonts w:hint="eastAsia" w:ascii="宋体" w:hAnsi="宋体" w:eastAsia="宋体" w:cs="宋体"/>
          <w:b/>
          <w:color w:val="auto"/>
          <w:sz w:val="21"/>
        </w:rPr>
        <w:t xml:space="preserve">核心结论  </w:t>
      </w:r>
      <w:r>
        <w:rPr>
          <w:rFonts w:hint="eastAsia" w:ascii="宋体" w:hAnsi="宋体" w:eastAsia="宋体" w:cs="宋体"/>
          <w:color w:val="auto"/>
          <w:sz w:val="21"/>
        </w:rPr>
        <w:t>系统不是普通医学问答工具，而是一套由教师控制内容与标准、由学生完成临床操作、由系统记录证据并形成反馈的儿科临床教学平台。</w:t>
      </w:r>
    </w:p>
    <w:p w14:paraId="6B3B4BA3">
      <w:pPr>
        <w:spacing w:before="0" w:after="60" w:line="320" w:lineRule="auto"/>
        <w:jc w:val="left"/>
        <w:rPr>
          <w:rFonts w:hint="eastAsia" w:ascii="宋体" w:hAnsi="宋体" w:eastAsia="宋体" w:cs="宋体"/>
          <w:color w:val="auto"/>
        </w:rPr>
      </w:pPr>
    </w:p>
    <w:p w14:paraId="3A2DFC08">
      <w:pPr>
        <w:spacing w:before="1400" w:after="100" w:line="320" w:lineRule="auto"/>
        <w:jc w:val="center"/>
        <w:rPr>
          <w:rFonts w:hint="eastAsia" w:ascii="宋体" w:hAnsi="宋体" w:eastAsia="宋体" w:cs="宋体"/>
          <w:color w:val="auto"/>
        </w:rPr>
      </w:pPr>
      <w:r>
        <w:rPr>
          <w:rFonts w:hint="eastAsia" w:ascii="宋体" w:hAnsi="宋体" w:eastAsia="宋体" w:cs="宋体"/>
          <w:b w:val="0"/>
          <w:i w:val="0"/>
          <w:color w:val="auto"/>
          <w:sz w:val="20"/>
        </w:rPr>
        <w:t>编制日期：2026年08月07日</w:t>
      </w:r>
    </w:p>
    <w:p w14:paraId="06F58FD4">
      <w:pPr>
        <w:spacing w:before="0" w:after="160" w:line="320" w:lineRule="auto"/>
        <w:jc w:val="center"/>
        <w:rPr>
          <w:rFonts w:hint="eastAsia" w:ascii="宋体" w:hAnsi="宋体" w:eastAsia="宋体" w:cs="宋体"/>
          <w:color w:val="auto"/>
        </w:rPr>
      </w:pPr>
      <w:r>
        <w:rPr>
          <w:rFonts w:hint="eastAsia" w:ascii="宋体" w:hAnsi="宋体" w:eastAsia="宋体" w:cs="宋体"/>
          <w:b w:val="0"/>
          <w:i w:val="0"/>
          <w:color w:val="auto"/>
          <w:sz w:val="20"/>
        </w:rPr>
        <w:t>文档状态：教师沟通与建设确认稿</w:t>
      </w:r>
    </w:p>
    <w:p w14:paraId="42F659D4">
      <w:pPr>
        <w:rPr>
          <w:rFonts w:hint="eastAsia" w:ascii="宋体" w:hAnsi="宋体" w:eastAsia="宋体" w:cs="宋体"/>
          <w:color w:val="auto"/>
        </w:rPr>
      </w:pPr>
      <w:r>
        <w:rPr>
          <w:rFonts w:hint="eastAsia" w:ascii="宋体" w:hAnsi="宋体" w:eastAsia="宋体" w:cs="宋体"/>
          <w:color w:val="auto"/>
        </w:rPr>
        <w:br w:type="page"/>
      </w:r>
    </w:p>
    <w:p w14:paraId="174DEC84">
      <w:pPr>
        <w:pStyle w:val="3"/>
        <w:keepNext/>
        <w:rPr>
          <w:rFonts w:hint="eastAsia" w:ascii="宋体" w:hAnsi="宋体" w:eastAsia="宋体" w:cs="宋体"/>
          <w:color w:val="auto"/>
        </w:rPr>
      </w:pPr>
      <w:r>
        <w:rPr>
          <w:rFonts w:hint="eastAsia" w:ascii="宋体" w:hAnsi="宋体" w:eastAsia="宋体" w:cs="宋体"/>
          <w:b/>
          <w:color w:val="auto"/>
          <w:sz w:val="32"/>
        </w:rPr>
        <w:t>一、系统定位与建设目标</w:t>
      </w:r>
    </w:p>
    <w:p w14:paraId="421E4847">
      <w:pPr>
        <w:spacing w:before="0" w:after="160" w:line="320" w:lineRule="auto"/>
        <w:jc w:val="left"/>
        <w:rPr>
          <w:rFonts w:hint="eastAsia" w:ascii="宋体" w:hAnsi="宋体" w:eastAsia="宋体" w:cs="宋体"/>
          <w:color w:val="auto"/>
        </w:rPr>
      </w:pPr>
      <w:r>
        <w:rPr>
          <w:rFonts w:hint="eastAsia" w:ascii="宋体" w:hAnsi="宋体" w:eastAsia="宋体" w:cs="宋体"/>
          <w:b w:val="0"/>
          <w:i w:val="0"/>
          <w:color w:val="auto"/>
          <w:sz w:val="21"/>
        </w:rPr>
        <w:t>“珞珈儿科智训”面向儿科学专业学生的见习、实习和OSCE训练。系统以虚拟患儿病例为载体，同时模拟患儿与家长，支持学生完成问诊、观察、查体、检查、诊断、处置和沟通，并依据教师确认的量表形成可解释评价。</w:t>
      </w:r>
    </w:p>
    <w:p w14:paraId="09F885EA">
      <w:pPr>
        <w:pBdr>
          <w:left w:val="single" w:color="C39532" w:sz="22" w:space="0"/>
        </w:pBdr>
        <w:shd w:val="clear" w:fill="FFF7E7"/>
        <w:spacing w:before="140" w:after="140" w:line="300" w:lineRule="auto"/>
        <w:ind w:left="173" w:right="115"/>
        <w:rPr>
          <w:rFonts w:hint="eastAsia" w:ascii="宋体" w:hAnsi="宋体" w:eastAsia="宋体" w:cs="宋体"/>
          <w:color w:val="auto"/>
        </w:rPr>
      </w:pPr>
      <w:r>
        <w:rPr>
          <w:rFonts w:hint="eastAsia" w:ascii="宋体" w:hAnsi="宋体" w:eastAsia="宋体" w:cs="宋体"/>
          <w:b/>
          <w:color w:val="auto"/>
          <w:sz w:val="21"/>
        </w:rPr>
        <w:t xml:space="preserve">老师最需要了解的三点  </w:t>
      </w:r>
      <w:r>
        <w:rPr>
          <w:rFonts w:hint="eastAsia" w:ascii="宋体" w:hAnsi="宋体" w:eastAsia="宋体" w:cs="宋体"/>
          <w:color w:val="auto"/>
          <w:sz w:val="21"/>
        </w:rPr>
        <w:t>第一，医学内容和评分标准由教师决定；第二，学生必须主动操作才能获得信息；第三，系统记录全过程，而不是只给一个总分。</w:t>
      </w:r>
    </w:p>
    <w:p w14:paraId="377227DD">
      <w:pPr>
        <w:spacing w:before="0" w:after="60" w:line="320" w:lineRule="auto"/>
        <w:jc w:val="left"/>
        <w:rPr>
          <w:rFonts w:hint="eastAsia" w:ascii="宋体" w:hAnsi="宋体" w:eastAsia="宋体" w:cs="宋体"/>
          <w:color w:val="auto"/>
        </w:rPr>
      </w:pPr>
    </w:p>
    <w:p w14:paraId="1BEC0E3A">
      <w:pPr>
        <w:pStyle w:val="4"/>
        <w:keepNext/>
        <w:rPr>
          <w:rFonts w:hint="eastAsia" w:ascii="宋体" w:hAnsi="宋体" w:eastAsia="宋体" w:cs="宋体"/>
          <w:color w:val="auto"/>
        </w:rPr>
      </w:pPr>
      <w:r>
        <w:rPr>
          <w:rFonts w:hint="eastAsia" w:ascii="宋体" w:hAnsi="宋体" w:eastAsia="宋体" w:cs="宋体"/>
          <w:b/>
          <w:color w:val="auto"/>
          <w:sz w:val="26"/>
        </w:rPr>
        <w:t>建设目标</w:t>
      </w:r>
    </w:p>
    <w:p w14:paraId="2F6195AA">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让难以重复配合的真实患儿场景能够安全、稳定地反复训练。</w:t>
      </w:r>
    </w:p>
    <w:p w14:paraId="21221544">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把患儿、家长和医生三方沟通纳入儿科临床能力评价。</w:t>
      </w:r>
    </w:p>
    <w:p w14:paraId="47962CDE">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让低频、高风险病例能够在无患者伤害的环境中练习。</w:t>
      </w:r>
    </w:p>
    <w:p w14:paraId="045DE984">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让OSCE评分能够回到学生具体操作证据，并自动推荐补练。</w:t>
      </w:r>
    </w:p>
    <w:p w14:paraId="5BD96F30">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沉淀武汉大学儿科学课程自己的病例、量表、指南和教学经验。</w:t>
      </w:r>
    </w:p>
    <w:p w14:paraId="0B81710D">
      <w:pPr>
        <w:pStyle w:val="3"/>
        <w:keepNext/>
        <w:rPr>
          <w:rFonts w:hint="eastAsia" w:ascii="宋体" w:hAnsi="宋体" w:eastAsia="宋体" w:cs="宋体"/>
          <w:color w:val="auto"/>
        </w:rPr>
      </w:pPr>
      <w:r>
        <w:rPr>
          <w:rFonts w:hint="eastAsia" w:ascii="宋体" w:hAnsi="宋体" w:eastAsia="宋体" w:cs="宋体"/>
          <w:b/>
          <w:color w:val="auto"/>
          <w:sz w:val="32"/>
        </w:rPr>
        <w:t>二、系统功能全景</w:t>
      </w:r>
    </w:p>
    <w:p w14:paraId="7DB6FA23">
      <w:pPr>
        <w:spacing w:after="10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897880" cy="3407410"/>
            <wp:effectExtent l="0" t="0" r="7620" b="2540"/>
            <wp:docPr id="1" name="Picture 1" descr="四个核心功能模块以及教师内容管理、动态病例安全规则和学习数据改进能力。" title="珞珈儿科智训功能全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四个核心功能模块以及教师内容管理、动态病例安全规则和学习数据改进能力。" title="珞珈儿科智训功能全景图"/>
                    <pic:cNvPicPr>
                      <a:picLocks noChangeAspect="1"/>
                    </pic:cNvPicPr>
                  </pic:nvPicPr>
                  <pic:blipFill>
                    <a:blip r:embed="rId8"/>
                    <a:stretch>
                      <a:fillRect/>
                    </a:stretch>
                  </pic:blipFill>
                  <pic:spPr>
                    <a:xfrm>
                      <a:off x="0" y="0"/>
                      <a:ext cx="5897880" cy="3407664"/>
                    </a:xfrm>
                    <a:prstGeom prst="rect">
                      <a:avLst/>
                    </a:prstGeom>
                  </pic:spPr>
                </pic:pic>
              </a:graphicData>
            </a:graphic>
          </wp:inline>
        </w:drawing>
      </w:r>
    </w:p>
    <w:p w14:paraId="35AEF5EC">
      <w:pPr>
        <w:spacing w:before="0" w:after="160" w:line="320" w:lineRule="auto"/>
        <w:jc w:val="center"/>
        <w:rPr>
          <w:rFonts w:hint="eastAsia" w:ascii="宋体" w:hAnsi="宋体" w:eastAsia="宋体" w:cs="宋体"/>
          <w:color w:val="auto"/>
        </w:rPr>
      </w:pPr>
      <w:r>
        <w:rPr>
          <w:rFonts w:hint="eastAsia" w:ascii="宋体" w:hAnsi="宋体" w:eastAsia="宋体" w:cs="宋体"/>
          <w:b w:val="0"/>
          <w:i w:val="0"/>
          <w:color w:val="auto"/>
          <w:sz w:val="17"/>
        </w:rPr>
        <w:t>图1  系统功能全景</w:t>
      </w:r>
    </w:p>
    <w:p w14:paraId="1CF5716D">
      <w:pPr>
        <w:pStyle w:val="4"/>
        <w:keepNext/>
        <w:rPr>
          <w:rFonts w:hint="eastAsia" w:ascii="宋体" w:hAnsi="宋体" w:eastAsia="宋体" w:cs="宋体"/>
          <w:color w:val="auto"/>
        </w:rPr>
      </w:pPr>
      <w:r>
        <w:rPr>
          <w:rFonts w:hint="eastAsia" w:ascii="宋体" w:hAnsi="宋体" w:eastAsia="宋体" w:cs="宋体"/>
          <w:b/>
          <w:color w:val="auto"/>
          <w:sz w:val="26"/>
        </w:rPr>
        <w:t>2.1 儿科问诊与可视化查体</w:t>
      </w:r>
    </w:p>
    <w:p w14:paraId="149163CE">
      <w:pPr>
        <w:spacing w:before="0" w:after="160" w:line="320" w:lineRule="auto"/>
        <w:jc w:val="left"/>
        <w:rPr>
          <w:rFonts w:hint="eastAsia" w:ascii="宋体" w:hAnsi="宋体" w:eastAsia="宋体" w:cs="宋体"/>
          <w:color w:val="auto"/>
        </w:rPr>
      </w:pPr>
      <w:r>
        <w:rPr>
          <w:rFonts w:hint="eastAsia" w:ascii="宋体" w:hAnsi="宋体" w:eastAsia="宋体" w:cs="宋体"/>
          <w:b w:val="0"/>
          <w:i w:val="0"/>
          <w:color w:val="auto"/>
          <w:sz w:val="21"/>
        </w:rPr>
        <w:t>系统分别模拟患儿和家长。患儿根据年龄表达主观感受，家长补充出生史、喂养史、发育史、接种史和病程时间线，避免两个角色重复提供全部信息。</w:t>
      </w:r>
    </w:p>
    <w:p w14:paraId="3767CC98">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可视化患儿模型：点击口腔、胸部、腹部、皮肤等部位，触发张口、吐舌、转身、抬臂等动作或表面体征。</w:t>
      </w:r>
    </w:p>
    <w:p w14:paraId="06C3D9B9">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器材工具栏：听诊器、血压计、体温计、压舌板等器材由学生自主选择。</w:t>
      </w:r>
    </w:p>
    <w:p w14:paraId="716A43CB">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专业校验：只有“病例状态＋器材＋身体部位＋操作顺序”匹配，才开放呼吸音、血压、体温等深层信息。</w:t>
      </w:r>
    </w:p>
    <w:p w14:paraId="6653DA93">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操作反馈：提供选中状态、动作动画、成功提示和分级纠错，并记录错误次数、顺序和用时。</w:t>
      </w:r>
    </w:p>
    <w:p w14:paraId="2061A40A">
      <w:pPr>
        <w:pStyle w:val="4"/>
        <w:keepNext/>
        <w:rPr>
          <w:rFonts w:hint="eastAsia" w:ascii="宋体" w:hAnsi="宋体" w:eastAsia="宋体" w:cs="宋体"/>
          <w:color w:val="auto"/>
        </w:rPr>
      </w:pPr>
      <w:r>
        <w:rPr>
          <w:rFonts w:hint="eastAsia" w:ascii="宋体" w:hAnsi="宋体" w:eastAsia="宋体" w:cs="宋体"/>
          <w:b/>
          <w:color w:val="auto"/>
          <w:sz w:val="26"/>
        </w:rPr>
        <w:t>2.2 儿童传染病专项</w:t>
      </w:r>
    </w:p>
    <w:p w14:paraId="59141CB9">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按年龄、季节、传播途径、临床综合征和隔离要求组织知识。</w:t>
      </w:r>
    </w:p>
    <w:p w14:paraId="6CE87A6B">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突出儿童非典型表现、疫苗接种、快速恶化风险和剂量安全。</w:t>
      </w:r>
    </w:p>
    <w:p w14:paraId="44842812">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训练接触史、聚集性发病史、报告流程、院感防控和家庭宣教。</w:t>
      </w:r>
    </w:p>
    <w:p w14:paraId="4E205C19">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每条知识记录来源、版本、审核教师和下次复核日期。</w:t>
      </w:r>
    </w:p>
    <w:p w14:paraId="1CD26C75">
      <w:pPr>
        <w:pStyle w:val="4"/>
        <w:keepNext/>
        <w:rPr>
          <w:rFonts w:hint="eastAsia" w:ascii="宋体" w:hAnsi="宋体" w:eastAsia="宋体" w:cs="宋体"/>
          <w:color w:val="auto"/>
        </w:rPr>
      </w:pPr>
      <w:r>
        <w:rPr>
          <w:rFonts w:hint="eastAsia" w:ascii="宋体" w:hAnsi="宋体" w:eastAsia="宋体" w:cs="宋体"/>
          <w:b/>
          <w:color w:val="auto"/>
          <w:sz w:val="26"/>
        </w:rPr>
        <w:t>2.3 儿科沟通专项</w:t>
      </w:r>
    </w:p>
    <w:p w14:paraId="57047A63">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覆盖哭闹拒检、焦虑家长、抗菌药诉求、疫苗犹豫、知情同意和青春期隐私等场景。</w:t>
      </w:r>
    </w:p>
    <w:p w14:paraId="16AF232A">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评价共情、通俗表达、风险解释、共同决策、儿童权益保护和安全网告知。</w:t>
      </w:r>
    </w:p>
    <w:p w14:paraId="3D77D7C7">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同一病例可配置不同家长性格与认知水平，训练学生适应性沟通。</w:t>
      </w:r>
    </w:p>
    <w:p w14:paraId="590E048E">
      <w:pPr>
        <w:pStyle w:val="4"/>
        <w:keepNext/>
        <w:rPr>
          <w:rFonts w:hint="eastAsia" w:ascii="宋体" w:hAnsi="宋体" w:eastAsia="宋体" w:cs="宋体"/>
          <w:color w:val="auto"/>
        </w:rPr>
      </w:pPr>
      <w:r>
        <w:rPr>
          <w:rFonts w:hint="eastAsia" w:ascii="宋体" w:hAnsi="宋体" w:eastAsia="宋体" w:cs="宋体"/>
          <w:b/>
          <w:color w:val="auto"/>
          <w:sz w:val="26"/>
        </w:rPr>
        <w:t>2.4 OSCE标准化评价</w:t>
      </w:r>
    </w:p>
    <w:p w14:paraId="36D99A3C">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支持问诊站、查体站、临床思维站、沟通站、急救站和健康宣教站。</w:t>
      </w:r>
    </w:p>
    <w:p w14:paraId="23CF762F">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量表由客观行为点、关键错误项和整体表现组成；正式成绩以教师锁定版本为准。</w:t>
      </w:r>
    </w:p>
    <w:p w14:paraId="0505CC72">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保存提问、点击、器材选择、操作顺序、用时、病情变化和沟通表达，形成证据链。</w:t>
      </w:r>
    </w:p>
    <w:p w14:paraId="790EC57E">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输出总分、分维度表现、扣分证据、标准示范和个性化补练任务。</w:t>
      </w:r>
    </w:p>
    <w:p w14:paraId="4752DC70">
      <w:pPr>
        <w:pStyle w:val="4"/>
        <w:keepNext/>
        <w:rPr>
          <w:rFonts w:hint="eastAsia" w:ascii="宋体" w:hAnsi="宋体" w:eastAsia="宋体" w:cs="宋体"/>
          <w:color w:val="auto"/>
        </w:rPr>
      </w:pPr>
      <w:r>
        <w:rPr>
          <w:rFonts w:hint="eastAsia" w:ascii="宋体" w:hAnsi="宋体" w:eastAsia="宋体" w:cs="宋体"/>
          <w:b/>
          <w:color w:val="auto"/>
          <w:sz w:val="26"/>
        </w:rPr>
        <w:t>2.5 教师内容与教学管理</w:t>
      </w:r>
    </w:p>
    <w:p w14:paraId="359BE733">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创建或导入病例，配置适用年级、难度、学习目标和危险信号。</w:t>
      </w:r>
    </w:p>
    <w:p w14:paraId="6B716D20">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维护知识来源、体征素材、器材映射、沟通脚本和OSCE量表版本。</w:t>
      </w:r>
    </w:p>
    <w:p w14:paraId="7FE4AA4E">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发布训练任务，设置时长、提示等级、考核模式和可见结果。</w:t>
      </w:r>
    </w:p>
    <w:p w14:paraId="735F1DE1">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查看班级薄弱项、病例难度、评分一致性和内容使用情况。</w:t>
      </w:r>
    </w:p>
    <w:p w14:paraId="4E659780">
      <w:pPr>
        <w:pStyle w:val="3"/>
        <w:keepNext/>
        <w:rPr>
          <w:rFonts w:hint="eastAsia" w:ascii="宋体" w:hAnsi="宋体" w:eastAsia="宋体" w:cs="宋体"/>
          <w:color w:val="auto"/>
        </w:rPr>
      </w:pPr>
      <w:r>
        <w:rPr>
          <w:rFonts w:hint="eastAsia" w:ascii="宋体" w:hAnsi="宋体" w:eastAsia="宋体" w:cs="宋体"/>
          <w:b/>
          <w:color w:val="auto"/>
          <w:sz w:val="32"/>
        </w:rPr>
        <w:t>三、角色与操作路径</w:t>
      </w:r>
    </w:p>
    <w:p w14:paraId="4BD71CD6">
      <w:pPr>
        <w:spacing w:after="10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897880" cy="3669665"/>
            <wp:effectExtent l="0" t="0" r="7620" b="6985"/>
            <wp:docPr id="2" name="Picture 2" descr="课程教师、学生和医学审核教师在内容准备、任务发布、学生训练、评价复盘和持续改进五阶段中的操作。" title="三类角色协同路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课程教师、学生和医学审核教师在内容准备、任务发布、学生训练、评价复盘和持续改进五阶段中的操作。" title="三类角色协同路径图"/>
                    <pic:cNvPicPr>
                      <a:picLocks noChangeAspect="1"/>
                    </pic:cNvPicPr>
                  </pic:nvPicPr>
                  <pic:blipFill>
                    <a:blip r:embed="rId9"/>
                    <a:stretch>
                      <a:fillRect/>
                    </a:stretch>
                  </pic:blipFill>
                  <pic:spPr>
                    <a:xfrm>
                      <a:off x="0" y="0"/>
                      <a:ext cx="5897880" cy="3669792"/>
                    </a:xfrm>
                    <a:prstGeom prst="rect">
                      <a:avLst/>
                    </a:prstGeom>
                  </pic:spPr>
                </pic:pic>
              </a:graphicData>
            </a:graphic>
          </wp:inline>
        </w:drawing>
      </w:r>
    </w:p>
    <w:p w14:paraId="3C6795AE">
      <w:pPr>
        <w:spacing w:before="0" w:after="160" w:line="320" w:lineRule="auto"/>
        <w:jc w:val="center"/>
        <w:rPr>
          <w:rFonts w:hint="eastAsia" w:ascii="宋体" w:hAnsi="宋体" w:eastAsia="宋体" w:cs="宋体"/>
          <w:color w:val="auto"/>
        </w:rPr>
      </w:pPr>
      <w:r>
        <w:rPr>
          <w:rFonts w:hint="eastAsia" w:ascii="宋体" w:hAnsi="宋体" w:eastAsia="宋体" w:cs="宋体"/>
          <w:b w:val="0"/>
          <w:i w:val="0"/>
          <w:color w:val="auto"/>
          <w:sz w:val="17"/>
        </w:rPr>
        <w:t>图2  三类角色操作路径</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150"/>
        <w:gridCol w:w="4710"/>
      </w:tblGrid>
      <w:tr w14:paraId="14C7C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7E80AB77">
            <w:pPr>
              <w:spacing w:after="0"/>
              <w:jc w:val="center"/>
              <w:rPr>
                <w:rFonts w:hint="eastAsia" w:ascii="宋体" w:hAnsi="宋体" w:eastAsia="宋体" w:cs="宋体"/>
                <w:color w:val="auto"/>
              </w:rPr>
            </w:pPr>
            <w:r>
              <w:rPr>
                <w:rFonts w:hint="eastAsia" w:ascii="宋体" w:hAnsi="宋体" w:eastAsia="宋体" w:cs="宋体"/>
                <w:b/>
                <w:color w:val="auto"/>
                <w:sz w:val="18"/>
              </w:rPr>
              <w:t>角色</w:t>
            </w:r>
          </w:p>
        </w:tc>
        <w:tc>
          <w:tcPr>
            <w:tcW w:w="315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657756D6">
            <w:pPr>
              <w:spacing w:after="0"/>
              <w:jc w:val="center"/>
              <w:rPr>
                <w:rFonts w:hint="eastAsia" w:ascii="宋体" w:hAnsi="宋体" w:eastAsia="宋体" w:cs="宋体"/>
                <w:color w:val="auto"/>
              </w:rPr>
            </w:pPr>
            <w:r>
              <w:rPr>
                <w:rFonts w:hint="eastAsia" w:ascii="宋体" w:hAnsi="宋体" w:eastAsia="宋体" w:cs="宋体"/>
                <w:b/>
                <w:color w:val="auto"/>
                <w:sz w:val="18"/>
              </w:rPr>
              <w:t>主要职责</w:t>
            </w:r>
          </w:p>
        </w:tc>
        <w:tc>
          <w:tcPr>
            <w:tcW w:w="471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2BF5D521">
            <w:pPr>
              <w:spacing w:after="0"/>
              <w:jc w:val="center"/>
              <w:rPr>
                <w:rFonts w:hint="eastAsia" w:ascii="宋体" w:hAnsi="宋体" w:eastAsia="宋体" w:cs="宋体"/>
                <w:color w:val="auto"/>
              </w:rPr>
            </w:pPr>
            <w:r>
              <w:rPr>
                <w:rFonts w:hint="eastAsia" w:ascii="宋体" w:hAnsi="宋体" w:eastAsia="宋体" w:cs="宋体"/>
                <w:b/>
                <w:color w:val="auto"/>
                <w:sz w:val="18"/>
              </w:rPr>
              <w:t>系统中的关键操作</w:t>
            </w:r>
          </w:p>
        </w:tc>
      </w:tr>
      <w:tr w14:paraId="07B64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1C958599">
            <w:pPr>
              <w:spacing w:after="0" w:line="283" w:lineRule="auto"/>
              <w:jc w:val="center"/>
              <w:rPr>
                <w:rFonts w:hint="eastAsia" w:ascii="宋体" w:hAnsi="宋体" w:eastAsia="宋体" w:cs="宋体"/>
                <w:color w:val="auto"/>
              </w:rPr>
            </w:pPr>
            <w:r>
              <w:rPr>
                <w:rFonts w:hint="eastAsia" w:ascii="宋体" w:hAnsi="宋体" w:eastAsia="宋体" w:cs="宋体"/>
                <w:b/>
                <w:color w:val="auto"/>
                <w:sz w:val="17"/>
              </w:rPr>
              <w:t>课程教师</w:t>
            </w:r>
          </w:p>
        </w:tc>
        <w:tc>
          <w:tcPr>
            <w:tcW w:w="315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0546E192">
            <w:pPr>
              <w:spacing w:after="0" w:line="283" w:lineRule="auto"/>
              <w:rPr>
                <w:rFonts w:hint="eastAsia" w:ascii="宋体" w:hAnsi="宋体" w:eastAsia="宋体" w:cs="宋体"/>
                <w:color w:val="auto"/>
              </w:rPr>
            </w:pPr>
            <w:r>
              <w:rPr>
                <w:rFonts w:hint="eastAsia" w:ascii="宋体" w:hAnsi="宋体" w:eastAsia="宋体" w:cs="宋体"/>
                <w:b w:val="0"/>
                <w:color w:val="auto"/>
                <w:sz w:val="17"/>
              </w:rPr>
              <w:t>定义教学目标并组织教学</w:t>
            </w:r>
          </w:p>
        </w:tc>
        <w:tc>
          <w:tcPr>
            <w:tcW w:w="471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54F56248">
            <w:pPr>
              <w:spacing w:after="0" w:line="283" w:lineRule="auto"/>
              <w:rPr>
                <w:rFonts w:hint="eastAsia" w:ascii="宋体" w:hAnsi="宋体" w:eastAsia="宋体" w:cs="宋体"/>
                <w:color w:val="auto"/>
              </w:rPr>
            </w:pPr>
            <w:r>
              <w:rPr>
                <w:rFonts w:hint="eastAsia" w:ascii="宋体" w:hAnsi="宋体" w:eastAsia="宋体" w:cs="宋体"/>
                <w:b w:val="0"/>
                <w:color w:val="auto"/>
                <w:sz w:val="17"/>
              </w:rPr>
              <w:t>选择病例、配置难度与提示、发布任务、查看班级结果</w:t>
            </w:r>
          </w:p>
        </w:tc>
      </w:tr>
      <w:tr w14:paraId="328D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42FD31FC">
            <w:pPr>
              <w:spacing w:after="0" w:line="283" w:lineRule="auto"/>
              <w:jc w:val="center"/>
              <w:rPr>
                <w:rFonts w:hint="eastAsia" w:ascii="宋体" w:hAnsi="宋体" w:eastAsia="宋体" w:cs="宋体"/>
                <w:color w:val="auto"/>
              </w:rPr>
            </w:pPr>
            <w:r>
              <w:rPr>
                <w:rFonts w:hint="eastAsia" w:ascii="宋体" w:hAnsi="宋体" w:eastAsia="宋体" w:cs="宋体"/>
                <w:b/>
                <w:color w:val="auto"/>
                <w:sz w:val="17"/>
              </w:rPr>
              <w:t>学生</w:t>
            </w:r>
          </w:p>
        </w:tc>
        <w:tc>
          <w:tcPr>
            <w:tcW w:w="315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1A7C1446">
            <w:pPr>
              <w:spacing w:after="0" w:line="283" w:lineRule="auto"/>
              <w:rPr>
                <w:rFonts w:hint="eastAsia" w:ascii="宋体" w:hAnsi="宋体" w:eastAsia="宋体" w:cs="宋体"/>
                <w:color w:val="auto"/>
              </w:rPr>
            </w:pPr>
            <w:r>
              <w:rPr>
                <w:rFonts w:hint="eastAsia" w:ascii="宋体" w:hAnsi="宋体" w:eastAsia="宋体" w:cs="宋体"/>
                <w:b w:val="0"/>
                <w:color w:val="auto"/>
                <w:sz w:val="17"/>
              </w:rPr>
              <w:t>完成临床训练并改进能力</w:t>
            </w:r>
          </w:p>
        </w:tc>
        <w:tc>
          <w:tcPr>
            <w:tcW w:w="471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1B0617D0">
            <w:pPr>
              <w:spacing w:after="0" w:line="283" w:lineRule="auto"/>
              <w:rPr>
                <w:rFonts w:hint="eastAsia" w:ascii="宋体" w:hAnsi="宋体" w:eastAsia="宋体" w:cs="宋体"/>
                <w:color w:val="auto"/>
              </w:rPr>
            </w:pPr>
            <w:r>
              <w:rPr>
                <w:rFonts w:hint="eastAsia" w:ascii="宋体" w:hAnsi="宋体" w:eastAsia="宋体" w:cs="宋体"/>
                <w:b w:val="0"/>
                <w:color w:val="auto"/>
                <w:sz w:val="17"/>
              </w:rPr>
              <w:t>问诊、可视化查体、器材检查、诊疗决策、沟通、查看反馈与补练</w:t>
            </w:r>
          </w:p>
        </w:tc>
      </w:tr>
      <w:tr w14:paraId="7B89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725B08AD">
            <w:pPr>
              <w:spacing w:after="0" w:line="283" w:lineRule="auto"/>
              <w:jc w:val="center"/>
              <w:rPr>
                <w:rFonts w:hint="eastAsia" w:ascii="宋体" w:hAnsi="宋体" w:eastAsia="宋体" w:cs="宋体"/>
                <w:color w:val="auto"/>
              </w:rPr>
            </w:pPr>
            <w:r>
              <w:rPr>
                <w:rFonts w:hint="eastAsia" w:ascii="宋体" w:hAnsi="宋体" w:eastAsia="宋体" w:cs="宋体"/>
                <w:b/>
                <w:color w:val="auto"/>
                <w:sz w:val="17"/>
              </w:rPr>
              <w:t>医学审核教师</w:t>
            </w:r>
          </w:p>
        </w:tc>
        <w:tc>
          <w:tcPr>
            <w:tcW w:w="315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6D84E8C2">
            <w:pPr>
              <w:spacing w:after="0" w:line="283" w:lineRule="auto"/>
              <w:rPr>
                <w:rFonts w:hint="eastAsia" w:ascii="宋体" w:hAnsi="宋体" w:eastAsia="宋体" w:cs="宋体"/>
                <w:color w:val="auto"/>
              </w:rPr>
            </w:pPr>
            <w:r>
              <w:rPr>
                <w:rFonts w:hint="eastAsia" w:ascii="宋体" w:hAnsi="宋体" w:eastAsia="宋体" w:cs="宋体"/>
                <w:b w:val="0"/>
                <w:color w:val="auto"/>
                <w:sz w:val="17"/>
              </w:rPr>
              <w:t>保证医学正确性和评分公平</w:t>
            </w:r>
          </w:p>
        </w:tc>
        <w:tc>
          <w:tcPr>
            <w:tcW w:w="471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2C7A32F6">
            <w:pPr>
              <w:spacing w:after="0" w:line="283" w:lineRule="auto"/>
              <w:rPr>
                <w:rFonts w:hint="eastAsia" w:ascii="宋体" w:hAnsi="宋体" w:eastAsia="宋体" w:cs="宋体"/>
                <w:color w:val="auto"/>
              </w:rPr>
            </w:pPr>
            <w:r>
              <w:rPr>
                <w:rFonts w:hint="eastAsia" w:ascii="宋体" w:hAnsi="宋体" w:eastAsia="宋体" w:cs="宋体"/>
                <w:b w:val="0"/>
                <w:color w:val="auto"/>
                <w:sz w:val="17"/>
              </w:rPr>
              <w:t>审核病例与指南、确认器材规则、锁定量表、复核异常评分</w:t>
            </w:r>
          </w:p>
        </w:tc>
      </w:tr>
      <w:tr w14:paraId="211E0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222D036C">
            <w:pPr>
              <w:spacing w:after="0" w:line="283" w:lineRule="auto"/>
              <w:jc w:val="center"/>
              <w:rPr>
                <w:rFonts w:hint="eastAsia" w:ascii="宋体" w:hAnsi="宋体" w:eastAsia="宋体" w:cs="宋体"/>
                <w:color w:val="auto"/>
              </w:rPr>
            </w:pPr>
            <w:r>
              <w:rPr>
                <w:rFonts w:hint="eastAsia" w:ascii="宋体" w:hAnsi="宋体" w:eastAsia="宋体" w:cs="宋体"/>
                <w:b/>
                <w:color w:val="auto"/>
                <w:sz w:val="17"/>
              </w:rPr>
              <w:t>系统管理员</w:t>
            </w:r>
          </w:p>
        </w:tc>
        <w:tc>
          <w:tcPr>
            <w:tcW w:w="315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352B7CF2">
            <w:pPr>
              <w:spacing w:after="0" w:line="283" w:lineRule="auto"/>
              <w:rPr>
                <w:rFonts w:hint="eastAsia" w:ascii="宋体" w:hAnsi="宋体" w:eastAsia="宋体" w:cs="宋体"/>
                <w:color w:val="auto"/>
              </w:rPr>
            </w:pPr>
            <w:r>
              <w:rPr>
                <w:rFonts w:hint="eastAsia" w:ascii="宋体" w:hAnsi="宋体" w:eastAsia="宋体" w:cs="宋体"/>
                <w:b w:val="0"/>
                <w:color w:val="auto"/>
                <w:sz w:val="17"/>
              </w:rPr>
              <w:t>维护平台运行和权限</w:t>
            </w:r>
          </w:p>
        </w:tc>
        <w:tc>
          <w:tcPr>
            <w:tcW w:w="471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0C9B1EE0">
            <w:pPr>
              <w:spacing w:after="0" w:line="283" w:lineRule="auto"/>
              <w:rPr>
                <w:rFonts w:hint="eastAsia" w:ascii="宋体" w:hAnsi="宋体" w:eastAsia="宋体" w:cs="宋体"/>
                <w:color w:val="auto"/>
              </w:rPr>
            </w:pPr>
            <w:r>
              <w:rPr>
                <w:rFonts w:hint="eastAsia" w:ascii="宋体" w:hAnsi="宋体" w:eastAsia="宋体" w:cs="宋体"/>
                <w:b w:val="0"/>
                <w:color w:val="auto"/>
                <w:sz w:val="17"/>
              </w:rPr>
              <w:t>账号、角色权限、日志、版本备份和数据安全配置</w:t>
            </w:r>
          </w:p>
        </w:tc>
      </w:tr>
    </w:tbl>
    <w:p w14:paraId="62B42890">
      <w:pPr>
        <w:spacing w:before="0" w:after="60" w:line="320" w:lineRule="auto"/>
        <w:jc w:val="left"/>
        <w:rPr>
          <w:rFonts w:hint="eastAsia" w:ascii="宋体" w:hAnsi="宋体" w:eastAsia="宋体" w:cs="宋体"/>
          <w:color w:val="auto"/>
        </w:rPr>
      </w:pPr>
    </w:p>
    <w:p w14:paraId="1A7D18E6">
      <w:pPr>
        <w:pStyle w:val="3"/>
        <w:keepNext/>
        <w:rPr>
          <w:rFonts w:hint="eastAsia" w:ascii="宋体" w:hAnsi="宋体" w:eastAsia="宋体" w:cs="宋体"/>
          <w:color w:val="auto"/>
        </w:rPr>
      </w:pPr>
      <w:r>
        <w:rPr>
          <w:rFonts w:hint="eastAsia" w:ascii="宋体" w:hAnsi="宋体" w:eastAsia="宋体" w:cs="宋体"/>
          <w:b/>
          <w:color w:val="auto"/>
          <w:sz w:val="32"/>
        </w:rPr>
        <w:t>四、典型教学应用</w:t>
      </w:r>
    </w:p>
    <w:p w14:paraId="455F14D5">
      <w:pPr>
        <w:pStyle w:val="4"/>
        <w:keepNext/>
        <w:rPr>
          <w:rFonts w:hint="eastAsia" w:ascii="宋体" w:hAnsi="宋体" w:eastAsia="宋体" w:cs="宋体"/>
          <w:color w:val="auto"/>
        </w:rPr>
      </w:pPr>
      <w:r>
        <w:rPr>
          <w:rFonts w:hint="eastAsia" w:ascii="宋体" w:hAnsi="宋体" w:eastAsia="宋体" w:cs="宋体"/>
          <w:b/>
          <w:color w:val="auto"/>
          <w:sz w:val="26"/>
        </w:rPr>
        <w:t>课前自主训练</w:t>
      </w:r>
    </w:p>
    <w:p w14:paraId="2D870025">
      <w:pPr>
        <w:spacing w:before="0" w:after="160" w:line="320" w:lineRule="auto"/>
        <w:jc w:val="left"/>
        <w:rPr>
          <w:rFonts w:hint="eastAsia" w:ascii="宋体" w:hAnsi="宋体" w:eastAsia="宋体" w:cs="宋体"/>
          <w:color w:val="auto"/>
        </w:rPr>
      </w:pPr>
      <w:r>
        <w:rPr>
          <w:rFonts w:hint="eastAsia" w:ascii="宋体" w:hAnsi="宋体" w:eastAsia="宋体" w:cs="宋体"/>
          <w:b w:val="0"/>
          <w:i w:val="0"/>
          <w:color w:val="auto"/>
          <w:sz w:val="21"/>
        </w:rPr>
        <w:t>学生在见习前完成基础病例，教师查看共性遗漏项并调整课堂重点。</w:t>
      </w:r>
    </w:p>
    <w:p w14:paraId="592E81EE">
      <w:pPr>
        <w:pStyle w:val="4"/>
        <w:keepNext/>
        <w:rPr>
          <w:rFonts w:hint="eastAsia" w:ascii="宋体" w:hAnsi="宋体" w:eastAsia="宋体" w:cs="宋体"/>
          <w:color w:val="auto"/>
        </w:rPr>
      </w:pPr>
      <w:r>
        <w:rPr>
          <w:rFonts w:hint="eastAsia" w:ascii="宋体" w:hAnsi="宋体" w:eastAsia="宋体" w:cs="宋体"/>
          <w:b/>
          <w:color w:val="auto"/>
          <w:sz w:val="26"/>
        </w:rPr>
        <w:t>课堂情境教学</w:t>
      </w:r>
    </w:p>
    <w:p w14:paraId="00A1D3F6">
      <w:pPr>
        <w:spacing w:before="0" w:after="160" w:line="320" w:lineRule="auto"/>
        <w:jc w:val="left"/>
        <w:rPr>
          <w:rFonts w:hint="eastAsia" w:ascii="宋体" w:hAnsi="宋体" w:eastAsia="宋体" w:cs="宋体"/>
          <w:color w:val="auto"/>
        </w:rPr>
      </w:pPr>
      <w:r>
        <w:rPr>
          <w:rFonts w:hint="eastAsia" w:ascii="宋体" w:hAnsi="宋体" w:eastAsia="宋体" w:cs="宋体"/>
          <w:b w:val="0"/>
          <w:i w:val="0"/>
          <w:color w:val="auto"/>
          <w:sz w:val="21"/>
        </w:rPr>
        <w:t>教师投放同一患儿病例，学生分组讨论并比较不同操作导致的病情变化。</w:t>
      </w:r>
    </w:p>
    <w:p w14:paraId="45CFB934">
      <w:pPr>
        <w:pStyle w:val="4"/>
        <w:keepNext/>
        <w:rPr>
          <w:rFonts w:hint="eastAsia" w:ascii="宋体" w:hAnsi="宋体" w:eastAsia="宋体" w:cs="宋体"/>
          <w:color w:val="auto"/>
        </w:rPr>
      </w:pPr>
      <w:r>
        <w:rPr>
          <w:rFonts w:hint="eastAsia" w:ascii="宋体" w:hAnsi="宋体" w:eastAsia="宋体" w:cs="宋体"/>
          <w:b/>
          <w:color w:val="auto"/>
          <w:sz w:val="26"/>
        </w:rPr>
        <w:t>OSCE考前训练</w:t>
      </w:r>
    </w:p>
    <w:p w14:paraId="41E4CB64">
      <w:pPr>
        <w:spacing w:before="0" w:after="160" w:line="320" w:lineRule="auto"/>
        <w:jc w:val="left"/>
        <w:rPr>
          <w:rFonts w:hint="eastAsia" w:ascii="宋体" w:hAnsi="宋体" w:eastAsia="宋体" w:cs="宋体"/>
          <w:color w:val="auto"/>
        </w:rPr>
      </w:pPr>
      <w:r>
        <w:rPr>
          <w:rFonts w:hint="eastAsia" w:ascii="宋体" w:hAnsi="宋体" w:eastAsia="宋体" w:cs="宋体"/>
          <w:b w:val="0"/>
          <w:i w:val="0"/>
          <w:color w:val="auto"/>
          <w:sz w:val="21"/>
        </w:rPr>
        <w:t>按照正式考站时长和量表完成练习，隐藏提示，输出逐项证据。</w:t>
      </w:r>
    </w:p>
    <w:p w14:paraId="3E719E23">
      <w:pPr>
        <w:pStyle w:val="4"/>
        <w:keepNext/>
        <w:rPr>
          <w:rFonts w:hint="eastAsia" w:ascii="宋体" w:hAnsi="宋体" w:eastAsia="宋体" w:cs="宋体"/>
          <w:color w:val="auto"/>
        </w:rPr>
      </w:pPr>
      <w:r>
        <w:rPr>
          <w:rFonts w:hint="eastAsia" w:ascii="宋体" w:hAnsi="宋体" w:eastAsia="宋体" w:cs="宋体"/>
          <w:b/>
          <w:color w:val="auto"/>
          <w:sz w:val="26"/>
        </w:rPr>
        <w:t>低频危重病例</w:t>
      </w:r>
    </w:p>
    <w:p w14:paraId="0450FB91">
      <w:pPr>
        <w:spacing w:before="0" w:after="160" w:line="320" w:lineRule="auto"/>
        <w:jc w:val="left"/>
        <w:rPr>
          <w:rFonts w:hint="eastAsia" w:ascii="宋体" w:hAnsi="宋体" w:eastAsia="宋体" w:cs="宋体"/>
          <w:color w:val="auto"/>
        </w:rPr>
      </w:pPr>
      <w:r>
        <w:rPr>
          <w:rFonts w:hint="eastAsia" w:ascii="宋体" w:hAnsi="宋体" w:eastAsia="宋体" w:cs="宋体"/>
          <w:b w:val="0"/>
          <w:i w:val="0"/>
          <w:color w:val="auto"/>
          <w:sz w:val="21"/>
        </w:rPr>
        <w:t>模拟低氧、休克、惊厥等快速变化场景，训练识别、处置顺序与患者安全。</w:t>
      </w:r>
    </w:p>
    <w:p w14:paraId="02C3506D">
      <w:pPr>
        <w:pStyle w:val="4"/>
        <w:keepNext/>
        <w:rPr>
          <w:rFonts w:hint="eastAsia" w:ascii="宋体" w:hAnsi="宋体" w:eastAsia="宋体" w:cs="宋体"/>
          <w:color w:val="auto"/>
        </w:rPr>
      </w:pPr>
      <w:r>
        <w:rPr>
          <w:rFonts w:hint="eastAsia" w:ascii="宋体" w:hAnsi="宋体" w:eastAsia="宋体" w:cs="宋体"/>
          <w:b/>
          <w:color w:val="auto"/>
          <w:sz w:val="26"/>
        </w:rPr>
        <w:t>传染病与沟通</w:t>
      </w:r>
    </w:p>
    <w:p w14:paraId="2717577E">
      <w:pPr>
        <w:spacing w:before="0" w:after="160" w:line="320" w:lineRule="auto"/>
        <w:jc w:val="left"/>
        <w:rPr>
          <w:rFonts w:hint="eastAsia" w:ascii="宋体" w:hAnsi="宋体" w:eastAsia="宋体" w:cs="宋体"/>
          <w:color w:val="auto"/>
        </w:rPr>
      </w:pPr>
      <w:r>
        <w:rPr>
          <w:rFonts w:hint="eastAsia" w:ascii="宋体" w:hAnsi="宋体" w:eastAsia="宋体" w:cs="宋体"/>
          <w:b w:val="0"/>
          <w:i w:val="0"/>
          <w:color w:val="auto"/>
          <w:sz w:val="21"/>
        </w:rPr>
        <w:t>同时考查接触史、隔离报告和对家长的风险沟通。</w:t>
      </w:r>
    </w:p>
    <w:p w14:paraId="139FB1AF">
      <w:pPr>
        <w:pStyle w:val="4"/>
        <w:keepNext/>
        <w:rPr>
          <w:rFonts w:hint="eastAsia" w:ascii="宋体" w:hAnsi="宋体" w:eastAsia="宋体" w:cs="宋体"/>
          <w:color w:val="auto"/>
        </w:rPr>
      </w:pPr>
      <w:r>
        <w:rPr>
          <w:rFonts w:hint="eastAsia" w:ascii="宋体" w:hAnsi="宋体" w:eastAsia="宋体" w:cs="宋体"/>
          <w:b/>
          <w:color w:val="auto"/>
          <w:sz w:val="26"/>
        </w:rPr>
        <w:t>建议的武汉大学特色</w:t>
      </w:r>
    </w:p>
    <w:p w14:paraId="04A74EC6">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使用经授权的校本病例、校本OSCE量表和教师标准示范形成核心教学资产。</w:t>
      </w:r>
    </w:p>
    <w:p w14:paraId="56C74487">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把“德医双修、知行合一”落实为儿童权益、家长沟通、共同决策等可观察行为。</w:t>
      </w:r>
    </w:p>
    <w:p w14:paraId="7BC9B3BE">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由儿科学课程教师与附属教学医院教师共同审核病例和量表；未经授权不使用医院名称或诊疗特色。</w:t>
      </w:r>
    </w:p>
    <w:p w14:paraId="4CDAD22B">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围绕武汉地区儿童季节性传染病和托幼机构聚集性场景建设专题病例，所有内容标明来源和时间。</w:t>
      </w:r>
    </w:p>
    <w:p w14:paraId="6CB7658F">
      <w:pPr>
        <w:rPr>
          <w:rFonts w:hint="eastAsia" w:ascii="宋体" w:hAnsi="宋体" w:eastAsia="宋体" w:cs="宋体"/>
          <w:color w:val="auto"/>
        </w:rPr>
      </w:pPr>
      <w:r>
        <w:rPr>
          <w:rFonts w:hint="eastAsia" w:ascii="宋体" w:hAnsi="宋体" w:eastAsia="宋体" w:cs="宋体"/>
          <w:color w:val="auto"/>
        </w:rPr>
        <w:br w:type="page"/>
      </w:r>
    </w:p>
    <w:p w14:paraId="412175A3">
      <w:pPr>
        <w:pStyle w:val="3"/>
        <w:keepNext/>
        <w:rPr>
          <w:rFonts w:hint="eastAsia" w:ascii="宋体" w:hAnsi="宋体" w:eastAsia="宋体" w:cs="宋体"/>
          <w:color w:val="auto"/>
        </w:rPr>
      </w:pPr>
      <w:r>
        <w:rPr>
          <w:rFonts w:hint="eastAsia" w:ascii="宋体" w:hAnsi="宋体" w:eastAsia="宋体" w:cs="宋体"/>
          <w:b/>
          <w:color w:val="auto"/>
          <w:sz w:val="32"/>
        </w:rPr>
        <w:t>五、知识库建设所需资源清单</w:t>
      </w:r>
    </w:p>
    <w:p w14:paraId="31671F79">
      <w:pPr>
        <w:spacing w:before="0" w:after="160" w:line="320" w:lineRule="auto"/>
        <w:jc w:val="left"/>
        <w:rPr>
          <w:rFonts w:hint="eastAsia" w:ascii="宋体" w:hAnsi="宋体" w:eastAsia="宋体" w:cs="宋体"/>
          <w:color w:val="auto"/>
        </w:rPr>
      </w:pPr>
      <w:r>
        <w:rPr>
          <w:rFonts w:hint="eastAsia" w:ascii="宋体" w:hAnsi="宋体" w:eastAsia="宋体" w:cs="宋体"/>
          <w:b w:val="0"/>
          <w:i w:val="0"/>
          <w:color w:val="auto"/>
          <w:sz w:val="21"/>
        </w:rPr>
        <w:t>以下材料用于把通用原型转化为可教学、可考核、可追溯的校本系统。真实病例和多媒体素材必须先完成脱敏、授权与医学审核。</w:t>
      </w:r>
    </w:p>
    <w:p w14:paraId="6B1397A3">
      <w:pPr>
        <w:pStyle w:val="4"/>
        <w:keepNext/>
        <w:rPr>
          <w:rFonts w:hint="eastAsia" w:ascii="宋体" w:hAnsi="宋体" w:eastAsia="宋体" w:cs="宋体"/>
          <w:color w:val="auto"/>
        </w:rPr>
      </w:pPr>
      <w:r>
        <w:rPr>
          <w:rFonts w:hint="eastAsia" w:ascii="宋体" w:hAnsi="宋体" w:eastAsia="宋体" w:cs="宋体"/>
          <w:b/>
          <w:color w:val="auto"/>
          <w:sz w:val="26"/>
        </w:rPr>
        <w:t>A. 教学目标与课程标准</w:t>
      </w:r>
    </w:p>
    <w:tbl>
      <w:tblPr>
        <w:tblStyle w:val="33"/>
        <w:tblW w:w="792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3920"/>
        <w:gridCol w:w="3000"/>
      </w:tblGrid>
      <w:tr w14:paraId="0F83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66D0F434">
            <w:pPr>
              <w:spacing w:after="0"/>
              <w:jc w:val="center"/>
              <w:rPr>
                <w:rFonts w:hint="eastAsia" w:ascii="宋体" w:hAnsi="宋体" w:eastAsia="宋体" w:cs="宋体"/>
                <w:color w:val="auto"/>
              </w:rPr>
            </w:pPr>
            <w:r>
              <w:rPr>
                <w:rFonts w:hint="eastAsia" w:ascii="宋体" w:hAnsi="宋体" w:eastAsia="宋体" w:cs="宋体"/>
                <w:b/>
                <w:color w:val="auto"/>
                <w:sz w:val="18"/>
              </w:rPr>
              <w:t>编号</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3D5014C0">
            <w:pPr>
              <w:spacing w:after="0"/>
              <w:jc w:val="center"/>
              <w:rPr>
                <w:rFonts w:hint="eastAsia" w:ascii="宋体" w:hAnsi="宋体" w:eastAsia="宋体" w:cs="宋体"/>
                <w:color w:val="auto"/>
              </w:rPr>
            </w:pPr>
            <w:r>
              <w:rPr>
                <w:rFonts w:hint="eastAsia" w:ascii="宋体" w:hAnsi="宋体" w:eastAsia="宋体" w:cs="宋体"/>
                <w:b/>
                <w:color w:val="auto"/>
                <w:sz w:val="18"/>
              </w:rPr>
              <w:t>老师需提供的资料</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2A92709E">
            <w:pPr>
              <w:spacing w:after="0"/>
              <w:jc w:val="center"/>
              <w:rPr>
                <w:rFonts w:hint="eastAsia" w:ascii="宋体" w:hAnsi="宋体" w:eastAsia="宋体" w:cs="宋体"/>
                <w:color w:val="auto"/>
              </w:rPr>
            </w:pPr>
            <w:r>
              <w:rPr>
                <w:rFonts w:hint="eastAsia" w:ascii="宋体" w:hAnsi="宋体" w:eastAsia="宋体" w:cs="宋体"/>
                <w:b/>
                <w:color w:val="auto"/>
                <w:sz w:val="18"/>
              </w:rPr>
              <w:t>用途</w:t>
            </w:r>
          </w:p>
        </w:tc>
      </w:tr>
      <w:tr w14:paraId="55D6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0D42B0C2">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A01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3EDC809C">
            <w:pPr>
              <w:spacing w:after="0" w:line="283" w:lineRule="auto"/>
              <w:rPr>
                <w:rFonts w:hint="eastAsia" w:ascii="宋体" w:hAnsi="宋体" w:eastAsia="宋体" w:cs="宋体"/>
                <w:color w:val="auto"/>
              </w:rPr>
            </w:pPr>
            <w:r>
              <w:rPr>
                <w:rFonts w:hint="eastAsia" w:ascii="宋体" w:hAnsi="宋体" w:eastAsia="宋体" w:cs="宋体"/>
                <w:b w:val="0"/>
                <w:color w:val="auto"/>
                <w:sz w:val="15"/>
              </w:rPr>
              <w:t>儿科学课程大纲、培养目标、见习/实习要求</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AAB0E41">
            <w:pPr>
              <w:spacing w:after="0" w:line="283" w:lineRule="auto"/>
              <w:rPr>
                <w:rFonts w:hint="eastAsia" w:ascii="宋体" w:hAnsi="宋体" w:eastAsia="宋体" w:cs="宋体"/>
                <w:color w:val="auto"/>
              </w:rPr>
            </w:pPr>
            <w:r>
              <w:rPr>
                <w:rFonts w:hint="eastAsia" w:ascii="宋体" w:hAnsi="宋体" w:eastAsia="宋体" w:cs="宋体"/>
                <w:b w:val="0"/>
                <w:color w:val="auto"/>
                <w:sz w:val="15"/>
              </w:rPr>
              <w:t>建立能力框架和适用年级</w:t>
            </w:r>
          </w:p>
        </w:tc>
      </w:tr>
      <w:tr w14:paraId="5FAA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7CF52454">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A02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03AD6B10">
            <w:pPr>
              <w:spacing w:after="0" w:line="283" w:lineRule="auto"/>
              <w:rPr>
                <w:rFonts w:hint="eastAsia" w:ascii="宋体" w:hAnsi="宋体" w:eastAsia="宋体" w:cs="宋体"/>
                <w:color w:val="auto"/>
              </w:rPr>
            </w:pPr>
            <w:r>
              <w:rPr>
                <w:rFonts w:hint="eastAsia" w:ascii="宋体" w:hAnsi="宋体" w:eastAsia="宋体" w:cs="宋体"/>
                <w:b w:val="0"/>
                <w:color w:val="auto"/>
                <w:sz w:val="15"/>
              </w:rPr>
              <w:t>课程知识点目录、章节结构和重点难点</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339DC07A">
            <w:pPr>
              <w:spacing w:after="0" w:line="283" w:lineRule="auto"/>
              <w:rPr>
                <w:rFonts w:hint="eastAsia" w:ascii="宋体" w:hAnsi="宋体" w:eastAsia="宋体" w:cs="宋体"/>
                <w:color w:val="auto"/>
              </w:rPr>
            </w:pPr>
            <w:r>
              <w:rPr>
                <w:rFonts w:hint="eastAsia" w:ascii="宋体" w:hAnsi="宋体" w:eastAsia="宋体" w:cs="宋体"/>
                <w:b w:val="0"/>
                <w:color w:val="auto"/>
                <w:sz w:val="15"/>
              </w:rPr>
              <w:t>建立知识标签与检索目录</w:t>
            </w:r>
          </w:p>
        </w:tc>
      </w:tr>
      <w:tr w14:paraId="2D5D3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6DF050A5">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A03 建议</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7AD97A28">
            <w:pPr>
              <w:spacing w:after="0" w:line="283" w:lineRule="auto"/>
              <w:rPr>
                <w:rFonts w:hint="eastAsia" w:ascii="宋体" w:hAnsi="宋体" w:eastAsia="宋体" w:cs="宋体"/>
                <w:color w:val="auto"/>
              </w:rPr>
            </w:pPr>
            <w:r>
              <w:rPr>
                <w:rFonts w:hint="eastAsia" w:ascii="宋体" w:hAnsi="宋体" w:eastAsia="宋体" w:cs="宋体"/>
                <w:b w:val="0"/>
                <w:color w:val="auto"/>
                <w:sz w:val="15"/>
              </w:rPr>
              <w:t>学生常见错误、课程评价和教师教学痛点</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3F352798">
            <w:pPr>
              <w:spacing w:after="0" w:line="283" w:lineRule="auto"/>
              <w:rPr>
                <w:rFonts w:hint="eastAsia" w:ascii="宋体" w:hAnsi="宋体" w:eastAsia="宋体" w:cs="宋体"/>
                <w:color w:val="auto"/>
              </w:rPr>
            </w:pPr>
            <w:r>
              <w:rPr>
                <w:rFonts w:hint="eastAsia" w:ascii="宋体" w:hAnsi="宋体" w:eastAsia="宋体" w:cs="宋体"/>
                <w:b w:val="0"/>
                <w:color w:val="auto"/>
                <w:sz w:val="15"/>
              </w:rPr>
              <w:t>设计重点提示与补练任务</w:t>
            </w:r>
          </w:p>
        </w:tc>
      </w:tr>
    </w:tbl>
    <w:p w14:paraId="18AE8BA7">
      <w:pPr>
        <w:spacing w:before="0" w:after="60" w:line="320" w:lineRule="auto"/>
        <w:jc w:val="left"/>
        <w:rPr>
          <w:rFonts w:hint="eastAsia" w:ascii="宋体" w:hAnsi="宋体" w:eastAsia="宋体" w:cs="宋体"/>
          <w:color w:val="auto"/>
        </w:rPr>
      </w:pPr>
    </w:p>
    <w:p w14:paraId="574AE775">
      <w:pPr>
        <w:pStyle w:val="4"/>
        <w:keepNext/>
        <w:rPr>
          <w:rFonts w:hint="eastAsia" w:ascii="宋体" w:hAnsi="宋体" w:eastAsia="宋体" w:cs="宋体"/>
          <w:color w:val="auto"/>
        </w:rPr>
      </w:pPr>
      <w:r>
        <w:rPr>
          <w:rFonts w:hint="eastAsia" w:ascii="宋体" w:hAnsi="宋体" w:eastAsia="宋体" w:cs="宋体"/>
          <w:b/>
          <w:color w:val="auto"/>
          <w:sz w:val="26"/>
        </w:rPr>
        <w:t>B. 病例与问诊知识</w:t>
      </w:r>
    </w:p>
    <w:tbl>
      <w:tblPr>
        <w:tblStyle w:val="33"/>
        <w:tblW w:w="792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3920"/>
        <w:gridCol w:w="3000"/>
      </w:tblGrid>
      <w:tr w14:paraId="3EFAE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1A7270DB">
            <w:pPr>
              <w:spacing w:after="0"/>
              <w:jc w:val="center"/>
              <w:rPr>
                <w:rFonts w:hint="eastAsia" w:ascii="宋体" w:hAnsi="宋体" w:eastAsia="宋体" w:cs="宋体"/>
                <w:color w:val="auto"/>
              </w:rPr>
            </w:pPr>
            <w:r>
              <w:rPr>
                <w:rFonts w:hint="eastAsia" w:ascii="宋体" w:hAnsi="宋体" w:eastAsia="宋体" w:cs="宋体"/>
                <w:b/>
                <w:color w:val="auto"/>
                <w:sz w:val="18"/>
              </w:rPr>
              <w:t>编号</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691A5E31">
            <w:pPr>
              <w:spacing w:after="0"/>
              <w:jc w:val="center"/>
              <w:rPr>
                <w:rFonts w:hint="eastAsia" w:ascii="宋体" w:hAnsi="宋体" w:eastAsia="宋体" w:cs="宋体"/>
                <w:color w:val="auto"/>
              </w:rPr>
            </w:pPr>
            <w:r>
              <w:rPr>
                <w:rFonts w:hint="eastAsia" w:ascii="宋体" w:hAnsi="宋体" w:eastAsia="宋体" w:cs="宋体"/>
                <w:b/>
                <w:color w:val="auto"/>
                <w:sz w:val="18"/>
              </w:rPr>
              <w:t>老师需提供的资料</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3F00CE01">
            <w:pPr>
              <w:spacing w:after="0"/>
              <w:jc w:val="center"/>
              <w:rPr>
                <w:rFonts w:hint="eastAsia" w:ascii="宋体" w:hAnsi="宋体" w:eastAsia="宋体" w:cs="宋体"/>
                <w:color w:val="auto"/>
              </w:rPr>
            </w:pPr>
            <w:r>
              <w:rPr>
                <w:rFonts w:hint="eastAsia" w:ascii="宋体" w:hAnsi="宋体" w:eastAsia="宋体" w:cs="宋体"/>
                <w:b/>
                <w:color w:val="auto"/>
                <w:sz w:val="18"/>
              </w:rPr>
              <w:t>用途</w:t>
            </w:r>
          </w:p>
        </w:tc>
      </w:tr>
      <w:tr w14:paraId="272C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C049BA5">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B01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9B6F2A4">
            <w:pPr>
              <w:spacing w:after="0" w:line="283" w:lineRule="auto"/>
              <w:rPr>
                <w:rFonts w:hint="eastAsia" w:ascii="宋体" w:hAnsi="宋体" w:eastAsia="宋体" w:cs="宋体"/>
                <w:color w:val="auto"/>
              </w:rPr>
            </w:pPr>
            <w:r>
              <w:rPr>
                <w:rFonts w:hint="eastAsia" w:ascii="宋体" w:hAnsi="宋体" w:eastAsia="宋体" w:cs="宋体"/>
                <w:b w:val="0"/>
                <w:color w:val="auto"/>
                <w:sz w:val="15"/>
              </w:rPr>
              <w:t>首批10—20例脱敏教学病例，至少1例完整示范病例</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36FF5AFD">
            <w:pPr>
              <w:spacing w:after="0" w:line="283" w:lineRule="auto"/>
              <w:rPr>
                <w:rFonts w:hint="eastAsia" w:ascii="宋体" w:hAnsi="宋体" w:eastAsia="宋体" w:cs="宋体"/>
                <w:color w:val="auto"/>
              </w:rPr>
            </w:pPr>
            <w:r>
              <w:rPr>
                <w:rFonts w:hint="eastAsia" w:ascii="宋体" w:hAnsi="宋体" w:eastAsia="宋体" w:cs="宋体"/>
                <w:b w:val="0"/>
                <w:color w:val="auto"/>
                <w:sz w:val="15"/>
              </w:rPr>
              <w:t>构建校本病例库和参赛主病例</w:t>
            </w:r>
          </w:p>
        </w:tc>
      </w:tr>
      <w:tr w14:paraId="07B7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035EFE5C">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B02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31C70486">
            <w:pPr>
              <w:spacing w:after="0" w:line="283" w:lineRule="auto"/>
              <w:rPr>
                <w:rFonts w:hint="eastAsia" w:ascii="宋体" w:hAnsi="宋体" w:eastAsia="宋体" w:cs="宋体"/>
                <w:color w:val="auto"/>
              </w:rPr>
            </w:pPr>
            <w:r>
              <w:rPr>
                <w:rFonts w:hint="eastAsia" w:ascii="宋体" w:hAnsi="宋体" w:eastAsia="宋体" w:cs="宋体"/>
                <w:b w:val="0"/>
                <w:color w:val="auto"/>
                <w:sz w:val="15"/>
              </w:rPr>
              <w:t>各年龄段标准问诊框架与推荐问法</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1B6022FC">
            <w:pPr>
              <w:spacing w:after="0" w:line="283" w:lineRule="auto"/>
              <w:rPr>
                <w:rFonts w:hint="eastAsia" w:ascii="宋体" w:hAnsi="宋体" w:eastAsia="宋体" w:cs="宋体"/>
                <w:color w:val="auto"/>
              </w:rPr>
            </w:pPr>
            <w:r>
              <w:rPr>
                <w:rFonts w:hint="eastAsia" w:ascii="宋体" w:hAnsi="宋体" w:eastAsia="宋体" w:cs="宋体"/>
                <w:b w:val="0"/>
                <w:color w:val="auto"/>
                <w:sz w:val="15"/>
              </w:rPr>
              <w:t>配置意图识别和问诊评分点</w:t>
            </w:r>
          </w:p>
        </w:tc>
      </w:tr>
      <w:tr w14:paraId="301D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565B25EB">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B03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E305CE4">
            <w:pPr>
              <w:spacing w:after="0" w:line="283" w:lineRule="auto"/>
              <w:rPr>
                <w:rFonts w:hint="eastAsia" w:ascii="宋体" w:hAnsi="宋体" w:eastAsia="宋体" w:cs="宋体"/>
                <w:color w:val="auto"/>
              </w:rPr>
            </w:pPr>
            <w:r>
              <w:rPr>
                <w:rFonts w:hint="eastAsia" w:ascii="宋体" w:hAnsi="宋体" w:eastAsia="宋体" w:cs="宋体"/>
                <w:b w:val="0"/>
                <w:color w:val="auto"/>
                <w:sz w:val="15"/>
              </w:rPr>
              <w:t>病例中患儿与家长分别掌握的信息、情绪和配合度</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24F17162">
            <w:pPr>
              <w:spacing w:after="0" w:line="283" w:lineRule="auto"/>
              <w:rPr>
                <w:rFonts w:hint="eastAsia" w:ascii="宋体" w:hAnsi="宋体" w:eastAsia="宋体" w:cs="宋体"/>
                <w:color w:val="auto"/>
              </w:rPr>
            </w:pPr>
            <w:r>
              <w:rPr>
                <w:rFonts w:hint="eastAsia" w:ascii="宋体" w:hAnsi="宋体" w:eastAsia="宋体" w:cs="宋体"/>
                <w:b w:val="0"/>
                <w:color w:val="auto"/>
                <w:sz w:val="15"/>
              </w:rPr>
              <w:t>建立双角色信息差与表达规则</w:t>
            </w:r>
          </w:p>
        </w:tc>
      </w:tr>
      <w:tr w14:paraId="40D4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77D123F5">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B04 建议</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4B12380C">
            <w:pPr>
              <w:spacing w:after="0" w:line="283" w:lineRule="auto"/>
              <w:rPr>
                <w:rFonts w:hint="eastAsia" w:ascii="宋体" w:hAnsi="宋体" w:eastAsia="宋体" w:cs="宋体"/>
                <w:color w:val="auto"/>
              </w:rPr>
            </w:pPr>
            <w:r>
              <w:rPr>
                <w:rFonts w:hint="eastAsia" w:ascii="宋体" w:hAnsi="宋体" w:eastAsia="宋体" w:cs="宋体"/>
                <w:b w:val="0"/>
                <w:color w:val="auto"/>
                <w:sz w:val="15"/>
              </w:rPr>
              <w:t>教师标准问诊示范或脚本</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07FFD057">
            <w:pPr>
              <w:spacing w:after="0" w:line="283" w:lineRule="auto"/>
              <w:rPr>
                <w:rFonts w:hint="eastAsia" w:ascii="宋体" w:hAnsi="宋体" w:eastAsia="宋体" w:cs="宋体"/>
                <w:color w:val="auto"/>
              </w:rPr>
            </w:pPr>
            <w:r>
              <w:rPr>
                <w:rFonts w:hint="eastAsia" w:ascii="宋体" w:hAnsi="宋体" w:eastAsia="宋体" w:cs="宋体"/>
                <w:b w:val="0"/>
                <w:color w:val="auto"/>
                <w:sz w:val="15"/>
              </w:rPr>
              <w:t>校准角色回答和示范反馈</w:t>
            </w:r>
          </w:p>
        </w:tc>
      </w:tr>
    </w:tbl>
    <w:p w14:paraId="4356419E">
      <w:pPr>
        <w:spacing w:before="0" w:after="60" w:line="320" w:lineRule="auto"/>
        <w:jc w:val="left"/>
        <w:rPr>
          <w:rFonts w:hint="eastAsia" w:ascii="宋体" w:hAnsi="宋体" w:eastAsia="宋体" w:cs="宋体"/>
          <w:color w:val="auto"/>
        </w:rPr>
      </w:pPr>
    </w:p>
    <w:p w14:paraId="69CFB556">
      <w:pPr>
        <w:pStyle w:val="4"/>
        <w:keepNext/>
        <w:rPr>
          <w:rFonts w:hint="eastAsia" w:ascii="宋体" w:hAnsi="宋体" w:eastAsia="宋体" w:cs="宋体"/>
          <w:color w:val="auto"/>
        </w:rPr>
      </w:pPr>
      <w:r>
        <w:rPr>
          <w:rFonts w:hint="eastAsia" w:ascii="宋体" w:hAnsi="宋体" w:eastAsia="宋体" w:cs="宋体"/>
          <w:b/>
          <w:color w:val="auto"/>
          <w:sz w:val="26"/>
        </w:rPr>
        <w:t>C. 查体、器材与多媒体</w:t>
      </w:r>
    </w:p>
    <w:tbl>
      <w:tblPr>
        <w:tblStyle w:val="33"/>
        <w:tblW w:w="792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3920"/>
        <w:gridCol w:w="3000"/>
      </w:tblGrid>
      <w:tr w14:paraId="0259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3DA8E8D1">
            <w:pPr>
              <w:spacing w:after="0"/>
              <w:jc w:val="center"/>
              <w:rPr>
                <w:rFonts w:hint="eastAsia" w:ascii="宋体" w:hAnsi="宋体" w:eastAsia="宋体" w:cs="宋体"/>
                <w:color w:val="auto"/>
              </w:rPr>
            </w:pPr>
            <w:r>
              <w:rPr>
                <w:rFonts w:hint="eastAsia" w:ascii="宋体" w:hAnsi="宋体" w:eastAsia="宋体" w:cs="宋体"/>
                <w:b/>
                <w:color w:val="auto"/>
                <w:sz w:val="18"/>
              </w:rPr>
              <w:t>编号</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6E567710">
            <w:pPr>
              <w:spacing w:after="0"/>
              <w:jc w:val="center"/>
              <w:rPr>
                <w:rFonts w:hint="eastAsia" w:ascii="宋体" w:hAnsi="宋体" w:eastAsia="宋体" w:cs="宋体"/>
                <w:color w:val="auto"/>
              </w:rPr>
            </w:pPr>
            <w:r>
              <w:rPr>
                <w:rFonts w:hint="eastAsia" w:ascii="宋体" w:hAnsi="宋体" w:eastAsia="宋体" w:cs="宋体"/>
                <w:b/>
                <w:color w:val="auto"/>
                <w:sz w:val="18"/>
              </w:rPr>
              <w:t>老师需提供的资料</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0F7A7349">
            <w:pPr>
              <w:spacing w:after="0"/>
              <w:jc w:val="center"/>
              <w:rPr>
                <w:rFonts w:hint="eastAsia" w:ascii="宋体" w:hAnsi="宋体" w:eastAsia="宋体" w:cs="宋体"/>
                <w:color w:val="auto"/>
              </w:rPr>
            </w:pPr>
            <w:r>
              <w:rPr>
                <w:rFonts w:hint="eastAsia" w:ascii="宋体" w:hAnsi="宋体" w:eastAsia="宋体" w:cs="宋体"/>
                <w:b/>
                <w:color w:val="auto"/>
                <w:sz w:val="18"/>
              </w:rPr>
              <w:t>用途</w:t>
            </w:r>
          </w:p>
        </w:tc>
      </w:tr>
      <w:tr w14:paraId="5FBDD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55881DCA">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C01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00AC0378">
            <w:pPr>
              <w:spacing w:after="0" w:line="283" w:lineRule="auto"/>
              <w:rPr>
                <w:rFonts w:hint="eastAsia" w:ascii="宋体" w:hAnsi="宋体" w:eastAsia="宋体" w:cs="宋体"/>
                <w:color w:val="auto"/>
              </w:rPr>
            </w:pPr>
            <w:r>
              <w:rPr>
                <w:rFonts w:hint="eastAsia" w:ascii="宋体" w:hAnsi="宋体" w:eastAsia="宋体" w:cs="宋体"/>
                <w:b w:val="0"/>
                <w:color w:val="auto"/>
                <w:sz w:val="15"/>
              </w:rPr>
              <w:t>身体部位—观察动作—可见表面体征映射表</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0C640B69">
            <w:pPr>
              <w:spacing w:after="0" w:line="283" w:lineRule="auto"/>
              <w:rPr>
                <w:rFonts w:hint="eastAsia" w:ascii="宋体" w:hAnsi="宋体" w:eastAsia="宋体" w:cs="宋体"/>
                <w:color w:val="auto"/>
              </w:rPr>
            </w:pPr>
            <w:r>
              <w:rPr>
                <w:rFonts w:hint="eastAsia" w:ascii="宋体" w:hAnsi="宋体" w:eastAsia="宋体" w:cs="宋体"/>
                <w:b w:val="0"/>
                <w:color w:val="auto"/>
                <w:sz w:val="15"/>
              </w:rPr>
              <w:t>设计患儿模型热点与动作反馈</w:t>
            </w:r>
          </w:p>
        </w:tc>
      </w:tr>
      <w:tr w14:paraId="13C6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46F6E8CB">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C02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0BCD8F9E">
            <w:pPr>
              <w:spacing w:after="0" w:line="283" w:lineRule="auto"/>
              <w:rPr>
                <w:rFonts w:hint="eastAsia" w:ascii="宋体" w:hAnsi="宋体" w:eastAsia="宋体" w:cs="宋体"/>
                <w:color w:val="auto"/>
              </w:rPr>
            </w:pPr>
            <w:r>
              <w:rPr>
                <w:rFonts w:hint="eastAsia" w:ascii="宋体" w:hAnsi="宋体" w:eastAsia="宋体" w:cs="宋体"/>
                <w:b w:val="0"/>
                <w:color w:val="auto"/>
                <w:sz w:val="15"/>
              </w:rPr>
              <w:t>器材—身体部位—操作顺序—可获取信息映射表</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71820786">
            <w:pPr>
              <w:spacing w:after="0" w:line="283" w:lineRule="auto"/>
              <w:rPr>
                <w:rFonts w:hint="eastAsia" w:ascii="宋体" w:hAnsi="宋体" w:eastAsia="宋体" w:cs="宋体"/>
                <w:color w:val="auto"/>
              </w:rPr>
            </w:pPr>
            <w:r>
              <w:rPr>
                <w:rFonts w:hint="eastAsia" w:ascii="宋体" w:hAnsi="宋体" w:eastAsia="宋体" w:cs="宋体"/>
                <w:b w:val="0"/>
                <w:color w:val="auto"/>
                <w:sz w:val="15"/>
              </w:rPr>
              <w:t>实现器材逻辑校验和信息解锁</w:t>
            </w:r>
          </w:p>
        </w:tc>
      </w:tr>
      <w:tr w14:paraId="7A08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0E9EBCD">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C03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134F8804">
            <w:pPr>
              <w:spacing w:after="0" w:line="283" w:lineRule="auto"/>
              <w:rPr>
                <w:rFonts w:hint="eastAsia" w:ascii="宋体" w:hAnsi="宋体" w:eastAsia="宋体" w:cs="宋体"/>
                <w:color w:val="auto"/>
              </w:rPr>
            </w:pPr>
            <w:r>
              <w:rPr>
                <w:rFonts w:hint="eastAsia" w:ascii="宋体" w:hAnsi="宋体" w:eastAsia="宋体" w:cs="宋体"/>
                <w:b w:val="0"/>
                <w:color w:val="auto"/>
                <w:sz w:val="15"/>
              </w:rPr>
              <w:t>各检查项目标准操作、禁忌和常见错误</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483EA5F">
            <w:pPr>
              <w:spacing w:after="0" w:line="283" w:lineRule="auto"/>
              <w:rPr>
                <w:rFonts w:hint="eastAsia" w:ascii="宋体" w:hAnsi="宋体" w:eastAsia="宋体" w:cs="宋体"/>
                <w:color w:val="auto"/>
              </w:rPr>
            </w:pPr>
            <w:r>
              <w:rPr>
                <w:rFonts w:hint="eastAsia" w:ascii="宋体" w:hAnsi="宋体" w:eastAsia="宋体" w:cs="宋体"/>
                <w:b w:val="0"/>
                <w:color w:val="auto"/>
                <w:sz w:val="15"/>
              </w:rPr>
              <w:t>建立错误引导和OSCE证据规则</w:t>
            </w:r>
          </w:p>
        </w:tc>
      </w:tr>
      <w:tr w14:paraId="2C75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101A3FFF">
            <w:pPr>
              <w:spacing w:after="0" w:line="283" w:lineRule="auto"/>
              <w:jc w:val="center"/>
              <w:rPr>
                <w:rFonts w:hint="eastAsia" w:ascii="宋体" w:hAnsi="宋体" w:eastAsia="宋体" w:cs="宋体"/>
                <w:color w:val="auto"/>
              </w:rPr>
            </w:pPr>
            <w:r>
              <w:rPr>
                <w:rFonts w:hint="eastAsia" w:ascii="宋体" w:hAnsi="宋体" w:eastAsia="宋体" w:cs="宋体"/>
                <w:b w:val="0"/>
                <w:color w:val="auto"/>
                <w:sz w:val="15"/>
              </w:rPr>
              <w:t>C04 条件必须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55A50FF6">
            <w:pPr>
              <w:spacing w:after="0" w:line="283" w:lineRule="auto"/>
              <w:rPr>
                <w:rFonts w:hint="eastAsia" w:ascii="宋体" w:hAnsi="宋体" w:eastAsia="宋体" w:cs="宋体"/>
                <w:color w:val="auto"/>
              </w:rPr>
            </w:pPr>
            <w:r>
              <w:rPr>
                <w:rFonts w:hint="eastAsia" w:ascii="宋体" w:hAnsi="宋体" w:eastAsia="宋体" w:cs="宋体"/>
                <w:b w:val="0"/>
                <w:color w:val="auto"/>
                <w:sz w:val="15"/>
              </w:rPr>
              <w:t>患儿模型、动作、器材图标、皮疹图片、呼吸音、心音、咳嗽声及授权</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4AB25D38">
            <w:pPr>
              <w:spacing w:after="0" w:line="283" w:lineRule="auto"/>
              <w:rPr>
                <w:rFonts w:hint="eastAsia" w:ascii="宋体" w:hAnsi="宋体" w:eastAsia="宋体" w:cs="宋体"/>
                <w:color w:val="auto"/>
              </w:rPr>
            </w:pPr>
            <w:r>
              <w:rPr>
                <w:rFonts w:hint="eastAsia" w:ascii="宋体" w:hAnsi="宋体" w:eastAsia="宋体" w:cs="宋体"/>
                <w:b w:val="0"/>
                <w:color w:val="auto"/>
                <w:sz w:val="15"/>
              </w:rPr>
              <w:t>建设可视化与多模态查体场景</w:t>
            </w:r>
          </w:p>
        </w:tc>
      </w:tr>
      <w:tr w14:paraId="073D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E4C1668">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C05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3B0E0903">
            <w:pPr>
              <w:spacing w:after="0" w:line="283" w:lineRule="auto"/>
              <w:rPr>
                <w:rFonts w:hint="eastAsia" w:ascii="宋体" w:hAnsi="宋体" w:eastAsia="宋体" w:cs="宋体"/>
                <w:color w:val="auto"/>
              </w:rPr>
            </w:pPr>
            <w:r>
              <w:rPr>
                <w:rFonts w:hint="eastAsia" w:ascii="宋体" w:hAnsi="宋体" w:eastAsia="宋体" w:cs="宋体"/>
                <w:b w:val="0"/>
                <w:color w:val="auto"/>
                <w:sz w:val="15"/>
              </w:rPr>
              <w:t>体征正常值、年龄分层阈值和危险信号</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5F1177EF">
            <w:pPr>
              <w:spacing w:after="0" w:line="283" w:lineRule="auto"/>
              <w:rPr>
                <w:rFonts w:hint="eastAsia" w:ascii="宋体" w:hAnsi="宋体" w:eastAsia="宋体" w:cs="宋体"/>
                <w:color w:val="auto"/>
              </w:rPr>
            </w:pPr>
            <w:r>
              <w:rPr>
                <w:rFonts w:hint="eastAsia" w:ascii="宋体" w:hAnsi="宋体" w:eastAsia="宋体" w:cs="宋体"/>
                <w:b w:val="0"/>
                <w:color w:val="auto"/>
                <w:sz w:val="15"/>
              </w:rPr>
              <w:t>实现结果解释和安全告警</w:t>
            </w:r>
          </w:p>
        </w:tc>
      </w:tr>
    </w:tbl>
    <w:p w14:paraId="49DF5AF7">
      <w:pPr>
        <w:spacing w:before="0" w:after="60" w:line="320" w:lineRule="auto"/>
        <w:jc w:val="left"/>
        <w:rPr>
          <w:rFonts w:hint="eastAsia" w:ascii="宋体" w:hAnsi="宋体" w:eastAsia="宋体" w:cs="宋体"/>
          <w:color w:val="auto"/>
        </w:rPr>
      </w:pPr>
    </w:p>
    <w:p w14:paraId="217E109D">
      <w:pPr>
        <w:pStyle w:val="4"/>
        <w:keepNext/>
        <w:rPr>
          <w:rFonts w:hint="eastAsia" w:ascii="宋体" w:hAnsi="宋体" w:eastAsia="宋体" w:cs="宋体"/>
          <w:color w:val="auto"/>
        </w:rPr>
      </w:pPr>
      <w:r>
        <w:rPr>
          <w:rFonts w:hint="eastAsia" w:ascii="宋体" w:hAnsi="宋体" w:eastAsia="宋体" w:cs="宋体"/>
          <w:b/>
          <w:color w:val="auto"/>
          <w:sz w:val="26"/>
        </w:rPr>
        <w:t>D. 传染病与临床规则</w:t>
      </w:r>
    </w:p>
    <w:tbl>
      <w:tblPr>
        <w:tblStyle w:val="33"/>
        <w:tblW w:w="792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3920"/>
        <w:gridCol w:w="3000"/>
      </w:tblGrid>
      <w:tr w14:paraId="554C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0DB654E5">
            <w:pPr>
              <w:spacing w:after="0"/>
              <w:jc w:val="center"/>
              <w:rPr>
                <w:rFonts w:hint="eastAsia" w:ascii="宋体" w:hAnsi="宋体" w:eastAsia="宋体" w:cs="宋体"/>
                <w:color w:val="auto"/>
              </w:rPr>
            </w:pPr>
            <w:r>
              <w:rPr>
                <w:rFonts w:hint="eastAsia" w:ascii="宋体" w:hAnsi="宋体" w:eastAsia="宋体" w:cs="宋体"/>
                <w:b/>
                <w:color w:val="auto"/>
                <w:sz w:val="18"/>
              </w:rPr>
              <w:t>编号</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55C0FADB">
            <w:pPr>
              <w:spacing w:after="0"/>
              <w:jc w:val="center"/>
              <w:rPr>
                <w:rFonts w:hint="eastAsia" w:ascii="宋体" w:hAnsi="宋体" w:eastAsia="宋体" w:cs="宋体"/>
                <w:color w:val="auto"/>
              </w:rPr>
            </w:pPr>
            <w:r>
              <w:rPr>
                <w:rFonts w:hint="eastAsia" w:ascii="宋体" w:hAnsi="宋体" w:eastAsia="宋体" w:cs="宋体"/>
                <w:b/>
                <w:color w:val="auto"/>
                <w:sz w:val="18"/>
              </w:rPr>
              <w:t>老师需提供的资料</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3F2615F9">
            <w:pPr>
              <w:spacing w:after="0"/>
              <w:jc w:val="center"/>
              <w:rPr>
                <w:rFonts w:hint="eastAsia" w:ascii="宋体" w:hAnsi="宋体" w:eastAsia="宋体" w:cs="宋体"/>
                <w:color w:val="auto"/>
              </w:rPr>
            </w:pPr>
            <w:r>
              <w:rPr>
                <w:rFonts w:hint="eastAsia" w:ascii="宋体" w:hAnsi="宋体" w:eastAsia="宋体" w:cs="宋体"/>
                <w:b/>
                <w:color w:val="auto"/>
                <w:sz w:val="18"/>
              </w:rPr>
              <w:t>用途</w:t>
            </w:r>
          </w:p>
        </w:tc>
      </w:tr>
      <w:tr w14:paraId="29EF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345D3DF9">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D01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796A2ECB">
            <w:pPr>
              <w:spacing w:after="0" w:line="283" w:lineRule="auto"/>
              <w:rPr>
                <w:rFonts w:hint="eastAsia" w:ascii="宋体" w:hAnsi="宋体" w:eastAsia="宋体" w:cs="宋体"/>
                <w:color w:val="auto"/>
              </w:rPr>
            </w:pPr>
            <w:r>
              <w:rPr>
                <w:rFonts w:hint="eastAsia" w:ascii="宋体" w:hAnsi="宋体" w:eastAsia="宋体" w:cs="宋体"/>
                <w:b w:val="0"/>
                <w:color w:val="auto"/>
                <w:sz w:val="15"/>
              </w:rPr>
              <w:t>指定教材、指南、共识清单及版本</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0A8EECC3">
            <w:pPr>
              <w:spacing w:after="0" w:line="283" w:lineRule="auto"/>
              <w:rPr>
                <w:rFonts w:hint="eastAsia" w:ascii="宋体" w:hAnsi="宋体" w:eastAsia="宋体" w:cs="宋体"/>
                <w:color w:val="auto"/>
              </w:rPr>
            </w:pPr>
            <w:r>
              <w:rPr>
                <w:rFonts w:hint="eastAsia" w:ascii="宋体" w:hAnsi="宋体" w:eastAsia="宋体" w:cs="宋体"/>
                <w:b w:val="0"/>
                <w:color w:val="auto"/>
                <w:sz w:val="15"/>
              </w:rPr>
              <w:t>建立可追溯医学知识来源</w:t>
            </w:r>
          </w:p>
        </w:tc>
      </w:tr>
      <w:tr w14:paraId="4DA9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17C09457">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D02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6A777F7D">
            <w:pPr>
              <w:spacing w:after="0" w:line="283" w:lineRule="auto"/>
              <w:rPr>
                <w:rFonts w:hint="eastAsia" w:ascii="宋体" w:hAnsi="宋体" w:eastAsia="宋体" w:cs="宋体"/>
                <w:color w:val="auto"/>
              </w:rPr>
            </w:pPr>
            <w:r>
              <w:rPr>
                <w:rFonts w:hint="eastAsia" w:ascii="宋体" w:hAnsi="宋体" w:eastAsia="宋体" w:cs="宋体"/>
                <w:b w:val="0"/>
                <w:color w:val="auto"/>
                <w:sz w:val="15"/>
              </w:rPr>
              <w:t>儿童传染病年龄、季节、传播和非典型表现要点</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1D90B791">
            <w:pPr>
              <w:spacing w:after="0" w:line="283" w:lineRule="auto"/>
              <w:rPr>
                <w:rFonts w:hint="eastAsia" w:ascii="宋体" w:hAnsi="宋体" w:eastAsia="宋体" w:cs="宋体"/>
                <w:color w:val="auto"/>
              </w:rPr>
            </w:pPr>
            <w:r>
              <w:rPr>
                <w:rFonts w:hint="eastAsia" w:ascii="宋体" w:hAnsi="宋体" w:eastAsia="宋体" w:cs="宋体"/>
                <w:b w:val="0"/>
                <w:color w:val="auto"/>
                <w:sz w:val="15"/>
              </w:rPr>
              <w:t>建设儿童传染病特点库</w:t>
            </w:r>
          </w:p>
        </w:tc>
      </w:tr>
      <w:tr w14:paraId="7637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24B27716">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D03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724A51C9">
            <w:pPr>
              <w:spacing w:after="0" w:line="283" w:lineRule="auto"/>
              <w:rPr>
                <w:rFonts w:hint="eastAsia" w:ascii="宋体" w:hAnsi="宋体" w:eastAsia="宋体" w:cs="宋体"/>
                <w:color w:val="auto"/>
              </w:rPr>
            </w:pPr>
            <w:r>
              <w:rPr>
                <w:rFonts w:hint="eastAsia" w:ascii="宋体" w:hAnsi="宋体" w:eastAsia="宋体" w:cs="宋体"/>
                <w:b w:val="0"/>
                <w:color w:val="auto"/>
                <w:sz w:val="15"/>
              </w:rPr>
              <w:t>隔离、报告、院感防控和托幼机构处置流程</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0BA526E2">
            <w:pPr>
              <w:spacing w:after="0" w:line="283" w:lineRule="auto"/>
              <w:rPr>
                <w:rFonts w:hint="eastAsia" w:ascii="宋体" w:hAnsi="宋体" w:eastAsia="宋体" w:cs="宋体"/>
                <w:color w:val="auto"/>
              </w:rPr>
            </w:pPr>
            <w:r>
              <w:rPr>
                <w:rFonts w:hint="eastAsia" w:ascii="宋体" w:hAnsi="宋体" w:eastAsia="宋体" w:cs="宋体"/>
                <w:b w:val="0"/>
                <w:color w:val="auto"/>
                <w:sz w:val="15"/>
              </w:rPr>
              <w:t>建立安全与公共卫生规则</w:t>
            </w:r>
          </w:p>
        </w:tc>
      </w:tr>
      <w:tr w14:paraId="5BB7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7E0722A7">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D04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730EAC93">
            <w:pPr>
              <w:spacing w:after="0" w:line="283" w:lineRule="auto"/>
              <w:rPr>
                <w:rFonts w:hint="eastAsia" w:ascii="宋体" w:hAnsi="宋体" w:eastAsia="宋体" w:cs="宋体"/>
                <w:color w:val="auto"/>
              </w:rPr>
            </w:pPr>
            <w:r>
              <w:rPr>
                <w:rFonts w:hint="eastAsia" w:ascii="宋体" w:hAnsi="宋体" w:eastAsia="宋体" w:cs="宋体"/>
                <w:b w:val="0"/>
                <w:color w:val="auto"/>
                <w:sz w:val="15"/>
              </w:rPr>
              <w:t>年龄/体重相关用药与剂量安全规则的指定来源</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3AC5C2FA">
            <w:pPr>
              <w:spacing w:after="0" w:line="283" w:lineRule="auto"/>
              <w:rPr>
                <w:rFonts w:hint="eastAsia" w:ascii="宋体" w:hAnsi="宋体" w:eastAsia="宋体" w:cs="宋体"/>
                <w:color w:val="auto"/>
              </w:rPr>
            </w:pPr>
            <w:r>
              <w:rPr>
                <w:rFonts w:hint="eastAsia" w:ascii="宋体" w:hAnsi="宋体" w:eastAsia="宋体" w:cs="宋体"/>
                <w:b w:val="0"/>
                <w:color w:val="auto"/>
                <w:sz w:val="15"/>
              </w:rPr>
              <w:t>建设剂量校验边界；不直接用于临床</w:t>
            </w:r>
          </w:p>
        </w:tc>
      </w:tr>
    </w:tbl>
    <w:p w14:paraId="6ECD60AF">
      <w:pPr>
        <w:spacing w:before="0" w:after="60" w:line="320" w:lineRule="auto"/>
        <w:jc w:val="left"/>
        <w:rPr>
          <w:rFonts w:hint="eastAsia" w:ascii="宋体" w:hAnsi="宋体" w:eastAsia="宋体" w:cs="宋体"/>
          <w:color w:val="auto"/>
        </w:rPr>
      </w:pPr>
    </w:p>
    <w:p w14:paraId="131CBA83">
      <w:pPr>
        <w:pStyle w:val="4"/>
        <w:keepNext/>
        <w:rPr>
          <w:rFonts w:hint="eastAsia" w:ascii="宋体" w:hAnsi="宋体" w:eastAsia="宋体" w:cs="宋体"/>
          <w:color w:val="auto"/>
        </w:rPr>
      </w:pPr>
      <w:r>
        <w:rPr>
          <w:rFonts w:hint="eastAsia" w:ascii="宋体" w:hAnsi="宋体" w:eastAsia="宋体" w:cs="宋体"/>
          <w:b/>
          <w:color w:val="auto"/>
          <w:sz w:val="26"/>
        </w:rPr>
        <w:t>E. 沟通与医学人文</w:t>
      </w:r>
    </w:p>
    <w:tbl>
      <w:tblPr>
        <w:tblStyle w:val="33"/>
        <w:tblW w:w="792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3920"/>
        <w:gridCol w:w="3000"/>
      </w:tblGrid>
      <w:tr w14:paraId="74F8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53D41008">
            <w:pPr>
              <w:spacing w:after="0"/>
              <w:jc w:val="center"/>
              <w:rPr>
                <w:rFonts w:hint="eastAsia" w:ascii="宋体" w:hAnsi="宋体" w:eastAsia="宋体" w:cs="宋体"/>
                <w:color w:val="auto"/>
              </w:rPr>
            </w:pPr>
            <w:r>
              <w:rPr>
                <w:rFonts w:hint="eastAsia" w:ascii="宋体" w:hAnsi="宋体" w:eastAsia="宋体" w:cs="宋体"/>
                <w:b/>
                <w:color w:val="auto"/>
                <w:sz w:val="18"/>
              </w:rPr>
              <w:t>编号</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19CF148B">
            <w:pPr>
              <w:spacing w:after="0"/>
              <w:jc w:val="center"/>
              <w:rPr>
                <w:rFonts w:hint="eastAsia" w:ascii="宋体" w:hAnsi="宋体" w:eastAsia="宋体" w:cs="宋体"/>
                <w:color w:val="auto"/>
              </w:rPr>
            </w:pPr>
            <w:r>
              <w:rPr>
                <w:rFonts w:hint="eastAsia" w:ascii="宋体" w:hAnsi="宋体" w:eastAsia="宋体" w:cs="宋体"/>
                <w:b/>
                <w:color w:val="auto"/>
                <w:sz w:val="18"/>
              </w:rPr>
              <w:t>老师需提供的资料</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6E456254">
            <w:pPr>
              <w:spacing w:after="0"/>
              <w:jc w:val="center"/>
              <w:rPr>
                <w:rFonts w:hint="eastAsia" w:ascii="宋体" w:hAnsi="宋体" w:eastAsia="宋体" w:cs="宋体"/>
                <w:color w:val="auto"/>
              </w:rPr>
            </w:pPr>
            <w:r>
              <w:rPr>
                <w:rFonts w:hint="eastAsia" w:ascii="宋体" w:hAnsi="宋体" w:eastAsia="宋体" w:cs="宋体"/>
                <w:b/>
                <w:color w:val="auto"/>
                <w:sz w:val="18"/>
              </w:rPr>
              <w:t>用途</w:t>
            </w:r>
          </w:p>
        </w:tc>
      </w:tr>
      <w:tr w14:paraId="7A64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2B98D271">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E01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75138323">
            <w:pPr>
              <w:spacing w:after="0" w:line="283" w:lineRule="auto"/>
              <w:rPr>
                <w:rFonts w:hint="eastAsia" w:ascii="宋体" w:hAnsi="宋体" w:eastAsia="宋体" w:cs="宋体"/>
                <w:color w:val="auto"/>
              </w:rPr>
            </w:pPr>
            <w:r>
              <w:rPr>
                <w:rFonts w:hint="eastAsia" w:ascii="宋体" w:hAnsi="宋体" w:eastAsia="宋体" w:cs="宋体"/>
                <w:b w:val="0"/>
                <w:color w:val="auto"/>
                <w:sz w:val="15"/>
              </w:rPr>
              <w:t>典型儿科沟通场景、目标、禁忌表达和评分点</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5DCC58CC">
            <w:pPr>
              <w:spacing w:after="0" w:line="283" w:lineRule="auto"/>
              <w:rPr>
                <w:rFonts w:hint="eastAsia" w:ascii="宋体" w:hAnsi="宋体" w:eastAsia="宋体" w:cs="宋体"/>
                <w:color w:val="auto"/>
              </w:rPr>
            </w:pPr>
            <w:r>
              <w:rPr>
                <w:rFonts w:hint="eastAsia" w:ascii="宋体" w:hAnsi="宋体" w:eastAsia="宋体" w:cs="宋体"/>
                <w:b w:val="0"/>
                <w:color w:val="auto"/>
                <w:sz w:val="15"/>
              </w:rPr>
              <w:t>建设沟通任务库</w:t>
            </w:r>
          </w:p>
        </w:tc>
      </w:tr>
      <w:tr w14:paraId="62FD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79BDEAFB">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E02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22824F64">
            <w:pPr>
              <w:spacing w:after="0" w:line="283" w:lineRule="auto"/>
              <w:rPr>
                <w:rFonts w:hint="eastAsia" w:ascii="宋体" w:hAnsi="宋体" w:eastAsia="宋体" w:cs="宋体"/>
                <w:color w:val="auto"/>
              </w:rPr>
            </w:pPr>
            <w:r>
              <w:rPr>
                <w:rFonts w:hint="eastAsia" w:ascii="宋体" w:hAnsi="宋体" w:eastAsia="宋体" w:cs="宋体"/>
                <w:b w:val="0"/>
                <w:color w:val="auto"/>
                <w:sz w:val="15"/>
              </w:rPr>
              <w:t>家长焦虑、拒检、知情同意、疫苗犹豫等推荐表达</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7FCDCB86">
            <w:pPr>
              <w:spacing w:after="0" w:line="283" w:lineRule="auto"/>
              <w:rPr>
                <w:rFonts w:hint="eastAsia" w:ascii="宋体" w:hAnsi="宋体" w:eastAsia="宋体" w:cs="宋体"/>
                <w:color w:val="auto"/>
              </w:rPr>
            </w:pPr>
            <w:r>
              <w:rPr>
                <w:rFonts w:hint="eastAsia" w:ascii="宋体" w:hAnsi="宋体" w:eastAsia="宋体" w:cs="宋体"/>
                <w:b w:val="0"/>
                <w:color w:val="auto"/>
                <w:sz w:val="15"/>
              </w:rPr>
              <w:t>配置角色反应与沟通反馈</w:t>
            </w:r>
          </w:p>
        </w:tc>
      </w:tr>
      <w:tr w14:paraId="2DB5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7EBAE7C5">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E03 建议</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7A6B8BBA">
            <w:pPr>
              <w:spacing w:after="0" w:line="283" w:lineRule="auto"/>
              <w:rPr>
                <w:rFonts w:hint="eastAsia" w:ascii="宋体" w:hAnsi="宋体" w:eastAsia="宋体" w:cs="宋体"/>
                <w:color w:val="auto"/>
              </w:rPr>
            </w:pPr>
            <w:r>
              <w:rPr>
                <w:rFonts w:hint="eastAsia" w:ascii="宋体" w:hAnsi="宋体" w:eastAsia="宋体" w:cs="宋体"/>
                <w:b w:val="0"/>
                <w:color w:val="auto"/>
                <w:sz w:val="15"/>
              </w:rPr>
              <w:t>儿童权益、青春期隐私和坏消息告知规范</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17BC626F">
            <w:pPr>
              <w:spacing w:after="0" w:line="283" w:lineRule="auto"/>
              <w:rPr>
                <w:rFonts w:hint="eastAsia" w:ascii="宋体" w:hAnsi="宋体" w:eastAsia="宋体" w:cs="宋体"/>
                <w:color w:val="auto"/>
              </w:rPr>
            </w:pPr>
            <w:r>
              <w:rPr>
                <w:rFonts w:hint="eastAsia" w:ascii="宋体" w:hAnsi="宋体" w:eastAsia="宋体" w:cs="宋体"/>
                <w:b w:val="0"/>
                <w:color w:val="auto"/>
                <w:sz w:val="15"/>
              </w:rPr>
              <w:t>建设医学人文考站</w:t>
            </w:r>
          </w:p>
        </w:tc>
      </w:tr>
    </w:tbl>
    <w:p w14:paraId="321E1189">
      <w:pPr>
        <w:spacing w:before="0" w:after="60" w:line="320" w:lineRule="auto"/>
        <w:jc w:val="left"/>
        <w:rPr>
          <w:rFonts w:hint="eastAsia" w:ascii="宋体" w:hAnsi="宋体" w:eastAsia="宋体" w:cs="宋体"/>
          <w:color w:val="auto"/>
        </w:rPr>
      </w:pPr>
    </w:p>
    <w:p w14:paraId="44EEC94E">
      <w:pPr>
        <w:pStyle w:val="4"/>
        <w:keepNext/>
        <w:rPr>
          <w:rFonts w:hint="eastAsia" w:ascii="宋体" w:hAnsi="宋体" w:eastAsia="宋体" w:cs="宋体"/>
          <w:color w:val="auto"/>
        </w:rPr>
      </w:pPr>
      <w:r>
        <w:rPr>
          <w:rFonts w:hint="eastAsia" w:ascii="宋体" w:hAnsi="宋体" w:eastAsia="宋体" w:cs="宋体"/>
          <w:b/>
          <w:color w:val="auto"/>
          <w:sz w:val="26"/>
        </w:rPr>
        <w:t>F. OSCE与评价</w:t>
      </w:r>
    </w:p>
    <w:tbl>
      <w:tblPr>
        <w:tblStyle w:val="33"/>
        <w:tblW w:w="792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3920"/>
        <w:gridCol w:w="3000"/>
      </w:tblGrid>
      <w:tr w14:paraId="49FF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17950F6D">
            <w:pPr>
              <w:spacing w:after="0"/>
              <w:jc w:val="center"/>
              <w:rPr>
                <w:rFonts w:hint="eastAsia" w:ascii="宋体" w:hAnsi="宋体" w:eastAsia="宋体" w:cs="宋体"/>
                <w:color w:val="auto"/>
              </w:rPr>
            </w:pPr>
            <w:r>
              <w:rPr>
                <w:rFonts w:hint="eastAsia" w:ascii="宋体" w:hAnsi="宋体" w:eastAsia="宋体" w:cs="宋体"/>
                <w:b/>
                <w:color w:val="auto"/>
                <w:sz w:val="18"/>
              </w:rPr>
              <w:t>编号</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57566982">
            <w:pPr>
              <w:spacing w:after="0"/>
              <w:jc w:val="center"/>
              <w:rPr>
                <w:rFonts w:hint="eastAsia" w:ascii="宋体" w:hAnsi="宋体" w:eastAsia="宋体" w:cs="宋体"/>
                <w:color w:val="auto"/>
              </w:rPr>
            </w:pPr>
            <w:r>
              <w:rPr>
                <w:rFonts w:hint="eastAsia" w:ascii="宋体" w:hAnsi="宋体" w:eastAsia="宋体" w:cs="宋体"/>
                <w:b/>
                <w:color w:val="auto"/>
                <w:sz w:val="18"/>
              </w:rPr>
              <w:t>老师需提供的资料</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6DAE7B95">
            <w:pPr>
              <w:spacing w:after="0"/>
              <w:jc w:val="center"/>
              <w:rPr>
                <w:rFonts w:hint="eastAsia" w:ascii="宋体" w:hAnsi="宋体" w:eastAsia="宋体" w:cs="宋体"/>
                <w:color w:val="auto"/>
              </w:rPr>
            </w:pPr>
            <w:r>
              <w:rPr>
                <w:rFonts w:hint="eastAsia" w:ascii="宋体" w:hAnsi="宋体" w:eastAsia="宋体" w:cs="宋体"/>
                <w:b/>
                <w:color w:val="auto"/>
                <w:sz w:val="18"/>
              </w:rPr>
              <w:t>用途</w:t>
            </w:r>
          </w:p>
        </w:tc>
      </w:tr>
      <w:tr w14:paraId="06747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31A2CDC4">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F01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103086B">
            <w:pPr>
              <w:spacing w:after="0" w:line="283" w:lineRule="auto"/>
              <w:rPr>
                <w:rFonts w:hint="eastAsia" w:ascii="宋体" w:hAnsi="宋体" w:eastAsia="宋体" w:cs="宋体"/>
                <w:color w:val="auto"/>
              </w:rPr>
            </w:pPr>
            <w:r>
              <w:rPr>
                <w:rFonts w:hint="eastAsia" w:ascii="宋体" w:hAnsi="宋体" w:eastAsia="宋体" w:cs="宋体"/>
                <w:b w:val="0"/>
                <w:color w:val="auto"/>
                <w:sz w:val="15"/>
              </w:rPr>
              <w:t>现行儿科OSCE考站任务、评分表和关键错误项</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05145619">
            <w:pPr>
              <w:spacing w:after="0" w:line="283" w:lineRule="auto"/>
              <w:rPr>
                <w:rFonts w:hint="eastAsia" w:ascii="宋体" w:hAnsi="宋体" w:eastAsia="宋体" w:cs="宋体"/>
                <w:color w:val="auto"/>
              </w:rPr>
            </w:pPr>
            <w:r>
              <w:rPr>
                <w:rFonts w:hint="eastAsia" w:ascii="宋体" w:hAnsi="宋体" w:eastAsia="宋体" w:cs="宋体"/>
                <w:b w:val="0"/>
                <w:color w:val="auto"/>
                <w:sz w:val="15"/>
              </w:rPr>
              <w:t>建立正式评价量表</w:t>
            </w:r>
          </w:p>
        </w:tc>
      </w:tr>
      <w:tr w14:paraId="38BE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1784DD78">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F02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2BD5223E">
            <w:pPr>
              <w:spacing w:after="0" w:line="283" w:lineRule="auto"/>
              <w:rPr>
                <w:rFonts w:hint="eastAsia" w:ascii="宋体" w:hAnsi="宋体" w:eastAsia="宋体" w:cs="宋体"/>
                <w:color w:val="auto"/>
              </w:rPr>
            </w:pPr>
            <w:r>
              <w:rPr>
                <w:rFonts w:hint="eastAsia" w:ascii="宋体" w:hAnsi="宋体" w:eastAsia="宋体" w:cs="宋体"/>
                <w:b w:val="0"/>
                <w:color w:val="auto"/>
                <w:sz w:val="15"/>
              </w:rPr>
              <w:t>评分权重、封顶规则、严重错误和补练映射</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4FF12851">
            <w:pPr>
              <w:spacing w:after="0" w:line="283" w:lineRule="auto"/>
              <w:rPr>
                <w:rFonts w:hint="eastAsia" w:ascii="宋体" w:hAnsi="宋体" w:eastAsia="宋体" w:cs="宋体"/>
                <w:color w:val="auto"/>
              </w:rPr>
            </w:pPr>
            <w:r>
              <w:rPr>
                <w:rFonts w:hint="eastAsia" w:ascii="宋体" w:hAnsi="宋体" w:eastAsia="宋体" w:cs="宋体"/>
                <w:b w:val="0"/>
                <w:color w:val="auto"/>
                <w:sz w:val="15"/>
              </w:rPr>
              <w:t>实现可解释计分</w:t>
            </w:r>
          </w:p>
        </w:tc>
      </w:tr>
      <w:tr w14:paraId="0D3D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187625D">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F03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7E46893C">
            <w:pPr>
              <w:spacing w:after="0" w:line="283" w:lineRule="auto"/>
              <w:rPr>
                <w:rFonts w:hint="eastAsia" w:ascii="宋体" w:hAnsi="宋体" w:eastAsia="宋体" w:cs="宋体"/>
                <w:color w:val="auto"/>
              </w:rPr>
            </w:pPr>
            <w:r>
              <w:rPr>
                <w:rFonts w:hint="eastAsia" w:ascii="宋体" w:hAnsi="宋体" w:eastAsia="宋体" w:cs="宋体"/>
                <w:b w:val="0"/>
                <w:color w:val="auto"/>
                <w:sz w:val="15"/>
              </w:rPr>
              <w:t>标准答案、可接受表达及争议评分处理原则</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59326621">
            <w:pPr>
              <w:spacing w:after="0" w:line="283" w:lineRule="auto"/>
              <w:rPr>
                <w:rFonts w:hint="eastAsia" w:ascii="宋体" w:hAnsi="宋体" w:eastAsia="宋体" w:cs="宋体"/>
                <w:color w:val="auto"/>
              </w:rPr>
            </w:pPr>
            <w:r>
              <w:rPr>
                <w:rFonts w:hint="eastAsia" w:ascii="宋体" w:hAnsi="宋体" w:eastAsia="宋体" w:cs="宋体"/>
                <w:b w:val="0"/>
                <w:color w:val="auto"/>
                <w:sz w:val="15"/>
              </w:rPr>
              <w:t>支持语义判断与人工复核</w:t>
            </w:r>
          </w:p>
        </w:tc>
      </w:tr>
      <w:tr w14:paraId="6C5A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3D565A24">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F04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21EF8831">
            <w:pPr>
              <w:spacing w:after="0" w:line="283" w:lineRule="auto"/>
              <w:rPr>
                <w:rFonts w:hint="eastAsia" w:ascii="宋体" w:hAnsi="宋体" w:eastAsia="宋体" w:cs="宋体"/>
                <w:color w:val="auto"/>
              </w:rPr>
            </w:pPr>
            <w:r>
              <w:rPr>
                <w:rFonts w:hint="eastAsia" w:ascii="宋体" w:hAnsi="宋体" w:eastAsia="宋体" w:cs="宋体"/>
                <w:b w:val="0"/>
                <w:color w:val="auto"/>
                <w:sz w:val="15"/>
              </w:rPr>
              <w:t>部位×器材×病例状态测试矩阵及医学验收人</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0316D5A4">
            <w:pPr>
              <w:spacing w:after="0" w:line="283" w:lineRule="auto"/>
              <w:rPr>
                <w:rFonts w:hint="eastAsia" w:ascii="宋体" w:hAnsi="宋体" w:eastAsia="宋体" w:cs="宋体"/>
                <w:color w:val="auto"/>
              </w:rPr>
            </w:pPr>
            <w:r>
              <w:rPr>
                <w:rFonts w:hint="eastAsia" w:ascii="宋体" w:hAnsi="宋体" w:eastAsia="宋体" w:cs="宋体"/>
                <w:b w:val="0"/>
                <w:color w:val="auto"/>
                <w:sz w:val="15"/>
              </w:rPr>
              <w:t>完成正式功能测试与签字</w:t>
            </w:r>
          </w:p>
        </w:tc>
      </w:tr>
    </w:tbl>
    <w:p w14:paraId="7BD099AA">
      <w:pPr>
        <w:spacing w:before="0" w:after="60" w:line="320" w:lineRule="auto"/>
        <w:jc w:val="left"/>
        <w:rPr>
          <w:rFonts w:hint="eastAsia" w:ascii="宋体" w:hAnsi="宋体" w:eastAsia="宋体" w:cs="宋体"/>
          <w:color w:val="auto"/>
        </w:rPr>
      </w:pPr>
    </w:p>
    <w:p w14:paraId="3EF850BA">
      <w:pPr>
        <w:pStyle w:val="4"/>
        <w:keepNext/>
        <w:rPr>
          <w:rFonts w:hint="eastAsia" w:ascii="宋体" w:hAnsi="宋体" w:eastAsia="宋体" w:cs="宋体"/>
          <w:color w:val="auto"/>
        </w:rPr>
      </w:pPr>
      <w:r>
        <w:rPr>
          <w:rFonts w:hint="eastAsia" w:ascii="宋体" w:hAnsi="宋体" w:eastAsia="宋体" w:cs="宋体"/>
          <w:b/>
          <w:color w:val="auto"/>
          <w:sz w:val="26"/>
        </w:rPr>
        <w:t>G. 治理、平台与参赛材料</w:t>
      </w:r>
    </w:p>
    <w:tbl>
      <w:tblPr>
        <w:tblStyle w:val="33"/>
        <w:tblW w:w="792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3920"/>
        <w:gridCol w:w="3000"/>
      </w:tblGrid>
      <w:tr w14:paraId="1A33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674DEF65">
            <w:pPr>
              <w:spacing w:after="0"/>
              <w:jc w:val="center"/>
              <w:rPr>
                <w:rFonts w:hint="eastAsia" w:ascii="宋体" w:hAnsi="宋体" w:eastAsia="宋体" w:cs="宋体"/>
                <w:color w:val="auto"/>
              </w:rPr>
            </w:pPr>
            <w:r>
              <w:rPr>
                <w:rFonts w:hint="eastAsia" w:ascii="宋体" w:hAnsi="宋体" w:eastAsia="宋体" w:cs="宋体"/>
                <w:b/>
                <w:color w:val="auto"/>
                <w:sz w:val="18"/>
              </w:rPr>
              <w:t>编号</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1B27C837">
            <w:pPr>
              <w:spacing w:after="0"/>
              <w:jc w:val="center"/>
              <w:rPr>
                <w:rFonts w:hint="eastAsia" w:ascii="宋体" w:hAnsi="宋体" w:eastAsia="宋体" w:cs="宋体"/>
                <w:color w:val="auto"/>
              </w:rPr>
            </w:pPr>
            <w:r>
              <w:rPr>
                <w:rFonts w:hint="eastAsia" w:ascii="宋体" w:hAnsi="宋体" w:eastAsia="宋体" w:cs="宋体"/>
                <w:b/>
                <w:color w:val="auto"/>
                <w:sz w:val="18"/>
              </w:rPr>
              <w:t>老师需提供的资料</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0A3556"/>
            <w:tcMar>
              <w:top w:w="100" w:type="dxa"/>
              <w:left w:w="120" w:type="dxa"/>
              <w:bottom w:w="100" w:type="dxa"/>
              <w:right w:w="120" w:type="dxa"/>
            </w:tcMar>
            <w:vAlign w:val="center"/>
          </w:tcPr>
          <w:p w14:paraId="4CE61BB9">
            <w:pPr>
              <w:spacing w:after="0"/>
              <w:jc w:val="center"/>
              <w:rPr>
                <w:rFonts w:hint="eastAsia" w:ascii="宋体" w:hAnsi="宋体" w:eastAsia="宋体" w:cs="宋体"/>
                <w:color w:val="auto"/>
              </w:rPr>
            </w:pPr>
            <w:r>
              <w:rPr>
                <w:rFonts w:hint="eastAsia" w:ascii="宋体" w:hAnsi="宋体" w:eastAsia="宋体" w:cs="宋体"/>
                <w:b/>
                <w:color w:val="auto"/>
                <w:sz w:val="18"/>
              </w:rPr>
              <w:t>用途</w:t>
            </w:r>
          </w:p>
        </w:tc>
      </w:tr>
      <w:tr w14:paraId="215E7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1913F7A2">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G01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6E4449BE">
            <w:pPr>
              <w:spacing w:after="0" w:line="283" w:lineRule="auto"/>
              <w:rPr>
                <w:rFonts w:hint="eastAsia" w:ascii="宋体" w:hAnsi="宋体" w:eastAsia="宋体" w:cs="宋体"/>
                <w:color w:val="auto"/>
              </w:rPr>
            </w:pPr>
            <w:r>
              <w:rPr>
                <w:rFonts w:hint="eastAsia" w:ascii="宋体" w:hAnsi="宋体" w:eastAsia="宋体" w:cs="宋体"/>
                <w:b w:val="0"/>
                <w:color w:val="auto"/>
                <w:sz w:val="15"/>
              </w:rPr>
              <w:t>病例脱敏规范、数据使用范围和伦理/信息部门意见</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31F4F5C">
            <w:pPr>
              <w:spacing w:after="0" w:line="283" w:lineRule="auto"/>
              <w:rPr>
                <w:rFonts w:hint="eastAsia" w:ascii="宋体" w:hAnsi="宋体" w:eastAsia="宋体" w:cs="宋体"/>
                <w:color w:val="auto"/>
              </w:rPr>
            </w:pPr>
            <w:r>
              <w:rPr>
                <w:rFonts w:hint="eastAsia" w:ascii="宋体" w:hAnsi="宋体" w:eastAsia="宋体" w:cs="宋体"/>
                <w:b w:val="0"/>
                <w:color w:val="auto"/>
                <w:sz w:val="15"/>
              </w:rPr>
              <w:t>确定数据使用与部署边界</w:t>
            </w:r>
          </w:p>
        </w:tc>
      </w:tr>
      <w:tr w14:paraId="65FDE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7138DCB8">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G02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16EF2AA8">
            <w:pPr>
              <w:spacing w:after="0" w:line="283" w:lineRule="auto"/>
              <w:rPr>
                <w:rFonts w:hint="eastAsia" w:ascii="宋体" w:hAnsi="宋体" w:eastAsia="宋体" w:cs="宋体"/>
                <w:color w:val="auto"/>
              </w:rPr>
            </w:pPr>
            <w:r>
              <w:rPr>
                <w:rFonts w:hint="eastAsia" w:ascii="宋体" w:hAnsi="宋体" w:eastAsia="宋体" w:cs="宋体"/>
                <w:b w:val="0"/>
                <w:color w:val="auto"/>
                <w:sz w:val="15"/>
              </w:rPr>
              <w:t>知识库内容审核教师名单、专长和审核时间</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4DD95BA4">
            <w:pPr>
              <w:spacing w:after="0" w:line="283" w:lineRule="auto"/>
              <w:rPr>
                <w:rFonts w:hint="eastAsia" w:ascii="宋体" w:hAnsi="宋体" w:eastAsia="宋体" w:cs="宋体"/>
                <w:color w:val="auto"/>
              </w:rPr>
            </w:pPr>
            <w:r>
              <w:rPr>
                <w:rFonts w:hint="eastAsia" w:ascii="宋体" w:hAnsi="宋体" w:eastAsia="宋体" w:cs="宋体"/>
                <w:b w:val="0"/>
                <w:color w:val="auto"/>
                <w:sz w:val="15"/>
              </w:rPr>
              <w:t>落实医学审核与争议裁决</w:t>
            </w:r>
          </w:p>
        </w:tc>
      </w:tr>
      <w:tr w14:paraId="072C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55F682D5">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G03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4C9281DC">
            <w:pPr>
              <w:spacing w:after="0" w:line="283" w:lineRule="auto"/>
              <w:rPr>
                <w:rFonts w:hint="eastAsia" w:ascii="宋体" w:hAnsi="宋体" w:eastAsia="宋体" w:cs="宋体"/>
                <w:color w:val="auto"/>
              </w:rPr>
            </w:pPr>
            <w:r>
              <w:rPr>
                <w:rFonts w:hint="eastAsia" w:ascii="宋体" w:hAnsi="宋体" w:eastAsia="宋体" w:cs="宋体"/>
                <w:b w:val="0"/>
                <w:color w:val="auto"/>
                <w:sz w:val="15"/>
              </w:rPr>
              <w:t>最终落地平台、账号权限、网络和设备条件</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31CAC684">
            <w:pPr>
              <w:spacing w:after="0" w:line="283" w:lineRule="auto"/>
              <w:rPr>
                <w:rFonts w:hint="eastAsia" w:ascii="宋体" w:hAnsi="宋体" w:eastAsia="宋体" w:cs="宋体"/>
                <w:color w:val="auto"/>
              </w:rPr>
            </w:pPr>
            <w:r>
              <w:rPr>
                <w:rFonts w:hint="eastAsia" w:ascii="宋体" w:hAnsi="宋体" w:eastAsia="宋体" w:cs="宋体"/>
                <w:b w:val="0"/>
                <w:color w:val="auto"/>
                <w:sz w:val="15"/>
              </w:rPr>
              <w:t>确定技术路线、权限和部署</w:t>
            </w:r>
          </w:p>
        </w:tc>
      </w:tr>
      <w:tr w14:paraId="4F6B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4FAAE4C6">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G04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40B96066">
            <w:pPr>
              <w:spacing w:after="0" w:line="283" w:lineRule="auto"/>
              <w:rPr>
                <w:rFonts w:hint="eastAsia" w:ascii="宋体" w:hAnsi="宋体" w:eastAsia="宋体" w:cs="宋体"/>
                <w:color w:val="auto"/>
              </w:rPr>
            </w:pPr>
            <w:r>
              <w:rPr>
                <w:rFonts w:hint="eastAsia" w:ascii="宋体" w:hAnsi="宋体" w:eastAsia="宋体" w:cs="宋体"/>
                <w:b w:val="0"/>
                <w:color w:val="auto"/>
                <w:sz w:val="15"/>
              </w:rPr>
              <w:t>比赛通知、评分细则、申报模板和截止日期</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01D7FFB8">
            <w:pPr>
              <w:spacing w:after="0" w:line="283" w:lineRule="auto"/>
              <w:rPr>
                <w:rFonts w:hint="eastAsia" w:ascii="宋体" w:hAnsi="宋体" w:eastAsia="宋体" w:cs="宋体"/>
                <w:color w:val="auto"/>
              </w:rPr>
            </w:pPr>
            <w:r>
              <w:rPr>
                <w:rFonts w:hint="eastAsia" w:ascii="宋体" w:hAnsi="宋体" w:eastAsia="宋体" w:cs="宋体"/>
                <w:b w:val="0"/>
                <w:color w:val="auto"/>
                <w:sz w:val="15"/>
              </w:rPr>
              <w:t>确定参赛边界与倒排计划</w:t>
            </w:r>
          </w:p>
        </w:tc>
      </w:tr>
      <w:tr w14:paraId="5D70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58208536">
            <w:pPr>
              <w:spacing w:after="0" w:line="283" w:lineRule="auto"/>
              <w:jc w:val="center"/>
              <w:rPr>
                <w:rFonts w:hint="eastAsia" w:ascii="宋体" w:hAnsi="宋体" w:eastAsia="宋体" w:cs="宋体"/>
                <w:color w:val="auto"/>
              </w:rPr>
            </w:pPr>
            <w:r>
              <w:rPr>
                <w:rFonts w:hint="eastAsia" w:ascii="宋体" w:hAnsi="宋体" w:eastAsia="宋体" w:cs="宋体"/>
                <w:b/>
                <w:color w:val="auto"/>
                <w:sz w:val="15"/>
              </w:rPr>
              <w:t>G05 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6AAF4DFF">
            <w:pPr>
              <w:spacing w:after="0" w:line="283" w:lineRule="auto"/>
              <w:rPr>
                <w:rFonts w:hint="eastAsia" w:ascii="宋体" w:hAnsi="宋体" w:eastAsia="宋体" w:cs="宋体"/>
                <w:color w:val="auto"/>
              </w:rPr>
            </w:pPr>
            <w:r>
              <w:rPr>
                <w:rFonts w:hint="eastAsia" w:ascii="宋体" w:hAnsi="宋体" w:eastAsia="宋体" w:cs="宋体"/>
                <w:b w:val="0"/>
                <w:color w:val="auto"/>
                <w:sz w:val="15"/>
              </w:rPr>
              <w:t>项目名称、成员、指导教师及署名顺序</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tcMar>
              <w:top w:w="100" w:type="dxa"/>
              <w:left w:w="120" w:type="dxa"/>
              <w:bottom w:w="100" w:type="dxa"/>
              <w:right w:w="120" w:type="dxa"/>
            </w:tcMar>
            <w:vAlign w:val="center"/>
          </w:tcPr>
          <w:p w14:paraId="3E23738D">
            <w:pPr>
              <w:spacing w:after="0" w:line="283" w:lineRule="auto"/>
              <w:rPr>
                <w:rFonts w:hint="eastAsia" w:ascii="宋体" w:hAnsi="宋体" w:eastAsia="宋体" w:cs="宋体"/>
                <w:color w:val="auto"/>
              </w:rPr>
            </w:pPr>
            <w:r>
              <w:rPr>
                <w:rFonts w:hint="eastAsia" w:ascii="宋体" w:hAnsi="宋体" w:eastAsia="宋体" w:cs="宋体"/>
                <w:b w:val="0"/>
                <w:color w:val="auto"/>
                <w:sz w:val="15"/>
              </w:rPr>
              <w:t>统一全部教师汇报和参赛材料</w:t>
            </w:r>
          </w:p>
        </w:tc>
      </w:tr>
      <w:tr w14:paraId="4415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36F4E9DC">
            <w:pPr>
              <w:spacing w:after="0" w:line="283" w:lineRule="auto"/>
              <w:jc w:val="center"/>
              <w:rPr>
                <w:rFonts w:hint="eastAsia" w:ascii="宋体" w:hAnsi="宋体" w:eastAsia="宋体" w:cs="宋体"/>
                <w:color w:val="auto"/>
              </w:rPr>
            </w:pPr>
            <w:r>
              <w:rPr>
                <w:rFonts w:hint="eastAsia" w:ascii="宋体" w:hAnsi="宋体" w:eastAsia="宋体" w:cs="宋体"/>
                <w:b w:val="0"/>
                <w:color w:val="auto"/>
                <w:sz w:val="15"/>
              </w:rPr>
              <w:t>G06 条件必须</w:t>
            </w:r>
          </w:p>
        </w:tc>
        <w:tc>
          <w:tcPr>
            <w:tcW w:w="392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796D28CF">
            <w:pPr>
              <w:spacing w:after="0" w:line="283" w:lineRule="auto"/>
              <w:rPr>
                <w:rFonts w:hint="eastAsia" w:ascii="宋体" w:hAnsi="宋体" w:eastAsia="宋体" w:cs="宋体"/>
                <w:color w:val="auto"/>
              </w:rPr>
            </w:pPr>
            <w:r>
              <w:rPr>
                <w:rFonts w:hint="eastAsia" w:ascii="宋体" w:hAnsi="宋体" w:eastAsia="宋体" w:cs="宋体"/>
                <w:b w:val="0"/>
                <w:color w:val="auto"/>
                <w:sz w:val="15"/>
              </w:rPr>
              <w:t>武汉大学、学院及附属医院名称和视觉标识授权范围</w:t>
            </w:r>
          </w:p>
        </w:tc>
        <w:tc>
          <w:tcPr>
            <w:tcW w:w="3000" w:type="dxa"/>
            <w:tcBorders>
              <w:top w:val="single" w:color="D9E4E9" w:sz="6" w:space="0"/>
              <w:left w:val="single" w:color="D9E4E9" w:sz="6" w:space="0"/>
              <w:bottom w:val="single" w:color="D9E4E9" w:sz="6" w:space="0"/>
              <w:right w:val="single" w:color="D9E4E9" w:sz="6" w:space="0"/>
              <w:insideH w:val="single" w:sz="6" w:space="0"/>
              <w:insideV w:val="single" w:sz="6" w:space="0"/>
            </w:tcBorders>
            <w:shd w:val="clear" w:color="auto" w:fill="F8FAFB"/>
            <w:tcMar>
              <w:top w:w="100" w:type="dxa"/>
              <w:left w:w="120" w:type="dxa"/>
              <w:bottom w:w="100" w:type="dxa"/>
              <w:right w:w="120" w:type="dxa"/>
            </w:tcMar>
            <w:vAlign w:val="center"/>
          </w:tcPr>
          <w:p w14:paraId="330E530D">
            <w:pPr>
              <w:spacing w:after="0" w:line="283" w:lineRule="auto"/>
              <w:rPr>
                <w:rFonts w:hint="eastAsia" w:ascii="宋体" w:hAnsi="宋体" w:eastAsia="宋体" w:cs="宋体"/>
                <w:color w:val="auto"/>
              </w:rPr>
            </w:pPr>
            <w:r>
              <w:rPr>
                <w:rFonts w:hint="eastAsia" w:ascii="宋体" w:hAnsi="宋体" w:eastAsia="宋体" w:cs="宋体"/>
                <w:b w:val="0"/>
                <w:color w:val="auto"/>
                <w:sz w:val="15"/>
              </w:rPr>
              <w:t>合规呈现校本特色</w:t>
            </w:r>
          </w:p>
        </w:tc>
      </w:tr>
    </w:tbl>
    <w:p w14:paraId="57EF21B1">
      <w:pPr>
        <w:spacing w:before="0" w:after="60" w:line="320" w:lineRule="auto"/>
        <w:jc w:val="left"/>
        <w:rPr>
          <w:rFonts w:hint="eastAsia" w:ascii="宋体" w:hAnsi="宋体" w:eastAsia="宋体" w:cs="宋体"/>
          <w:color w:val="auto"/>
        </w:rPr>
      </w:pPr>
    </w:p>
    <w:p w14:paraId="61EE5C87">
      <w:pPr>
        <w:pBdr>
          <w:left w:val="single" w:color="A94442" w:sz="22" w:space="0"/>
        </w:pBdr>
        <w:shd w:val="clear" w:fill="FFF0F0"/>
        <w:spacing w:before="140" w:after="140" w:line="300" w:lineRule="auto"/>
        <w:ind w:left="173" w:right="115"/>
        <w:rPr>
          <w:rFonts w:hint="eastAsia" w:ascii="宋体" w:hAnsi="宋体" w:eastAsia="宋体" w:cs="宋体"/>
          <w:color w:val="auto"/>
        </w:rPr>
      </w:pPr>
      <w:r>
        <w:rPr>
          <w:rFonts w:hint="eastAsia" w:ascii="宋体" w:hAnsi="宋体" w:eastAsia="宋体" w:cs="宋体"/>
          <w:b/>
          <w:color w:val="auto"/>
          <w:sz w:val="21"/>
        </w:rPr>
        <w:t xml:space="preserve">材料提交原则  </w:t>
      </w:r>
      <w:r>
        <w:rPr>
          <w:rFonts w:hint="eastAsia" w:ascii="宋体" w:hAnsi="宋体" w:eastAsia="宋体" w:cs="宋体"/>
          <w:color w:val="auto"/>
          <w:sz w:val="21"/>
        </w:rPr>
        <w:t>不提交真实患儿姓名、病历号、联系方式、精确住址、影像号或任何账号密钥。不能确认授权范围时，先提供目录和脱敏样例，由项目组确认后再批量整理。</w:t>
      </w:r>
    </w:p>
    <w:p w14:paraId="5855ABE1">
      <w:pPr>
        <w:spacing w:before="0" w:after="60" w:line="320" w:lineRule="auto"/>
        <w:jc w:val="left"/>
        <w:rPr>
          <w:rFonts w:hint="eastAsia" w:ascii="宋体" w:hAnsi="宋体" w:eastAsia="宋体" w:cs="宋体"/>
          <w:color w:val="auto"/>
        </w:rPr>
      </w:pPr>
    </w:p>
    <w:p w14:paraId="06AABD4C">
      <w:pPr>
        <w:pStyle w:val="3"/>
        <w:keepNext/>
        <w:rPr>
          <w:rFonts w:hint="eastAsia" w:ascii="宋体" w:hAnsi="宋体" w:eastAsia="宋体" w:cs="宋体"/>
          <w:color w:val="auto"/>
        </w:rPr>
      </w:pPr>
      <w:r>
        <w:rPr>
          <w:rFonts w:hint="eastAsia" w:ascii="宋体" w:hAnsi="宋体" w:eastAsia="宋体" w:cs="宋体"/>
          <w:b/>
          <w:color w:val="auto"/>
          <w:sz w:val="32"/>
        </w:rPr>
        <w:t>六、老师需要优先确认的事项</w:t>
      </w:r>
    </w:p>
    <w:p w14:paraId="3E8B50B2">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确定第一批完整示范病例及其审核教师。</w:t>
      </w:r>
    </w:p>
    <w:p w14:paraId="7E7245F0">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确认身体部位—器材—操作顺序—可获取信息映射表。</w:t>
      </w:r>
    </w:p>
    <w:p w14:paraId="2715FC2B">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提供现行儿科OSCE量表与关键错误项。</w:t>
      </w:r>
    </w:p>
    <w:p w14:paraId="5F9826F6">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确认真实病例、多媒体素材和学校标识的使用边界。</w:t>
      </w:r>
    </w:p>
    <w:p w14:paraId="3A4169DB">
      <w:pPr>
        <w:pStyle w:val="16"/>
        <w:spacing w:after="80" w:line="290" w:lineRule="auto"/>
        <w:ind w:left="540" w:hanging="279"/>
        <w:rPr>
          <w:rFonts w:hint="eastAsia" w:ascii="宋体" w:hAnsi="宋体" w:eastAsia="宋体" w:cs="宋体"/>
          <w:color w:val="auto"/>
        </w:rPr>
      </w:pPr>
      <w:r>
        <w:rPr>
          <w:rFonts w:hint="eastAsia" w:ascii="宋体" w:hAnsi="宋体" w:eastAsia="宋体" w:cs="宋体"/>
          <w:color w:val="auto"/>
          <w:sz w:val="20"/>
        </w:rPr>
        <w:t>提供比赛通知、评分细则、展示时长和截止日期。</w:t>
      </w:r>
    </w:p>
    <w:p w14:paraId="36897FFA">
      <w:pPr>
        <w:spacing w:before="0" w:after="160" w:line="320" w:lineRule="auto"/>
        <w:jc w:val="left"/>
        <w:rPr>
          <w:rFonts w:hint="eastAsia" w:ascii="宋体" w:hAnsi="宋体" w:eastAsia="宋体" w:cs="宋体"/>
          <w:color w:val="auto"/>
        </w:rPr>
      </w:pPr>
      <w:r>
        <w:rPr>
          <w:rFonts w:hint="eastAsia" w:ascii="宋体" w:hAnsi="宋体" w:eastAsia="宋体" w:cs="宋体"/>
          <w:b/>
          <w:i w:val="0"/>
          <w:color w:val="auto"/>
          <w:sz w:val="21"/>
        </w:rPr>
        <w:t>完成上述五项后，即可把功能范围、医学标准和参赛重点锁定，进入正式内容建模和系统实现。</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63242">
    <w:pPr>
      <w:pStyle w:val="24"/>
      <w:jc w:val="right"/>
    </w:pPr>
    <w:r>
      <w:rPr>
        <w:rFonts w:ascii="微软雅黑" w:hAnsi="微软雅黑" w:eastAsia="微软雅黑"/>
        <w:color w:val="60727E"/>
        <w:sz w:val="16"/>
      </w:rPr>
      <w:t xml:space="preserve">武汉大学儿科学教学智能体  ·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4B8DA">
    <w:pPr>
      <w:pStyle w:val="25"/>
      <w:jc w:val="left"/>
    </w:pPr>
    <w:r>
      <w:rPr>
        <w:rFonts w:ascii="微软雅黑" w:hAnsi="微软雅黑" w:eastAsia="微软雅黑"/>
        <w:color w:val="60727E"/>
        <w:sz w:val="17"/>
      </w:rPr>
      <w:t>珞珈儿科智训  |  功能介绍（教师版）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254715"/>
    <w:rsid w:val="333F1E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微软雅黑" w:hAnsi="微软雅黑" w:eastAsia="微软雅黑" w:cstheme="minorBidi"/>
      <w:color w:val="1B2E3B"/>
      <w:sz w:val="21"/>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0A3556"/>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176FA9"/>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245B78"/>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3143</Words>
  <Characters>3258</Characters>
  <Lines>0</Lines>
  <Paragraphs>0</Paragraphs>
  <TotalTime>2</TotalTime>
  <ScaleCrop>false</ScaleCrop>
  <LinksUpToDate>false</LinksUpToDate>
  <CharactersWithSpaces>3311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武汉大学儿科学智能体项目组</dc:creator>
  <dc:description>generated by python-docx</dc:description>
  <cp:lastModifiedBy>陈思盈</cp:lastModifiedBy>
  <dcterms:modified xsi:type="dcterms:W3CDTF">2026-08-07T06:22:29Z</dcterms:modified>
  <dc:subject>系统功能、角色路径与知识库材料需求</dc:subject>
  <dc:title>珞珈儿科智训：功能介绍（教师版）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eyJoZGlkIjoiNzA4NGFlMjQ0MDM2NzYxMTRiODI2OTQzMmUzMDkzNzUiLCJ1c2VySWQiOiI4NzM1NDcwMjMifQ==</vt:lpwstr>
  </property>
  <property fmtid="{D5CDD505-2E9C-101B-9397-08002B2CF9AE}" pid="3" name="KSOProductBuildVer">
    <vt:lpwstr>2052-12.1.0.28043</vt:lpwstr>
  </property>
  <property fmtid="{D5CDD505-2E9C-101B-9397-08002B2CF9AE}" pid="4" name="ICV">
    <vt:lpwstr>DE0D65826F6F49719793BBD0F157D700_12</vt:lpwstr>
  </property>
</Properties>
</file>