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60" w:line="320" w:lineRule="auto"/>
        <w:jc w:val="center"/>
      </w:pPr>
      <w:r>
        <w:rPr>
          <w:rFonts w:ascii="Microsoft YaHei" w:hAnsi="Microsoft YaHei" w:eastAsia="Microsoft YaHei"/>
          <w:b/>
          <w:i w:val="0"/>
          <w:color w:val="C39532"/>
          <w:sz w:val="22"/>
        </w:rPr>
        <w:t>武汉大学儿科学 · 智能体大赛项目</w:t>
      </w:r>
    </w:p>
    <w:p>
      <w:pPr>
        <w:spacing w:before="0" w:after="200" w:line="320" w:lineRule="auto"/>
        <w:jc w:val="center"/>
      </w:pPr>
      <w:r>
        <w:rPr>
          <w:rFonts w:ascii="Microsoft YaHei" w:hAnsi="Microsoft YaHei" w:eastAsia="Microsoft YaHei"/>
          <w:b/>
          <w:i w:val="0"/>
          <w:color w:val="0A3556"/>
          <w:sz w:val="62"/>
        </w:rPr>
        <w:t>珞珈儿科智训</w:t>
      </w:r>
    </w:p>
    <w:p>
      <w:pPr>
        <w:spacing w:before="0" w:after="560" w:line="320" w:lineRule="auto"/>
        <w:jc w:val="center"/>
      </w:pPr>
      <w:r>
        <w:rPr>
          <w:rFonts w:ascii="Microsoft YaHei" w:hAnsi="Microsoft YaHei" w:eastAsia="Microsoft YaHei"/>
          <w:b/>
          <w:i w:val="0"/>
          <w:color w:val="176FA9"/>
          <w:sz w:val="32"/>
        </w:rPr>
        <w:t>儿童全周期临床胜任力训练与OSCE考核智能体</w:t>
      </w:r>
    </w:p>
    <w:p>
      <w:pPr>
        <w:spacing w:before="0" w:after="920" w:line="320" w:lineRule="auto"/>
        <w:jc w:val="center"/>
      </w:pPr>
      <w:r>
        <w:rPr>
          <w:rFonts w:ascii="Microsoft YaHei" w:hAnsi="Microsoft YaHei" w:eastAsia="Microsoft YaHei"/>
          <w:b w:val="0"/>
          <w:i/>
          <w:color w:val="60727E"/>
          <w:sz w:val="24"/>
        </w:rPr>
        <w:t>让儿科临床训练可重复、可解释、可改进</w:t>
      </w:r>
    </w:p>
    <w:p>
      <w:pPr>
        <w:shd w:fill="EAF4F8"/>
        <w:pBdr>
          <w:left w:val="single" w:sz="22" w:color="176FA9"/>
        </w:pBdr>
        <w:spacing w:before="140" w:after="140" w:line="300" w:lineRule="auto"/>
        <w:ind w:left="173" w:right="115"/>
      </w:pPr>
      <w:r>
        <w:rPr>
          <w:rFonts w:ascii="Microsoft YaHei" w:hAnsi="Microsoft YaHei" w:eastAsia="Microsoft YaHei"/>
          <w:b/>
          <w:color w:val="176FA9"/>
          <w:sz w:val="21"/>
        </w:rPr>
        <w:t xml:space="preserve">汇报结论  </w:t>
      </w:r>
      <w:r>
        <w:rPr>
          <w:rFonts w:ascii="Microsoft YaHei" w:hAnsi="Microsoft YaHei" w:eastAsia="Microsoft YaHei"/>
          <w:color w:val="1B2E3B"/>
          <w:sz w:val="21"/>
        </w:rPr>
        <w:t>本项目以儿科学专业能力为中心，以患儿—家长双角色、动态病情演变和可解释OSCE评价为三项核心创新，贯通问诊、查体、诊断、沟通与考核，形成具有武汉大学校本特色的竞赛型教学智能体。</w:t>
      </w:r>
    </w:p>
    <w:p>
      <w:pPr>
        <w:spacing w:before="0" w:after="60" w:line="320" w:lineRule="auto"/>
        <w:jc w:val="left"/>
      </w:pPr>
    </w:p>
    <w:p>
      <w:pPr>
        <w:spacing w:before="1100" w:after="100" w:line="32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0727E"/>
          <w:sz w:val="20"/>
        </w:rPr>
        <w:t>交付版本：竞赛演示原型 V0.1</w:t>
      </w:r>
    </w:p>
    <w:p>
      <w:pPr>
        <w:spacing w:before="0" w:after="100" w:line="32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0727E"/>
          <w:sz w:val="20"/>
        </w:rPr>
        <w:t>编制日期：2026年08月06日</w:t>
      </w:r>
    </w:p>
    <w:p>
      <w:pPr>
        <w:spacing w:before="0" w:after="160" w:line="32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0727E"/>
          <w:sz w:val="20"/>
        </w:rPr>
        <w:t>文档状态：供教师论证、材料准备与参赛决策使用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A3556"/>
          <w:sz w:val="32"/>
        </w:rPr>
        <w:t>汇报摘要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本项目拟建设“珞珈儿科智训”智能体，服务儿科学专业学生的临床胜任力训练与OSCE考核。项目不定位为一般医学问答工具，而是通过一个可演变的虚拟病例，将学生的语言输入、查体选择、临床决策和沟通行为转化为可追踪、可评分、可复训的教学过程。</w:t>
      </w:r>
    </w:p>
    <w:p>
      <w:pPr>
        <w:shd w:fill="EAF4F8"/>
        <w:pBdr>
          <w:left w:val="single" w:sz="22" w:color="176FA9"/>
        </w:pBdr>
        <w:spacing w:before="140" w:after="140" w:line="300" w:lineRule="auto"/>
        <w:ind w:left="173" w:right="115"/>
      </w:pPr>
      <w:r>
        <w:rPr>
          <w:rFonts w:ascii="Microsoft YaHei" w:hAnsi="Microsoft YaHei" w:eastAsia="Microsoft YaHei"/>
          <w:b/>
          <w:color w:val="176FA9"/>
          <w:sz w:val="21"/>
        </w:rPr>
        <w:t xml:space="preserve">核心价值  </w:t>
      </w:r>
      <w:r>
        <w:rPr>
          <w:rFonts w:ascii="Microsoft YaHei" w:hAnsi="Microsoft YaHei" w:eastAsia="Microsoft YaHei"/>
          <w:color w:val="1B2E3B"/>
          <w:sz w:val="21"/>
        </w:rPr>
        <w:t>解决真实患儿难以重复配合、低频危重病例接触不足、儿科三方沟通训练缺位、传统OSCE组织成本高且反馈滞后的问题。</w:t>
      </w:r>
    </w:p>
    <w:p>
      <w:pPr>
        <w:spacing w:before="0" w:after="60" w:line="320" w:lineRule="auto"/>
        <w:jc w:val="left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本次交付范围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一份面向教师的正式汇报文档：完整拆解总体架构、实现逻辑、建设路径、风险边界和材料需求。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一套可交互演示Demo：支持教师手动问诊、查体、决策、沟通，也支持一键完整演示。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一个可直接展示的交付包：无需API密钥或服务器即可演示，附使用说明与验收记录。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当前已经具备的演示能力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650"/>
        <w:gridCol w:w="4510"/>
      </w:tblGrid>
      <w:tr>
        <w:trPr>
          <w:tblHeader w:val="true"/>
          <w:cantSplit/>
        </w:trPr>
        <w:tc>
          <w:tcPr>
            <w:tcW w:type="dxa" w:w="120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365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教师可见内容</w:t>
            </w:r>
          </w:p>
        </w:tc>
        <w:tc>
          <w:tcPr>
            <w:tcW w:type="dxa" w:w="451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系统执行逻辑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8"/>
              </w:rPr>
              <w:t>输入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8"/>
              </w:rPr>
              <w:t>学生向患儿或家长提问；选择查体、诊断和沟通方案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8"/>
              </w:rPr>
              <w:t>识别问诊主题和操作类型，写入本次考站状态</w:t>
            </w:r>
          </w:p>
        </w:tc>
      </w:tr>
      <w:tr>
        <w:trPr>
          <w:cantSplit/>
        </w:trPr>
        <w:tc>
          <w:tcPr>
            <w:tcW w:type="dxa" w:w="12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8"/>
              </w:rPr>
              <w:t>处理</w:t>
            </w:r>
          </w:p>
        </w:tc>
        <w:tc>
          <w:tcPr>
            <w:tcW w:type="dxa" w:w="365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8"/>
              </w:rPr>
              <w:t>患儿/家长回答、体征解锁、生命体征变化</w:t>
            </w:r>
          </w:p>
        </w:tc>
        <w:tc>
          <w:tcPr>
            <w:tcW w:type="dxa" w:w="451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8"/>
              </w:rPr>
              <w:t>按角色、病例阶段和专业规则匹配反馈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8"/>
              </w:rPr>
              <w:t>输出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8"/>
              </w:rPr>
              <w:t>OSCE总分、六维雷达图、逐项证据和补练建议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8"/>
              </w:rPr>
              <w:t>量表计分，绑定已发生的行为证据并识别薄弱项</w:t>
            </w:r>
          </w:p>
        </w:tc>
      </w:tr>
    </w:tbl>
    <w:p>
      <w:pPr>
        <w:spacing w:before="0" w:after="60" w:line="320" w:lineRule="auto"/>
        <w:jc w:val="left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A3556"/>
          <w:sz w:val="32"/>
        </w:rPr>
        <w:t>一、建设背景与参赛定位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1.1 儿科学临床教学的典型痛点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真实患儿年龄小、表达有限、情绪波动大，难以像成人标准化病人一样稳定重复配合。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儿科病史不仅来自患儿，还依赖家长补充；学生容易忽略出生史、喂养史、生长发育史和预防接种史。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病情变化快，急危重症和传染病处置具有低频、高风险特点，学生真实练习机会不足。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传统OSCE需要大量教师、标准化病人、场地和排期，考后往往只能得到分数，缺少全过程证据。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通用大模型善于回答知识问题，但不能天然保证病例一致性、评分公平性和医学安全。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1.2 竞赛作品定位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参赛作品以“儿童全周期临床胜任力训练”为单一主线，用一个高完成度病例贯通四个专业资源库和三个核心引擎。竞赛现场不以功能菜单数量取胜，而以完整的输入—逻辑—输出闭环、儿科专业差异和教师可控的评价证据形成辨识度。</w:t>
      </w:r>
    </w:p>
    <w:p>
      <w:pPr>
        <w:shd w:fill="FFF7E7"/>
        <w:pBdr>
          <w:left w:val="single" w:sz="22" w:color="C39532"/>
        </w:pBdr>
        <w:spacing w:before="140" w:after="140" w:line="300" w:lineRule="auto"/>
        <w:ind w:left="173" w:right="115"/>
      </w:pPr>
      <w:r>
        <w:rPr>
          <w:rFonts w:ascii="Microsoft YaHei" w:hAnsi="Microsoft YaHei" w:eastAsia="Microsoft YaHei"/>
          <w:b/>
          <w:color w:val="C39532"/>
          <w:sz w:val="21"/>
        </w:rPr>
        <w:t xml:space="preserve">一句话介绍  </w:t>
      </w:r>
      <w:r>
        <w:rPr>
          <w:rFonts w:ascii="Microsoft YaHei" w:hAnsi="Microsoft YaHei" w:eastAsia="Microsoft YaHei"/>
          <w:color w:val="1B2E3B"/>
          <w:sz w:val="21"/>
        </w:rPr>
        <w:t>AI同时扮演患儿与家长，学生的问诊、查体和处置会推动病情变化，最终依据教师确认的OSCE量表生成证据化反馈。</w:t>
      </w:r>
    </w:p>
    <w:p>
      <w:pPr>
        <w:spacing w:before="0" w:after="60" w:line="320" w:lineRule="auto"/>
        <w:jc w:val="left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1.3 建设目标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专业目标：覆盖儿科问诊、查体、临床思维、传染病特点、沟通与患者安全。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教学目标：支持训练模式、考核模式、教师复盘和个性化补练。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竞赛目标：形成可现场稳定演示、可量化说明价值、可继续扩展的完整作品。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治理目标：确保病例脱敏、知识可追溯、评分可解释、模型有边界。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A3556"/>
          <w:sz w:val="32"/>
        </w:rPr>
        <w:t>二、整体架构拆解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系统由输入层、核心智能层、校本知识与规则层、输出层组成。教师负责病例、量表、指南和教学目标；系统负责多角色模拟、病例状态推进、规则校验和过程评价。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1" name="Picture 1" title="珞珈儿科智训整体架构" descr="输入层、双角色模拟引擎、动态病例引擎、可解释评价引擎、四个校本资源库和输出层的关系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2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0727E"/>
          <w:sz w:val="17"/>
        </w:rPr>
        <w:t>图1  珞珈儿科智训整体架构（当前Demo采用本地规则模拟核心链路）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2.1 输入层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自然语言输入：学生向患儿或家长提出问诊问题。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结构化操作：学生选择查体项目、检查、初步诊断、处置和沟通表达。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教师配置：病例难度、时间、评分项、提示策略、知识版本和安全边界。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2.2 核心智能层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双角色模拟引擎：管理患儿和家长的信息差、语言能力、情绪与配合程度。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动态病例引擎：依据时间、已获信息和学生操作更新病情阶段与生命体征。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可解释评价引擎：使用教师量表计分，将每个分值绑定到实际行为证据。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2.3 校本知识与规则层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病例知识：病史、体征、检查、诊断、治疗、病情演变和教学目标。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专业规则：年龄相关正常值、药物剂量、危险信号、隔离与报告要求。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评价规则：OSCE行为点、整体表现、严重错误项和补练映射。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2.4 输出层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即时输出：角色回答、体征反馈、病情变化、风险提示。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考后输出：总分、能力维度、扣分证据、标准示范和个性化补练。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教师输出：班级薄弱项、病例难度、评分一致性和内容版本记录。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A3556"/>
          <w:sz w:val="32"/>
        </w:rPr>
        <w:t>三、四个专业资源库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3.1 儿科问诊与体征模拟库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按新生儿、婴儿、幼儿、学龄儿童和青春期设置表达能力与查体配合度。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覆盖主诉、现病史、出生史、喂养史、生长发育史、预防接种史、接触史与家族史。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建设可视化患儿交互模型：学生可自主点击口腔、胸部、腹部、皮肤等身体部位，触发符合年龄和病例状态的动作或表面体征反馈，例如点击嘴巴后患儿张口、吐舌，显示可直接观察的信息。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体检器材必须由学生主动选择并拖放或点击到正确部位；听诊器、血压计、体温计等工具与部位匹配成功后才解锁呼吸音、血压、体温等深层信息。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病例结构包含部位热点、器材—部位规则、表面体征、深层病情信息、错误引导、标准答案、阶段变化和教师点评。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3.2 儿童传染病特点库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按年龄、季节、传播途径、临床综合征和隔离要求组织。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突出儿童非典型表现、年龄依赖性、疫苗接种、剂量安全和快速恶化风险。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训练流行病学史、传染病报告、院感防控、家庭与托幼机构健康教育。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所有医学内容记录指南名称、版本、发布日期、审核教师和失效复核日期。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3.3 儿科沟通场景专项库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覆盖哭闹拒检、焦虑家长、抗菌药诉求、疫苗犹豫、知情同意、坏消息告知和青春期隐私。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评价共情、结构、通俗程度、风险解释、共同决策和儿童权益保护。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同一病例可设置不同家长性格与认知水平，考查学生适应性沟通。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沟通评分以可观察行为点为主，模型仅提供语义辅助，不直接决定全部分值。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3.4 儿科OSCE标准化考核库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支持问诊站、查体站、临床思维站、沟通站、急救站和健康宣教站。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采用客观行为点、关键错误项和整体表现三部分评分。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保存学生提问、选择、顺序、用时和病情变化，形成完整证据链。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训练模式允许分级提示；正式考核模式隐藏提示并锁定量表版本。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A3556"/>
          <w:sz w:val="32"/>
        </w:rPr>
        <w:t>四、三个核心引擎与实现逻辑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4.1 患儿—家长双角色模拟引擎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每个角色拥有独立的事实范围、表达能力、情绪状态和信息可信度。患儿提供主观感受和有限表达，家长补充时间线、既往史和照护观察。系统根据学生当前交流对象输出不同答案，避免两个角色说出完全相同的信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4.2 动态病情演变引擎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病例被表示为有限状态：初始评估、危险信号出现、处置后稳定或延误后恶化。学生完成关键操作后触发状态迁移，例如识别低氧并吸氧后血氧上升；忽视危险信号则风险等级提高。正式版的状态迁移必须由教师预先确认，不由模型随意编造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4.3 可解释OSCE评价引擎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评分先读取结构化行为证据，再套用教师量表计算。自然语言模型只负责识别学生表达是否覆盖某个行为点，最终分值由固定权重、封顶规则和关键错误项共同决定。每项扣分均能回指到“学生做了什么或没有做什么”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4.4 可视化交互式患儿查体子系统（正式建设计划）</w:t>
      </w:r>
    </w:p>
    <w:p>
      <w:pPr>
        <w:shd w:fill="FFF7E7"/>
        <w:pBdr>
          <w:left w:val="single" w:sz="22" w:color="C39532"/>
        </w:pBdr>
        <w:spacing w:before="140" w:after="140" w:line="300" w:lineRule="auto"/>
        <w:ind w:left="173" w:right="115"/>
      </w:pPr>
      <w:r>
        <w:rPr>
          <w:rFonts w:ascii="Microsoft YaHei" w:hAnsi="Microsoft YaHei" w:eastAsia="Microsoft YaHei"/>
          <w:b/>
          <w:color w:val="C39532"/>
          <w:sz w:val="21"/>
        </w:rPr>
        <w:t xml:space="preserve">关键升级  </w:t>
      </w:r>
      <w:r>
        <w:rPr>
          <w:rFonts w:ascii="Microsoft YaHei" w:hAnsi="Microsoft YaHei" w:eastAsia="Microsoft YaHei"/>
          <w:color w:val="1B2E3B"/>
          <w:sz w:val="21"/>
        </w:rPr>
        <w:t>模拟问诊系统不能停留在对话问答。正式版将把患儿模型作为主要操作界面，让学生按照真实临床顺序完成观察、选择器材、定位部位、执行检查和解释结果。当前Demo仅验证“主动操作后开放体征”的规则闭环，不代表该可视化子系统已经完成。</w:t>
      </w:r>
    </w:p>
    <w:p>
      <w:pPr>
        <w:spacing w:before="0" w:after="60" w:line="320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4960"/>
      </w:tblGrid>
      <w:tr>
        <w:trPr>
          <w:tblHeader w:val="true"/>
          <w:cantSplit/>
        </w:trPr>
        <w:tc>
          <w:tcPr>
            <w:tcW w:type="dxa" w:w="150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交互层级</w:t>
            </w:r>
          </w:p>
        </w:tc>
        <w:tc>
          <w:tcPr>
            <w:tcW w:type="dxa" w:w="290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学生操作</w:t>
            </w:r>
          </w:p>
        </w:tc>
        <w:tc>
          <w:tcPr>
            <w:tcW w:type="dxa" w:w="496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系统逻辑与反馈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基础观察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点击口腔、胸部、腹部、皮肤等身体部位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播放张口、吐舌、转身、抬臂等动作；仅显示肉眼可见的表面体征</w:t>
            </w:r>
          </w:p>
        </w:tc>
      </w:tr>
      <w:tr>
        <w:trPr>
          <w:cantSplit/>
        </w:trPr>
        <w:tc>
          <w:tcPr>
            <w:tcW w:type="dxa" w:w="15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器材调用</w:t>
            </w:r>
          </w:p>
        </w:tc>
        <w:tc>
          <w:tcPr>
            <w:tcW w:type="dxa" w:w="29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从侧边工具栏选择听诊器、血压计、体温计等</w:t>
            </w:r>
          </w:p>
        </w:tc>
        <w:tc>
          <w:tcPr>
            <w:tcW w:type="dxa" w:w="496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显示器材已选中、可用部位和操作步骤，不直接泄露检查结果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专业校验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将器材用于具体身体部位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同时匹配“病例状态＋器材＋部位＋操作顺序”后，才解锁呼吸音、血压、体温等深层信息</w:t>
            </w:r>
          </w:p>
        </w:tc>
      </w:tr>
      <w:tr>
        <w:trPr>
          <w:cantSplit/>
        </w:trPr>
        <w:tc>
          <w:tcPr>
            <w:tcW w:type="dxa" w:w="15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错误引导</w:t>
            </w:r>
          </w:p>
        </w:tc>
        <w:tc>
          <w:tcPr>
            <w:tcW w:type="dxa" w:w="29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器材或部位选择错误、遗漏准备步骤</w:t>
            </w:r>
          </w:p>
        </w:tc>
        <w:tc>
          <w:tcPr>
            <w:tcW w:type="dxa" w:w="496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给予分级提示：状态提示→方向性提示→标准操作示范；记录错误次数和用时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教学评价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完成或结束一次检查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保存点击轨迹、器材选择、部位匹配、操作顺序和结果解释，映射到OSCE评分证据</w:t>
            </w:r>
          </w:p>
        </w:tc>
      </w:tr>
    </w:tbl>
    <w:p>
      <w:pPr>
        <w:spacing w:before="0" w:after="60" w:line="320" w:lineRule="auto"/>
        <w:jc w:val="left"/>
      </w:pP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核心数据规则采用“病例阶段—年龄—身体部位—观察方式—器材—可见信息—反馈动画—评分点”的结构化映射。没有使用对应器材时，系统不得展示深层病理数据；器材与部位不匹配时，不触发检查结果，只提供纠错提示。所有动作、检查位置和结果解释由儿科学教师审核后进入正式病例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4.5 一次交互的完整处理链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703832"/>
            <wp:docPr id="2" name="Picture 2" title="六步处理链" descr="学生输入、意图识别、病例状态、专业校验、生成反馈和证据评价六步流程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0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2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0727E"/>
          <w:sz w:val="17"/>
        </w:rPr>
        <w:t>图2  从学生输入到评价输出的六步处理链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Microsoft YaHei" w:hAnsi="Microsoft YaHei" w:eastAsia="Microsoft YaHei"/>
          <w:color w:val="1B2E3B"/>
          <w:sz w:val="20"/>
        </w:rPr>
        <w:t>接收学生的问诊语句或结构化操作。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Microsoft YaHei" w:hAnsi="Microsoft YaHei" w:eastAsia="Microsoft YaHei"/>
          <w:color w:val="1B2E3B"/>
          <w:sz w:val="20"/>
        </w:rPr>
        <w:t>识别问诊主题、临床操作类型和当前交流角色。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Microsoft YaHei" w:hAnsi="Microsoft YaHei" w:eastAsia="Microsoft YaHei"/>
          <w:color w:val="1B2E3B"/>
          <w:sz w:val="20"/>
        </w:rPr>
        <w:t>读取病例事实、当前病情阶段和已披露信息。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Microsoft YaHei" w:hAnsi="Microsoft YaHei" w:eastAsia="Microsoft YaHei"/>
          <w:color w:val="1B2E3B"/>
          <w:sz w:val="20"/>
        </w:rPr>
        <w:t>调用四库内容及危险信号、年龄、剂量等专业规则。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Microsoft YaHei" w:hAnsi="Microsoft YaHei" w:eastAsia="Microsoft YaHei"/>
          <w:color w:val="1B2E3B"/>
          <w:sz w:val="20"/>
        </w:rPr>
        <w:t>生成符合角色和阶段的回答、体征或生命体征变化。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Microsoft YaHei" w:hAnsi="Microsoft YaHei" w:eastAsia="Microsoft YaHei"/>
          <w:color w:val="1B2E3B"/>
          <w:sz w:val="20"/>
        </w:rPr>
        <w:t>记录过程证据，按量表计分并生成补练建议。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A3556"/>
          <w:sz w:val="32"/>
        </w:rPr>
        <w:t>五、演示Demo设计与已实现功能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5.1 演示病例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演示病例为“3岁患儿发热、咳嗽伴气促”。学生需要完成重点问诊、呼吸系统查体、低氧风险识别、初步处置和家长沟通。该病例能够在约5分钟内展示四库三引擎的完整闭环。病例和评分为虚构演示数据，不构成诊疗建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5.2 手动操作路径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Microsoft YaHei" w:hAnsi="Microsoft YaHei" w:eastAsia="Microsoft YaHei"/>
          <w:color w:val="1B2E3B"/>
          <w:sz w:val="20"/>
        </w:rPr>
        <w:t>选择患儿母亲或患儿小宇，通过输入框完成问诊。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Microsoft YaHei" w:hAnsi="Microsoft YaHei" w:eastAsia="Microsoft YaHei"/>
          <w:color w:val="1B2E3B"/>
          <w:sz w:val="20"/>
        </w:rPr>
        <w:t>点击查体项目，观察系统按需开放体征。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Microsoft YaHei" w:hAnsi="Microsoft YaHei" w:eastAsia="Microsoft YaHei"/>
          <w:color w:val="1B2E3B"/>
          <w:sz w:val="20"/>
        </w:rPr>
        <w:t>提交初步诊断与首要处置，查看生命体征变化。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Microsoft YaHei" w:hAnsi="Microsoft YaHei" w:eastAsia="Microsoft YaHei"/>
          <w:color w:val="1B2E3B"/>
          <w:sz w:val="20"/>
        </w:rPr>
        <w:t>选择向焦虑家长的沟通表达并获得反馈。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Microsoft YaHei" w:hAnsi="Microsoft YaHei" w:eastAsia="Microsoft YaHei"/>
          <w:color w:val="1B2E3B"/>
          <w:sz w:val="20"/>
        </w:rPr>
        <w:t>完成考站，查看六维雷达图、逐项证据和个性化补练。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5.3 一键演示路径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教师点击右上角“一键演示完整流程”，系统自动完成标准问诊、重点查体、正确处置和沟通，随后跳转OSCE报告。该模式用于竞赛现场快速、稳定地呈现完整价值；任何阶段都可以由教师手动接管。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5.4 当前技术实现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4460"/>
      </w:tblGrid>
      <w:tr>
        <w:trPr>
          <w:tblHeader w:val="true"/>
          <w:cantSplit/>
        </w:trPr>
        <w:tc>
          <w:tcPr>
            <w:tcW w:type="dxa" w:w="160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30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当前Demo</w:t>
            </w:r>
          </w:p>
        </w:tc>
        <w:tc>
          <w:tcPr>
            <w:tcW w:type="dxa" w:w="446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正式版本建议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界面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HTML、CSS、JavaScript，纯前端运行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保持网页端，接入学校统一身份认证</w:t>
            </w:r>
          </w:p>
        </w:tc>
      </w:tr>
      <w:tr>
        <w:trPr>
          <w:cantSplit/>
        </w:trPr>
        <w:tc>
          <w:tcPr>
            <w:tcW w:type="dxa" w:w="16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意图识别</w:t>
            </w:r>
          </w:p>
        </w:tc>
        <w:tc>
          <w:tcPr>
            <w:tcW w:type="dxa" w:w="33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本地关键词与规则</w:t>
            </w:r>
          </w:p>
        </w:tc>
        <w:tc>
          <w:tcPr>
            <w:tcW w:type="dxa" w:w="446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知识库约束的大模型＋规则校验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病例状态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浏览器内存中的有限状态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后端病例状态机＋数据库审计</w:t>
            </w:r>
          </w:p>
        </w:tc>
      </w:tr>
      <w:tr>
        <w:trPr>
          <w:cantSplit/>
        </w:trPr>
        <w:tc>
          <w:tcPr>
            <w:tcW w:type="dxa" w:w="16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OSCE评分</w:t>
            </w:r>
          </w:p>
        </w:tc>
        <w:tc>
          <w:tcPr>
            <w:tcW w:type="dxa" w:w="33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固定权重与行为证据</w:t>
            </w:r>
          </w:p>
        </w:tc>
        <w:tc>
          <w:tcPr>
            <w:tcW w:type="dxa" w:w="446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教师版本化量表＋语义判定＋人工抽查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数据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虚构演示病例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脱敏校本病例、授权体征素材、指南库</w:t>
            </w:r>
          </w:p>
        </w:tc>
      </w:tr>
      <w:tr>
        <w:trPr>
          <w:cantSplit/>
        </w:trPr>
        <w:tc>
          <w:tcPr>
            <w:tcW w:type="dxa" w:w="16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部署</w:t>
            </w:r>
          </w:p>
        </w:tc>
        <w:tc>
          <w:tcPr>
            <w:tcW w:type="dxa" w:w="33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双击打开，无需联网</w:t>
            </w:r>
          </w:p>
        </w:tc>
        <w:tc>
          <w:tcPr>
            <w:tcW w:type="dxa" w:w="446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可部署至扣子、独立Web或校内平台</w:t>
            </w:r>
          </w:p>
        </w:tc>
      </w:tr>
    </w:tbl>
    <w:p>
      <w:pPr>
        <w:spacing w:before="0" w:after="60" w:line="320" w:lineRule="auto"/>
        <w:jc w:val="left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5.5 当前Demo与计划功能边界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当前交付Demo已经实现问诊、查体项目选择、器材/动作规则的简化逻辑、病情演变与OSCE报告，适合教师快速理解完整闭环。可点击患儿身体部位、动作动画、器材拖放和精细部位匹配属于正式建设计划，需在取得教师确认的检查规范、部位映射及合法素材后开发，不应在现阶段汇报中表述为已完成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A3556"/>
          <w:sz w:val="32"/>
        </w:rPr>
        <w:t>六、武汉大学专有特色设计</w:t>
      </w:r>
    </w:p>
    <w:p>
      <w:pPr>
        <w:shd w:fill="EAF4F8"/>
        <w:pBdr>
          <w:left w:val="single" w:sz="22" w:color="176FA9"/>
        </w:pBdr>
        <w:spacing w:before="140" w:after="140" w:line="300" w:lineRule="auto"/>
        <w:ind w:left="173" w:right="115"/>
      </w:pPr>
      <w:r>
        <w:rPr>
          <w:rFonts w:ascii="Microsoft YaHei" w:hAnsi="Microsoft YaHei" w:eastAsia="Microsoft YaHei"/>
          <w:b/>
          <w:color w:val="176FA9"/>
          <w:sz w:val="21"/>
        </w:rPr>
        <w:t xml:space="preserve">设计原则  </w:t>
      </w:r>
      <w:r>
        <w:rPr>
          <w:rFonts w:ascii="Microsoft YaHei" w:hAnsi="Microsoft YaHei" w:eastAsia="Microsoft YaHei"/>
          <w:color w:val="1B2E3B"/>
          <w:sz w:val="21"/>
        </w:rPr>
        <w:t>学校特色必须进入病例、评价标准和培养过程，而不是只使用校徽、校色和校园图案。</w:t>
      </w:r>
    </w:p>
    <w:p>
      <w:pPr>
        <w:spacing w:before="0" w:after="60" w:line="320" w:lineRule="auto"/>
        <w:jc w:val="left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珞珈儿科校本病例库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由武汉大学儿科学教师及附属教学医院提供脱敏病例，记录来源科室、适用年级、教学目标和审核人，形成不可简单复制的教学资产。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珞珈儿科能力评价标准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将课程目标、见习实习要求和OSCE量表统一，保证日常训练与考核使用同一能力标准。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“德医双修、知行合一”人文考站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围绕儿童权益、家长焦虑、青春期隐私、重大疾病告知和共同决策，把医学人文变成可观察、可评分的行为。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附属医院协同审核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人民医院、中南医院等教学力量可共同建设病例和审核量表；未获得正式授权前，不在系统中虚构医院诊疗特色。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武汉地区儿童健康专题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可依据教师确认的疾控资料建设季节性传染病、托幼机构聚集性疫情和特殊天气应急场景，并保持时间与来源标注。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临床问题到科研问题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病例结束后将诊疗疑问转化为PICO问题，训练循证检索、证据评价和跨学科创新思维。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/>
          <w:color w:val="60727E"/>
          <w:sz w:val="18"/>
        </w:rPr>
        <w:t>武汉大学医学教育特色参考：学校医学教育强调“德医双修、知行合一”、临床能力、创新思维、模块化整合课程与跨学科培养。本项目将这些理念落实为病例、任务和评价行为。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A3556"/>
          <w:sz w:val="32"/>
        </w:rPr>
        <w:t>七、竞赛创新点与差异化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60"/>
        <w:gridCol w:w="4500"/>
      </w:tblGrid>
      <w:tr>
        <w:trPr>
          <w:tblHeader w:val="true"/>
          <w:cantSplit/>
        </w:trPr>
        <w:tc>
          <w:tcPr>
            <w:tcW w:type="dxa" w:w="170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创新点</w:t>
            </w:r>
          </w:p>
        </w:tc>
        <w:tc>
          <w:tcPr>
            <w:tcW w:type="dxa" w:w="316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传统方案</w:t>
            </w:r>
          </w:p>
        </w:tc>
        <w:tc>
          <w:tcPr>
            <w:tcW w:type="dxa" w:w="450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本项目差异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双角色标准化病人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单一AI患者或固定脚本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患儿与家长拥有不同信息、情绪和表达能力</w:t>
            </w:r>
          </w:p>
        </w:tc>
      </w:tr>
      <w:tr>
        <w:trPr>
          <w:cantSplit/>
        </w:trPr>
        <w:tc>
          <w:tcPr>
            <w:tcW w:type="dxa" w:w="17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动态病例</w:t>
            </w:r>
          </w:p>
        </w:tc>
        <w:tc>
          <w:tcPr>
            <w:tcW w:type="dxa" w:w="316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问答结果不影响病例</w:t>
            </w:r>
          </w:p>
        </w:tc>
        <w:tc>
          <w:tcPr>
            <w:tcW w:type="dxa" w:w="45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学生操作驱动病情和生命体征变化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可解释OSCE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只给总分或主观点评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分值绑定过程证据、关键错误和补练任务</w:t>
            </w:r>
          </w:p>
        </w:tc>
      </w:tr>
      <w:tr>
        <w:trPr>
          <w:cantSplit/>
        </w:trPr>
        <w:tc>
          <w:tcPr>
            <w:tcW w:type="dxa" w:w="17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武汉大学校本化</w:t>
            </w:r>
          </w:p>
        </w:tc>
        <w:tc>
          <w:tcPr>
            <w:tcW w:type="dxa" w:w="316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通用医学知识库</w:t>
            </w:r>
          </w:p>
        </w:tc>
        <w:tc>
          <w:tcPr>
            <w:tcW w:type="dxa" w:w="45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校本病例、校本量表和人文培养理念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教师可控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模型自由生成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病例事实、状态变化和评分规则由教师确认</w:t>
            </w:r>
          </w:p>
        </w:tc>
      </w:tr>
      <w:tr>
        <w:trPr>
          <w:cantSplit/>
        </w:trPr>
        <w:tc>
          <w:tcPr>
            <w:tcW w:type="dxa" w:w="17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稳定展示</w:t>
            </w:r>
          </w:p>
        </w:tc>
        <w:tc>
          <w:tcPr>
            <w:tcW w:type="dxa" w:w="316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依赖网络和实时模型</w:t>
            </w:r>
          </w:p>
        </w:tc>
        <w:tc>
          <w:tcPr>
            <w:tcW w:type="dxa" w:w="45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离线Demo保障现场演示，正式版可平滑接入模型</w:t>
            </w:r>
          </w:p>
        </w:tc>
      </w:tr>
    </w:tbl>
    <w:p>
      <w:pPr>
        <w:spacing w:before="0" w:after="60" w:line="320" w:lineRule="auto"/>
        <w:jc w:val="left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建议的竞赛展示主线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用一个患儿呼吸系统病例贯通全部能力：双角色问诊 → 主动查体 → 识别低氧 → 决策改变生命体征 → 与焦虑家长沟通 → 生成OSCE证据报告。评委能够在短时间内理解痛点、看到技术逻辑、体验交互并获得量化结果。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A3556"/>
          <w:sz w:val="32"/>
        </w:rPr>
        <w:t>八、医学安全、隐私与质量治理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用途边界：产品只用于医学教育训练，不直接面向患者提供诊断、治疗或用药建议。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数据边界：真实病例导入前必须完成去标识化、使用授权和最小化处理，不录入姓名、证件号、联系方式、精确住址等信息。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知识边界：指南、共识和教材必须记录版本与来源，设置复核日期；过期内容停止用于正式考核。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评分边界：正式成绩以教师确认的量表和关键错误项为准，模型只承担受控的语义辅助判断。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审计边界：记录病例版本、量表版本、学生行为、系统判断和教师复核，支持争议回看。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生成边界：无法由病例事实支持的信息必须拒绝生成或提示“未提供”，不得补写虚构体征。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质量门槛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  <w:cantSplit/>
        </w:trPr>
        <w:tc>
          <w:tcPr>
            <w:tcW w:type="dxa" w:w="170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质量对象</w:t>
            </w:r>
          </w:p>
        </w:tc>
        <w:tc>
          <w:tcPr>
            <w:tcW w:type="dxa" w:w="360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进入试用前最低要求</w:t>
            </w:r>
          </w:p>
        </w:tc>
        <w:tc>
          <w:tcPr>
            <w:tcW w:type="dxa" w:w="406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进入正式考核前要求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病例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至少1名儿科学教师审核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双人审核、版本锁定、完成试跑</w:t>
            </w:r>
          </w:p>
        </w:tc>
      </w:tr>
      <w:tr>
        <w:trPr>
          <w:cantSplit/>
        </w:trPr>
        <w:tc>
          <w:tcPr>
            <w:tcW w:type="dxa" w:w="17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评分量表</w:t>
            </w:r>
          </w:p>
        </w:tc>
        <w:tc>
          <w:tcPr>
            <w:tcW w:type="dxa" w:w="36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行为点与分值完整</w:t>
            </w:r>
          </w:p>
        </w:tc>
        <w:tc>
          <w:tcPr>
            <w:tcW w:type="dxa" w:w="406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评分者一致性验证、严重错误项确认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知识内容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来源和版本可追溯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到期复核机制生效</w:t>
            </w:r>
          </w:p>
        </w:tc>
      </w:tr>
      <w:tr>
        <w:trPr>
          <w:cantSplit/>
        </w:trPr>
        <w:tc>
          <w:tcPr>
            <w:tcW w:type="dxa" w:w="17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体征素材</w:t>
            </w:r>
          </w:p>
        </w:tc>
        <w:tc>
          <w:tcPr>
            <w:tcW w:type="dxa" w:w="36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清晰、可辨认、来源合法</w:t>
            </w:r>
          </w:p>
        </w:tc>
        <w:tc>
          <w:tcPr>
            <w:tcW w:type="dxa" w:w="406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授权存档并通过教学适用性审核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7"/>
              </w:rPr>
              <w:t>模型输出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敏感场景有拒答和边界提示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7"/>
              </w:rPr>
              <w:t>完成红队测试、错误案例复盘和人工抽查</w:t>
            </w:r>
          </w:p>
        </w:tc>
      </w:tr>
    </w:tbl>
    <w:p>
      <w:pPr>
        <w:spacing w:before="0" w:after="60" w:line="320" w:lineRule="auto"/>
        <w:jc w:val="left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A3556"/>
          <w:sz w:val="32"/>
        </w:rPr>
        <w:t>九、实施路径与里程碑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在未获得比赛截止日期前，以T表示教师确认启动日，以D表示比赛最终提交日。拿到比赛通知后，将相对时间转换为具体日期并锁定版本。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600"/>
        <w:gridCol w:w="3650"/>
        <w:gridCol w:w="2910"/>
      </w:tblGrid>
      <w:tr>
        <w:trPr>
          <w:tblHeader w:val="true"/>
          <w:cantSplit/>
        </w:trPr>
        <w:tc>
          <w:tcPr>
            <w:tcW w:type="dxa" w:w="120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60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365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291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阶段交付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6"/>
              </w:rPr>
              <w:t>P0 竞赛定标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T—T+2工作日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确认赛道、评分细则、参赛名称和展示时长</w:t>
            </w:r>
          </w:p>
        </w:tc>
        <w:tc>
          <w:tcPr>
            <w:tcW w:type="dxa" w:w="2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项目范围、评分映射、材料倒排表</w:t>
            </w:r>
          </w:p>
        </w:tc>
      </w:tr>
      <w:tr>
        <w:trPr>
          <w:cantSplit/>
        </w:trPr>
        <w:tc>
          <w:tcPr>
            <w:tcW w:type="dxa" w:w="12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6"/>
              </w:rPr>
              <w:t>P1 内容建模</w:t>
            </w:r>
          </w:p>
        </w:tc>
        <w:tc>
          <w:tcPr>
            <w:tcW w:type="dxa" w:w="16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T+3—T+8工作日</w:t>
            </w:r>
          </w:p>
        </w:tc>
        <w:tc>
          <w:tcPr>
            <w:tcW w:type="dxa" w:w="365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整理病例、量表、沟通场景和知识来源</w:t>
            </w:r>
          </w:p>
        </w:tc>
        <w:tc>
          <w:tcPr>
            <w:tcW w:type="dxa" w:w="291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首批校本病例与评分规则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6"/>
              </w:rPr>
              <w:t>P2 正式实现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D-20—D-12工作日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开发可视化患儿模型、身体部位热点、器材工具栏、匹配校验与反馈动画；接入模型/知识库和审计</w:t>
            </w:r>
          </w:p>
        </w:tc>
        <w:tc>
          <w:tcPr>
            <w:tcW w:type="dxa" w:w="2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可试用版本</w:t>
            </w:r>
          </w:p>
        </w:tc>
      </w:tr>
      <w:tr>
        <w:trPr>
          <w:cantSplit/>
        </w:trPr>
        <w:tc>
          <w:tcPr>
            <w:tcW w:type="dxa" w:w="12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6"/>
              </w:rPr>
              <w:t>P3 教师验收</w:t>
            </w:r>
          </w:p>
        </w:tc>
        <w:tc>
          <w:tcPr>
            <w:tcW w:type="dxa" w:w="16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D-11—D-7工作日</w:t>
            </w:r>
          </w:p>
        </w:tc>
        <w:tc>
          <w:tcPr>
            <w:tcW w:type="dxa" w:w="365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医学审核、评分校准、现场演练和修订</w:t>
            </w:r>
          </w:p>
        </w:tc>
        <w:tc>
          <w:tcPr>
            <w:tcW w:type="dxa" w:w="291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参赛候选版本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6"/>
              </w:rPr>
              <w:t>P4 参赛冻结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D-6—D-3工作日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冻结病例与代码，录制视频，准备答辩</w:t>
            </w:r>
          </w:p>
        </w:tc>
        <w:tc>
          <w:tcPr>
            <w:tcW w:type="dxa" w:w="2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最终Demo、视频、PPT和申报书</w:t>
            </w:r>
          </w:p>
        </w:tc>
      </w:tr>
      <w:tr>
        <w:trPr>
          <w:cantSplit/>
        </w:trPr>
        <w:tc>
          <w:tcPr>
            <w:tcW w:type="dxa" w:w="12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6"/>
              </w:rPr>
              <w:t>P5 提交备份</w:t>
            </w:r>
          </w:p>
        </w:tc>
        <w:tc>
          <w:tcPr>
            <w:tcW w:type="dxa" w:w="16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最晚D-2工作日</w:t>
            </w:r>
          </w:p>
        </w:tc>
        <w:tc>
          <w:tcPr>
            <w:tcW w:type="dxa" w:w="365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完成平台提交、离线备份和设备验证</w:t>
            </w:r>
          </w:p>
        </w:tc>
        <w:tc>
          <w:tcPr>
            <w:tcW w:type="dxa" w:w="291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6"/>
              </w:rPr>
              <w:t>可恢复的完整参赛包</w:t>
            </w:r>
          </w:p>
        </w:tc>
      </w:tr>
    </w:tbl>
    <w:p>
      <w:pPr>
        <w:spacing w:before="0" w:after="60" w:line="320" w:lineRule="auto"/>
        <w:jc w:val="left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A3556"/>
          <w:sz w:val="32"/>
        </w:rPr>
        <w:t>十、验收标准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10.1 汇报文档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老师无需技术背景即可说清项目解决什么问题、如何工作、为何具有儿科和武大特色。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包含总体架构、四库三引擎、完整处理链、Demo路径、治理边界、实施计划和材料清单。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材料清单逐项给出用途、格式、责任建议和最晚提交时间。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10.2 演示Demo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可离线打开，无需API密钥；Chrome/Edge 100%缩放下关键内容完整可见。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至少一个病例完整贯通输入、处理和输出。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教师可以手动操作，也可一键完成标准演示。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OSCE报告显示总分、能力维度、扣分证据和补练建议。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页面明确展示模拟数据、教学用途和非医疗建议边界。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6FA9"/>
          <w:sz w:val="26"/>
        </w:rPr>
        <w:t>10.3 正式参赛版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病例、量表、指南和体征素材均有教师审核、版本和来源记录。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患儿模型的全部身体部位热点均可点击并触发对应动画或表面体征；不同屏幕尺寸下无明显错位。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听诊器、血压计、体温计等器材必须通过正确部位与操作条件校验后才展示深层信息；错误组合不得泄露结果。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操作反馈覆盖动画、器材状态、成功提示和分级纠错，且全部操作进入OSCE证据记录。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按照部位×器材×病例状态形成测试矩阵，完成正常、错误、重复、越序和边界操作测试。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至少完成5名目标学生试用及1轮教师评分一致性校准。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完成演示设备、网络异常、模型不可用等备份流程。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B2E3B"/>
          <w:sz w:val="20"/>
        </w:rPr>
        <w:t>申报书、PPT、视频与系统中的项目名称、数据和创新点保持一致。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A3556"/>
          <w:sz w:val="32"/>
        </w:rPr>
        <w:t>十一、结论与需要老师决策的事项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“珞珈儿科智训”已经具备参赛型作品的基本叙事和可运行演示：以儿科学专业痛点为起点，以双角色、动态病例和证据化OSCE为技术亮点，以校本病例、校本量表和医学人文形成武汉大学特色。下一阶段的关键不在继续增加泛化功能，而在于用教师提供的真实教学材料替换演示数据，并按照比赛评分细则完成定向强化。</w:t>
      </w:r>
    </w:p>
    <w:p>
      <w:pPr>
        <w:shd w:fill="FFF7E7"/>
        <w:pBdr>
          <w:left w:val="single" w:sz="22" w:color="C39532"/>
        </w:pBdr>
        <w:spacing w:before="140" w:after="140" w:line="300" w:lineRule="auto"/>
        <w:ind w:left="173" w:right="115"/>
      </w:pPr>
      <w:r>
        <w:rPr>
          <w:rFonts w:ascii="Microsoft YaHei" w:hAnsi="Microsoft YaHei" w:eastAsia="Microsoft YaHei"/>
          <w:b/>
          <w:color w:val="C39532"/>
          <w:sz w:val="21"/>
        </w:rPr>
        <w:t xml:space="preserve">请老师优先确认  </w:t>
      </w:r>
      <w:r>
        <w:rPr>
          <w:rFonts w:ascii="Microsoft YaHei" w:hAnsi="Microsoft YaHei" w:eastAsia="Microsoft YaHei"/>
          <w:color w:val="1B2E3B"/>
          <w:sz w:val="21"/>
        </w:rPr>
        <w:t>①比赛通知和截止日期；②正式项目名称；③首批病例与OSCE量表；④负责医学审核的教师；⑤最终落地平台。</w:t>
      </w:r>
    </w:p>
    <w:p>
      <w:pPr>
        <w:spacing w:before="0" w:after="60" w:line="320" w:lineRule="auto"/>
        <w:jc w:val="left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A3556"/>
          <w:sz w:val="32"/>
        </w:rPr>
        <w:t>参考依据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60727E"/>
          <w:sz w:val="18"/>
        </w:rPr>
        <w:t>1. 武汉大学新闻网：《推动“新医科”建设，培养创新人才》，https://news.whu.edu.cn/info/1751/438867.htm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60727E"/>
          <w:sz w:val="18"/>
        </w:rPr>
        <w:t>2. 武汉大学官网：本科生教育与人才培养介绍，https://www.whu.edu.cn/rcpy/bksjy.htm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60727E"/>
          <w:sz w:val="18"/>
        </w:rPr>
        <w:t>3. 本项目演示病例、量表和分值为产品功能演示数据，不作为临床或正式教学标准；正式内容以教师审核版本为准。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A3556"/>
          <w:sz w:val="32"/>
        </w:rPr>
        <w:t>十二、需要老师配合提供的材料清单（文档末尾）</w:t>
      </w:r>
    </w:p>
    <w:p>
      <w:pPr>
        <w:spacing w:before="0"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B2E3B"/>
          <w:sz w:val="21"/>
        </w:rPr>
        <w:t>时间说明：T为教师确认项目启动日，D为大赛最终提交日。若两种时限冲突，以更早者为准。收到大赛正式通知后，应在1个工作日内将本表换算为具体日期。带“必须”的项目未提交前，不进入对应正式内容的冻结或考核使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50"/>
        <w:gridCol w:w="2700"/>
        <w:gridCol w:w="1800"/>
        <w:gridCol w:w="1710"/>
      </w:tblGrid>
      <w:tr>
        <w:trPr>
          <w:tblHeader w:val="true"/>
          <w:cantSplit/>
        </w:trPr>
        <w:tc>
          <w:tcPr>
            <w:tcW w:type="dxa" w:w="90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25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270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80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提交格式要求</w:t>
            </w:r>
          </w:p>
        </w:tc>
        <w:tc>
          <w:tcPr>
            <w:tcW w:type="dxa" w:w="1710"/>
            <w:shd w:fill="0A3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最晚提交时间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01 必须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大赛通知、赛道说明、评分细则、申报模板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确定参赛边界、技术重点、申报字段和展示时长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原文件或官方链接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T日；且不晚于D-25工作日</w:t>
            </w:r>
          </w:p>
        </w:tc>
      </w:tr>
      <w:tr>
        <w:trPr>
          <w:cantSplit/>
        </w:trPr>
        <w:tc>
          <w:tcPr>
            <w:tcW w:type="dxa" w:w="9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02 必须</w:t>
            </w:r>
          </w:p>
        </w:tc>
        <w:tc>
          <w:tcPr>
            <w:tcW w:type="dxa" w:w="225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项目正式名称、参赛成员、指导教师和署名顺序</w:t>
            </w:r>
          </w:p>
        </w:tc>
        <w:tc>
          <w:tcPr>
            <w:tcW w:type="dxa" w:w="27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统一Demo、文档、视频和申报书信息</w:t>
            </w:r>
          </w:p>
        </w:tc>
        <w:tc>
          <w:tcPr>
            <w:tcW w:type="dxa" w:w="18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可复制文字</w:t>
            </w:r>
          </w:p>
        </w:tc>
        <w:tc>
          <w:tcPr>
            <w:tcW w:type="dxa" w:w="171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T+1工作日；且不晚于D-20工作日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03 必须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儿科学课程大纲、培养目标、见习/实习要求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建立能力框架并映射四库和OSCE维度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DOCX/PDF，标明适用年级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T+2工作日；且不晚于D-18工作日</w:t>
            </w:r>
          </w:p>
        </w:tc>
      </w:tr>
      <w:tr>
        <w:trPr>
          <w:cantSplit/>
        </w:trPr>
        <w:tc>
          <w:tcPr>
            <w:tcW w:type="dxa" w:w="9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04 必须</w:t>
            </w:r>
          </w:p>
        </w:tc>
        <w:tc>
          <w:tcPr>
            <w:tcW w:type="dxa" w:w="225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现行儿科OSCE考站任务、评分表和关键错误项</w:t>
            </w:r>
          </w:p>
        </w:tc>
        <w:tc>
          <w:tcPr>
            <w:tcW w:type="dxa" w:w="27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替换Demo评分，保证训练与真实考核一致</w:t>
            </w:r>
          </w:p>
        </w:tc>
        <w:tc>
          <w:tcPr>
            <w:tcW w:type="dxa" w:w="18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可编辑表格优先，附评分说明</w:t>
            </w:r>
          </w:p>
        </w:tc>
        <w:tc>
          <w:tcPr>
            <w:tcW w:type="dxa" w:w="171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T+3工作日；且不晚于D-16工作日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05 必须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首批10—20例脱敏教学病例；至少1例完整示范病例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建设校本病例库并制作参赛主病例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使用统一病例模板；不得含身份信息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T+5工作日；且不晚于D-15工作日</w:t>
            </w:r>
          </w:p>
        </w:tc>
      </w:tr>
      <w:tr>
        <w:trPr>
          <w:cantSplit/>
        </w:trPr>
        <w:tc>
          <w:tcPr>
            <w:tcW w:type="dxa" w:w="9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06 必须</w:t>
            </w:r>
          </w:p>
        </w:tc>
        <w:tc>
          <w:tcPr>
            <w:tcW w:type="dxa" w:w="225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儿童传染病教学重点、指定教材/指南/共识清单</w:t>
            </w:r>
          </w:p>
        </w:tc>
        <w:tc>
          <w:tcPr>
            <w:tcW w:type="dxa" w:w="27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建立年龄差异、隔离、报告和知识版本规则</w:t>
            </w:r>
          </w:p>
        </w:tc>
        <w:tc>
          <w:tcPr>
            <w:tcW w:type="dxa" w:w="18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名称、版本、发布日期、链接或文件</w:t>
            </w:r>
          </w:p>
        </w:tc>
        <w:tc>
          <w:tcPr>
            <w:tcW w:type="dxa" w:w="171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T+5工作日；且不晚于D-14工作日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07 必须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典型儿科沟通场景及教师推荐表达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建设家长焦虑、拒检、知情同意、青春期隐私等任务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每场景含背景、目标、禁忌表达、评分点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T+5工作日；且不晚于D-14工作日</w:t>
            </w:r>
          </w:p>
        </w:tc>
      </w:tr>
      <w:tr>
        <w:trPr>
          <w:cantSplit/>
        </w:trPr>
        <w:tc>
          <w:tcPr>
            <w:tcW w:type="dxa" w:w="9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08 必须</w:t>
            </w:r>
          </w:p>
        </w:tc>
        <w:tc>
          <w:tcPr>
            <w:tcW w:type="dxa" w:w="225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病例和内容审核教师名单及可参加的审核时间</w:t>
            </w:r>
          </w:p>
        </w:tc>
        <w:tc>
          <w:tcPr>
            <w:tcW w:type="dxa" w:w="27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完成医学审核、争议裁决和版本签字</w:t>
            </w:r>
          </w:p>
        </w:tc>
        <w:tc>
          <w:tcPr>
            <w:tcW w:type="dxa" w:w="18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姓名、专长、可用时间，不需私人联系方式</w:t>
            </w:r>
          </w:p>
        </w:tc>
        <w:tc>
          <w:tcPr>
            <w:tcW w:type="dxa" w:w="171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T+2工作日；首次审核不晚于D-10工作日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09 必须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身体部位—检查器材—可获取信息—操作顺序映射表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实现器材与部位专业校验，限定表面体征与深层信息的开放条件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可编辑表格；每条规则注明适用年龄、病例和审核人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T+6工作日；且不晚于D-13工作日</w:t>
            </w:r>
          </w:p>
        </w:tc>
      </w:tr>
      <w:tr>
        <w:trPr>
          <w:cantSplit/>
        </w:trPr>
        <w:tc>
          <w:tcPr>
            <w:tcW w:type="dxa" w:w="9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10 条件必须</w:t>
            </w:r>
          </w:p>
        </w:tc>
        <w:tc>
          <w:tcPr>
            <w:tcW w:type="dxa" w:w="225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患儿模型、身体部位动作、器材图标及皮疹、呼吸音、心音等素材与授权</w:t>
            </w:r>
          </w:p>
        </w:tc>
        <w:tc>
          <w:tcPr>
            <w:tcW w:type="dxa" w:w="27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建设点击动画、器材操作和多模态体征训练；无授权素材不得进入正式系统</w:t>
            </w:r>
          </w:p>
        </w:tc>
        <w:tc>
          <w:tcPr>
            <w:tcW w:type="dxa" w:w="18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原文件＋动作说明＋来源＋使用授权说明</w:t>
            </w:r>
          </w:p>
        </w:tc>
        <w:tc>
          <w:tcPr>
            <w:tcW w:type="dxa" w:w="171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首批T+7工作日；最终不晚于D-10工作日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11 必须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武汉大学/学院/附属医院可公开使用的特色介绍和视觉标识授权范围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准确表达校本特色，避免未经授权使用名称、院徽或宣传语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官方文字、VI文件或书面确认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T+3工作日；且不晚于D-15工作日</w:t>
            </w:r>
          </w:p>
        </w:tc>
      </w:tr>
      <w:tr>
        <w:trPr>
          <w:cantSplit/>
        </w:trPr>
        <w:tc>
          <w:tcPr>
            <w:tcW w:type="dxa" w:w="9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12 必须</w:t>
            </w:r>
          </w:p>
        </w:tc>
        <w:tc>
          <w:tcPr>
            <w:tcW w:type="dxa" w:w="225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真实病例脱敏规范、数据使用范围及伦理/信息部门意见</w:t>
            </w:r>
          </w:p>
        </w:tc>
        <w:tc>
          <w:tcPr>
            <w:tcW w:type="dxa" w:w="27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确定数据能否进入比赛Demo、云端模型或仅限校内环境</w:t>
            </w:r>
          </w:p>
        </w:tc>
        <w:tc>
          <w:tcPr>
            <w:tcW w:type="dxa" w:w="18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现行制度、审批结论或明确负责人意见</w:t>
            </w:r>
          </w:p>
        </w:tc>
        <w:tc>
          <w:tcPr>
            <w:tcW w:type="dxa" w:w="171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任何真实数据导入前；最晚D-14工作日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13 必须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最终落地平台与账号条件：扣子/独立网页/校内平台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决定模型、知识库、登录、患儿模型技术路线、部署和网络方案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平台名称、账号权限、网络限制；不得发送密钥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T+2工作日；且不晚于D-18工作日</w:t>
            </w:r>
          </w:p>
        </w:tc>
      </w:tr>
      <w:tr>
        <w:trPr>
          <w:cantSplit/>
        </w:trPr>
        <w:tc>
          <w:tcPr>
            <w:tcW w:type="dxa" w:w="9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14 建议</w:t>
            </w:r>
          </w:p>
        </w:tc>
        <w:tc>
          <w:tcPr>
            <w:tcW w:type="dxa" w:w="225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学生常见失分点、教师教学痛点、课程评价或访谈摘要</w:t>
            </w:r>
          </w:p>
        </w:tc>
        <w:tc>
          <w:tcPr>
            <w:tcW w:type="dxa" w:w="27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用真实证据说明问题价值并优化补练任务</w:t>
            </w:r>
          </w:p>
        </w:tc>
        <w:tc>
          <w:tcPr>
            <w:tcW w:type="dxa" w:w="18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匿名汇总数据或5—10条教师观察</w:t>
            </w:r>
          </w:p>
        </w:tc>
        <w:tc>
          <w:tcPr>
            <w:tcW w:type="dxa" w:w="171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T+7工作日；且不晚于D-10工作日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15 建议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一段教师标准示范或标准问诊与查体脚本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校准角色回答、检查顺序、器材操作、沟通表达和参赛演示台词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文字、录音或视频；需确认使用范围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T+7工作日；且不晚于D-9工作日</w:t>
            </w:r>
          </w:p>
        </w:tc>
      </w:tr>
      <w:tr>
        <w:trPr>
          <w:cantSplit/>
        </w:trPr>
        <w:tc>
          <w:tcPr>
            <w:tcW w:type="dxa" w:w="9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16 必须</w:t>
            </w:r>
          </w:p>
        </w:tc>
        <w:tc>
          <w:tcPr>
            <w:tcW w:type="dxa" w:w="225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交互式查体功能测试用例及医学验收教师安排</w:t>
            </w:r>
          </w:p>
        </w:tc>
        <w:tc>
          <w:tcPr>
            <w:tcW w:type="dxa" w:w="27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验证全部部位交互、器材逻辑、信息展示和错误提示符合真实检查流程</w:t>
            </w:r>
          </w:p>
        </w:tc>
        <w:tc>
          <w:tcPr>
            <w:tcW w:type="dxa" w:w="18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部位×器材测试矩阵、预期结果、审核人和验收时间</w:t>
            </w:r>
          </w:p>
        </w:tc>
        <w:tc>
          <w:tcPr>
            <w:tcW w:type="dxa" w:w="171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初稿D-12工作日；签字不晚于D-7工作日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17 必须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参赛版最终医学内容确认记录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冻结病例、量表、指南和安全声明，防止提交前漂移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签字扫描件或可追溯电子确认</w:t>
            </w:r>
          </w:p>
        </w:tc>
        <w:tc>
          <w:tcPr>
            <w:tcW w:type="dxa" w:w="1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不晚于D-6工作日</w:t>
            </w:r>
          </w:p>
        </w:tc>
      </w:tr>
      <w:tr>
        <w:trPr>
          <w:cantSplit/>
        </w:trPr>
        <w:tc>
          <w:tcPr>
            <w:tcW w:type="dxa" w:w="9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2E3B"/>
                <w:sz w:val="14"/>
              </w:rPr>
              <w:t>18 必须</w:t>
            </w:r>
          </w:p>
        </w:tc>
        <w:tc>
          <w:tcPr>
            <w:tcW w:type="dxa" w:w="225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汇报PPT/视频时长、屏幕比例、现场网络与设备条件</w:t>
            </w:r>
          </w:p>
        </w:tc>
        <w:tc>
          <w:tcPr>
            <w:tcW w:type="dxa" w:w="27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确定演示分辨率、离线备份和故障预案</w:t>
            </w:r>
          </w:p>
        </w:tc>
        <w:tc>
          <w:tcPr>
            <w:tcW w:type="dxa" w:w="180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比赛通知截图或现场要求</w:t>
            </w:r>
          </w:p>
        </w:tc>
        <w:tc>
          <w:tcPr>
            <w:tcW w:type="dxa" w:w="1710"/>
            <w:shd w:fill="F8FA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color="D9E4E9"/>
              <w:left w:val="single" w:sz="6" w:color="D9E4E9"/>
              <w:bottom w:val="single" w:sz="6" w:color="D9E4E9"/>
              <w:right w:val="single" w:sz="6" w:color="D9E4E9"/>
              <w:insideH w:val="single" w:sz="6" w:color="D9E4E9"/>
              <w:insideV w:val="single" w:sz="6" w:color="D9E4E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B2E3B"/>
                <w:sz w:val="14"/>
              </w:rPr>
              <w:t>知悉后立即；最晚D-7工作日</w:t>
            </w:r>
          </w:p>
        </w:tc>
      </w:tr>
    </w:tbl>
    <w:p>
      <w:pPr>
        <w:spacing w:before="0" w:after="60" w:line="320" w:lineRule="auto"/>
        <w:jc w:val="left"/>
      </w:pPr>
    </w:p>
    <w:p>
      <w:pPr>
        <w:shd w:fill="FFF0F0"/>
        <w:pBdr>
          <w:left w:val="single" w:sz="22" w:color="A94442"/>
        </w:pBdr>
        <w:spacing w:before="140" w:after="140" w:line="300" w:lineRule="auto"/>
        <w:ind w:left="173" w:right="115"/>
      </w:pPr>
      <w:r>
        <w:rPr>
          <w:rFonts w:ascii="Microsoft YaHei" w:hAnsi="Microsoft YaHei" w:eastAsia="Microsoft YaHei"/>
          <w:b/>
          <w:color w:val="A94442"/>
          <w:sz w:val="21"/>
        </w:rPr>
        <w:t xml:space="preserve">材料提交原则  </w:t>
      </w:r>
      <w:r>
        <w:rPr>
          <w:rFonts w:ascii="Microsoft YaHei" w:hAnsi="Microsoft YaHei" w:eastAsia="Microsoft YaHei"/>
          <w:color w:val="1B2E3B"/>
          <w:sz w:val="21"/>
        </w:rPr>
        <w:t>不要通过非授权渠道传输真实患儿身份信息、病历号、联系方式、影像号、完整住址或任何API密钥。无法确认是否可用的材料，应先提交目录和脱敏样例，由项目组确认后再批量整理。</w:t>
      </w:r>
    </w:p>
    <w:p>
      <w:pPr>
        <w:spacing w:before="0" w:after="60" w:line="32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0727E"/>
        <w:sz w:val="16"/>
      </w:rPr>
      <w:t xml:space="preserve">武汉大学儿科学教学智能体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0727E"/>
        <w:sz w:val="17"/>
      </w:rPr>
      <w:t>珞珈儿科智训  |  智能体大赛建设汇报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Microsoft YaHei" w:hAnsi="Microsoft YaHei" w:eastAsia="Microsoft YaHei"/>
      <w:color w:val="1B2E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A35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FA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珞珈儿科智训：儿童全周期临床胜任力训练与OSCE考核智能体</dc:title>
  <dc:subject>智能体大赛教师汇报与项目建设说明</dc:subject>
  <dc:creator>武汉大学儿科学智能体项目组</dc:creator>
  <cp:keywords>儿科学, 智能体, OSCE, 医学教育, 武汉大学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