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生成时间：2026-09-21 20:49:17　·　类别：连衣裙</w:t>
      </w:r>
    </w:p>
    <w:p>
      <w:pPr>
        <w:pStyle w:val="Heading1"/>
      </w:pPr>
      <w:r>
        <w:t>一、企划与解析</w:t>
      </w:r>
    </w:p>
    <w:p>
      <w:r>
        <w:t>企划原文：冬天羽绒服，25-35岁都市女性，显瘦、面料不易皱，商场吊牌价 400-600 元，拍照上镜</w:t>
      </w:r>
    </w:p>
    <w:p>
      <w:r>
        <w:t>解析结果：品类 羽绒服｜风格 显瘦、不易皱、拍照上镜、都市通勤、冬季｜人群 25-35岁都市女性｜价格带 400-600元</w:t>
      </w:r>
    </w:p>
    <w:p>
      <w:r>
        <w:t>企划未提及：填充物类型、充绒量、蓬松度、面料具体成分、款式长度、颜色偏好、版型细节、工艺要求、目标销售渠道、竞品参考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极简纯色</w:t>
      </w:r>
    </w:p>
    <w:p>
      <w:r>
        <w:t>以单一克制的颜色和干净利落的廓形为核心，去除所有多余装饰，强调面料本身的质感和流畅的线条，打造高级都市感。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廓形：H型直筒廓形，长度及臀，立领设计，隐藏式拉链，侧缝口袋，袖口简约收口，整体线条流畅，视觉上拉长身形，显瘦效果显著。</w:t>
      </w:r>
    </w:p>
    <w:p>
      <w:pPr>
        <w:pStyle w:val="Heading2"/>
      </w:pPr>
      <w:r>
        <w:t>2. 结构新意</w:t>
      </w:r>
    </w:p>
    <w:p>
      <w:r>
        <w:t>通过不对称裁剪、结构线分割和层次叠加，在纯色或同色系基础上创造视觉新意，保持整体简洁但富有设计感。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廓形：X型收腰廓形，长度过膝，不对称门襟，腰部抽绳设计，下摆微A字，肩部立体剪裁，同色系拼接，层次丰富但不繁复，显瘦且上镜。</w:t>
      </w:r>
    </w:p>
    <w:p>
      <w:pPr>
        <w:pStyle w:val="Heading2"/>
      </w:pPr>
      <w:r>
        <w:t>3. 克制纹理</w:t>
      </w:r>
    </w:p>
    <w:p>
      <w:r>
        <w:t>在低饱和底色上加入小面积、细腻的印花或纹理，如微型几何图案或细条纹，图案克制不张扬，保持整体优雅和高级感。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廓形：A型短款廓形，长度及腰，连帽设计，前襟拉链，袖口罗纹收口，下摆抽绳，整体蓬松但显瘦，图案为小面积细条纹或微型几何，分布均匀，拍照上镜。</w:t>
      </w:r>
    </w:p>
    <w:p>
      <w:pPr>
        <w:pStyle w:val="Heading1"/>
      </w:pPr>
      <w:r>
        <w:t>三、面料与版型</w:t>
      </w:r>
    </w:p>
    <w:p>
      <w:r>
        <w:t>面料：醋酸混纺西装料（70%醋酸30%涤，200g/m²，52~78 元/米）— 来源：示例库</w:t>
      </w:r>
    </w:p>
    <w:p>
      <w:r>
        <w:t>版型：直筒连衣裙（衬衫式）（腰围松量 6cm）</w:t>
      </w:r>
    </w:p>
    <w:p>
      <w:r>
        <w:t>工艺：C006、C009、C011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版型｜直筒连衣裙（衬衫式）｜腰围松量 6cm｜0~0 元</w:t>
      </w:r>
    </w:p>
    <w:p>
      <w:r>
        <w:t>面料｜醋酸混纺西装料｜1.66 米｜86~129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工艺｜3 道工艺｜按道计｜24~24 元</w:t>
      </w:r>
    </w:p>
    <w:p>
      <w:r>
        <w:t>合计：153~223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72.0 / 臀 98.0 / 裙长 104.0 / 袖长 56.0 cm（迭代 0 次）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