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Subtitle"/>
      </w:pPr>
      <w:r>
        <w:t xml:space="preserve">粤港澳大湾区 AI Coding 创新大赛</w:t>
      </w:r>
    </w:p>
    <w:p>
      <w:pPr>
        <w:pStyle w:val="Subtitle"/>
      </w:pPr>
      <w:r>
        <w:t xml:space="preserve">方向一 · AI＋教学管理助手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Title"/>
      </w:pPr>
      <w:r>
        <w:t xml:space="preserve">微积分学伴</w:t>
      </w:r>
    </w:p>
    <w:p>
      <w:pPr>
        <w:pStyle w:val="Subtitle"/>
      </w:pPr>
      <w:r>
        <w:t xml:space="preserve">面向一元函数微分学的多模态教学智能体</w:t>
      </w:r>
    </w:p>
    <w:p>
      <w:pPr>
        <w:pStyle w:val="CoverLabel"/>
      </w:pPr>
      <w:r>
        <w:t xml:space="preserve">项目说明书</w:t>
      </w:r>
    </w:p>
    <w:p>
      <w:pPr>
        <w:pStyle w:val="Normal"/>
      </w:pPr>
      <w:r>
        <w:t xml:space="preserve"/>
      </w:r>
    </w:p>
    <w:p>
      <w:pPr>
        <w:pStyle w:val="CoverLabel"/>
      </w:pPr>
      <w:r>
        <w:t xml:space="preserve">导数  /  切线  /  单调性</w:t>
      </w:r>
    </w:p>
    <w:p>
      <w:pPr>
        <w:pStyle w:val="CoverText"/>
      </w:pPr>
      <w:r>
        <w:t xml:space="preserve">发现前置知识缺口，补齐学习材料，再继续理解与练习。</w:t>
      </w:r>
    </w:p>
    <w:p>
      <w:pPr>
        <w:pStyle w:val="Normal"/>
      </w:pPr>
      <w:r>
        <w:t xml:space="preserve"/>
      </w:r>
    </w:p>
    <w:tbl>
      <w:tblPr>
        <w:tblW w:w="0" w:type="auto"/>
        <w:tblLayout w:type="fixed"/>
        <w:tblBorders>
          <w:top w:val="single" w:sz="4" w:color="D9E2EF"/>
          <w:left w:val="single" w:sz="4" w:color="D9E2EF"/>
          <w:bottom w:val="single" w:sz="4" w:color="D9E2EF"/>
          <w:right w:val="single" w:sz="4" w:color="D9E2EF"/>
          <w:insideH w:val="single" w:sz="4" w:color="D9E2EF"/>
          <w:insideV w:val="single" w:sz="4" w:color="D9E2EF"/>
        </w:tblBorders>
        <w:tblCellMar>
          <w:top w:w="85" w:type="dxa"/>
          <w:left w:w="105" w:type="dxa"/>
          <w:bottom w:w="85" w:type="dxa"/>
          <w:right w:w="105" w:type="dxa"/>
        </w:tblCellMar>
      </w:tblPr>
      <w:tblGrid>
        <w:gridCol w:w="2200"/>
        <w:gridCol w:w="7160"/>
      </w:tblGrid>
      <w:tr>
        <w:trPr>
          <w:cantSplit/>
          <w:tblHeader/>
        </w:trPr>
        <w:tc>
          <w:tcPr>
            <w:tcW w:w="220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项目项</w:t>
            </w:r>
          </w:p>
        </w:tc>
        <w:tc>
          <w:tcPr>
            <w:tcW w:w="716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约定</w:t>
            </w:r>
          </w:p>
        </w:tc>
      </w:tr>
      <w:tr>
        <w:trPr>
          <w:cantSplit/>
        </w:trPr>
        <w:tc>
          <w:tcPr>
            <w:tcW w:w="22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目标用户</w:t>
            </w:r>
          </w:p>
        </w:tc>
        <w:tc>
          <w:tcPr>
            <w:tcW w:w="716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学习高等数学的大学生</w:t>
            </w:r>
          </w:p>
        </w:tc>
      </w:tr>
      <w:tr>
        <w:trPr>
          <w:cantSplit/>
        </w:trP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团队与方式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3人；使用Agent辅助开发，成员负责检查、验收与交付</w:t>
            </w:r>
          </w:p>
        </w:tc>
      </w:tr>
      <w:tr>
        <w:trPr>
          <w:cantSplit/>
        </w:trPr>
        <w:tc>
          <w:tcPr>
            <w:tcW w:w="22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时间预算</w:t>
            </w:r>
          </w:p>
        </w:tc>
        <w:tc>
          <w:tcPr>
            <w:tcW w:w="716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每人每天约2小时；9月16日至25日开发，26日提交</w:t>
            </w:r>
          </w:p>
        </w:tc>
      </w:tr>
      <w:tr>
        <w:trPr>
          <w:cantSplit/>
        </w:trP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核心特色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轻量知识依赖、缺口提示、材料补充、来源区分、反馈辅导</w:t>
            </w:r>
          </w:p>
        </w:tc>
      </w:tr>
      <w:tr>
        <w:trPr>
          <w:cantSplit/>
        </w:trPr>
        <w:tc>
          <w:tcPr>
            <w:tcW w:w="22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模型接口</w:t>
            </w:r>
          </w:p>
        </w:tc>
        <w:tc>
          <w:tcPr>
            <w:tcW w:w="716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暂定DeepSeek或LearnBuddy；由C验证并接入一个主接口</w:t>
            </w:r>
          </w:p>
        </w:tc>
      </w:tr>
      <w:tr>
        <w:trPr>
          <w:cantSplit/>
        </w:trP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文档版本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V1.1 ｜ 2026年9月15日修订</w:t>
            </w:r>
          </w:p>
        </w:tc>
      </w:tr>
    </w:tbl>
    <w:p>
      <w:pPr>
        <w:spacing w:after="50"/>
      </w:pPr>
    </w:p>
    <w:p>
      <w:pPr>
        <w:pStyle w:val="Small"/>
      </w:pPr>
      <w:r>
        <w:t xml:space="preserve">团队成员姓名：A __________    B __________    C __________</w:t>
      </w:r>
    </w:p>
    <w:p>
      <w:pPr>
        <w:pStyle w:val="Small"/>
      </w:pPr>
      <w:r>
        <w:t xml:space="preserve">编制依据：赛事手册及团队已确认需求。本说明书规定拟实现行为，不代表功能已经开发或通过测试。</w:t>
      </w:r>
    </w:p>
    <w:p>
      <w:r>
        <w:br w:type="page"/>
      </w:r>
    </w:p>
    <w:p>
      <w:pPr>
        <w:pStyle w:val="Heading1"/>
      </w:pPr>
      <w:r>
        <w:t xml:space="preserve">01  项目定位与初赛范围</w:t>
      </w:r>
    </w:p>
    <w:p>
      <w:pPr>
        <w:pStyle w:val="Heading2"/>
      </w:pPr>
      <w:r>
        <w:t xml:space="preserve">1.1 项目目标</w:t>
      </w:r>
    </w:p>
    <w:p>
      <w:pPr>
        <w:pStyle w:val="Normal"/>
      </w:pPr>
      <w:r>
        <w:t xml:space="preserve">围绕导数、切线与单调性，帮助学生读懂讲义中的文字、公式和图像。系统不仅整理知识点，还指出当前学习需要哪些前置知识、材料是否覆盖这些基础，并根据学生选择和练习结果安排下一步。</w:t>
      </w:r>
    </w:p>
    <w:p>
      <w:pPr>
        <w:pStyle w:val="Callout"/>
      </w:pPr>
      <w:r>
        <w:t xml:space="preserve">上传并确认材料 → 整理知识点和前置关系 → 提示材料缺口 → 补充讲义或允许外部解释 → 分步答疑 → 固定练习 → 反馈与继续学习。</w:t>
      </w:r>
    </w:p>
    <w:p>
      <w:pPr>
        <w:pStyle w:val="Heading2"/>
      </w:pPr>
      <w:r>
        <w:t xml:space="preserve">1.2 初赛优先级</w:t>
      </w:r>
    </w:p>
    <w:tbl>
      <w:tblPr>
        <w:tblW w:w="0" w:type="auto"/>
        <w:tblLayout w:type="fixed"/>
        <w:tblBorders>
          <w:top w:val="single" w:sz="4" w:color="D9E2EF"/>
          <w:left w:val="single" w:sz="4" w:color="D9E2EF"/>
          <w:bottom w:val="single" w:sz="4" w:color="D9E2EF"/>
          <w:right w:val="single" w:sz="4" w:color="D9E2EF"/>
          <w:insideH w:val="single" w:sz="4" w:color="D9E2EF"/>
          <w:insideV w:val="single" w:sz="4" w:color="D9E2EF"/>
        </w:tblBorders>
        <w:tblCellMar>
          <w:top w:w="85" w:type="dxa"/>
          <w:left w:w="105" w:type="dxa"/>
          <w:bottom w:w="85" w:type="dxa"/>
          <w:right w:w="105" w:type="dxa"/>
        </w:tblCellMar>
      </w:tblPr>
      <w:tblGrid>
        <w:gridCol w:w="2100"/>
        <w:gridCol w:w="7260"/>
      </w:tblGrid>
      <w:tr>
        <w:trPr>
          <w:cantSplit/>
          <w:tblHeader/>
        </w:trPr>
        <w:tc>
          <w:tcPr>
            <w:tcW w:w="210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级别</w:t>
            </w:r>
          </w:p>
        </w:tc>
        <w:tc>
          <w:tcPr>
            <w:tcW w:w="726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21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P0：必须完成</w:t>
            </w:r>
          </w:p>
        </w:tc>
        <w:tc>
          <w:tcPr>
            <w:tcW w:w="726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图文输入与识别确认；知识点卡片及轻量前置依赖；缺口提示；补充材料与新学习分离；默认关闭的外部参考开关；三类来源；交互答疑；9道固定练习及反馈；部署与参赛材料。</w:t>
            </w:r>
          </w:p>
        </w:tc>
      </w:tr>
      <w:tr>
        <w:trPr>
          <w:cantSplit/>
        </w:trPr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后续迭代</w:t>
            </w:r>
          </w:p>
        </w:tc>
        <w:tc>
          <w:tcPr>
            <w:tcW w:w="726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AI追加练习、复杂图谱、并列／派生关系、独立语义召回系统。初赛不分配开发工时，也不作为已实现能力宣传。</w:t>
            </w:r>
          </w:p>
        </w:tc>
      </w:tr>
      <w:tr>
        <w:trPr>
          <w:cantSplit/>
        </w:trPr>
        <w:tc>
          <w:tcPr>
            <w:tcW w:w="21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初赛不做</w:t>
            </w:r>
          </w:p>
        </w:tc>
        <w:tc>
          <w:tcPr>
            <w:tcW w:w="726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整本PDF、批量资料库、手写批改、复杂证明评分、教师管理端、账号、长期画像、语音视频和动态函数绘图。</w:t>
            </w:r>
          </w:p>
        </w:tc>
      </w:tr>
    </w:tbl>
    <w:p>
      <w:pPr>
        <w:spacing w:after="50"/>
      </w:pPr>
    </w:p>
    <w:p>
      <w:pPr>
        <w:pStyle w:val="Heading2"/>
      </w:pPr>
      <w:r>
        <w:t xml:space="preserve">1.3 成功标准</w:t>
      </w:r>
    </w:p>
    <w:p>
      <w:pPr>
        <w:pStyle w:val="Bullet"/>
      </w:pPr>
      <w:r>
        <w:t xml:space="preserve">• 线上真实接入模型，支持文字与图片；完整走通三个主题的学习流程。</w:t>
      </w:r>
    </w:p>
    <w:p>
      <w:pPr>
        <w:pStyle w:val="Bullet"/>
      </w:pPr>
      <w:r>
        <w:t xml:space="preserve">• 演示一次“单调性材料缺导数解释→发现缺口→补充导数讲义→更新状态→继续答疑”。</w:t>
      </w:r>
    </w:p>
    <w:p>
      <w:pPr>
        <w:pStyle w:val="Bullet"/>
      </w:pPr>
      <w:r>
        <w:t xml:space="preserve">• 回答明确区分原文、基于材料的解释／推导、用户允许的外部参考。</w:t>
      </w:r>
    </w:p>
    <w:p>
      <w:pPr>
        <w:pStyle w:val="Bullet"/>
      </w:pPr>
      <w:r>
        <w:t xml:space="preserve">• 固定题与核心数学案例人工核验；边界、来源、会话测试实际通过。</w:t>
      </w:r>
    </w:p>
    <w:p>
      <w:pPr>
        <w:pStyle w:val="Bullet"/>
      </w:pPr>
      <w:r>
        <w:t xml:space="preserve">• 交齐在线链接、源码、3分钟视频、PPT及真实LearnBuddy记录。</w:t>
      </w:r>
    </w:p>
    <w:p>
      <w:pPr>
        <w:pStyle w:val="Heading2"/>
      </w:pPr>
      <w:r>
        <w:t xml:space="preserve">1.4 工期取舍与评审对应</w:t>
      </w:r>
    </w:p>
    <w:p>
      <w:pPr>
        <w:pStyle w:val="Normal"/>
      </w:pPr>
      <w:r>
        <w:t xml:space="preserve">以轻量依赖与补充流程替换原AI追加练习的开发任务，保留卡片界面，不增加图谱编辑器或新检索基础设施。技术创新突出缺口识别与学习引导；工程完整性突出边界和状态管理；用户体验突出可读公式和下一步提示；AI工具使用体现真实开发记录。</w:t>
      </w:r>
    </w:p>
    <w:p>
      <w:pPr>
        <w:pStyle w:val="Small"/>
      </w:pPr>
      <w:r>
        <w:t xml:space="preserve">手册评分：技术创新30%、工程完整性25%、AI工具使用25%、用户体验20%。知识依赖属于本项目选择的特色，并非手册额外规定的硬性技术形式。</w:t>
      </w:r>
    </w:p>
    <w:p>
      <w:r>
        <w:br w:type="page"/>
      </w:r>
    </w:p>
    <w:p>
      <w:pPr>
        <w:pStyle w:val="Heading1"/>
      </w:pPr>
      <w:r>
        <w:t xml:space="preserve">02  学生学习流程与交互</w:t>
      </w:r>
    </w:p>
    <w:p>
      <w:pPr>
        <w:pStyle w:val="Heading2"/>
      </w:pPr>
      <w:r>
        <w:t xml:space="preserve">2.1 图文输入与确认</w:t>
      </w:r>
    </w:p>
    <w:p>
      <w:pPr>
        <w:pStyle w:val="Normal"/>
      </w:pPr>
      <w:r>
        <w:t xml:space="preserve">每次可提交不超过3000字的文字、一张不超过5MB的PNG/JPEG图片，或二者同时提交。系统显示原图与可编辑识别内容，标明模糊公式和待确认项；学生确认后才更新学习材料。无刻度示意图不据此估算精确数值。</w:t>
      </w:r>
    </w:p>
    <w:p>
      <w:pPr>
        <w:pStyle w:val="Normal"/>
      </w:pPr>
      <w:r>
        <w:t xml:space="preserve">为控制上下文和工期，每个学习会话最多3份已确认材料，确认文本与图像描述合计不超过9000字；超限时提示缩短或开始新学习。图片解析为确认文本／描述后参与后续教学，不反复发送所有图片。</w:t>
      </w:r>
    </w:p>
    <w:p>
      <w:pPr>
        <w:pStyle w:val="Heading2"/>
      </w:pPr>
      <w:r>
        <w:t xml:space="preserve">2.2 知识点与前置提示</w:t>
      </w:r>
    </w:p>
    <w:p>
      <w:pPr>
        <w:pStyle w:val="Normal"/>
      </w:pPr>
      <w:r>
        <w:t xml:space="preserve">展示当前会话3—6张核心知识点卡片，包含名称、解释、公式与条件、来源和误区。卡片下显示“学习前需要：导数”“当前材料未覆盖”等提示；不绘制复杂网络。3—6只是展示数量，依赖覆盖判定仍检查全部已确认材料。</w:t>
      </w:r>
    </w:p>
    <w:p>
      <w:pPr>
        <w:pStyle w:val="Normal"/>
      </w:pPr>
      <w:r>
        <w:t xml:space="preserve">提示文案示例：“这部分需要导数知识，当前材料没有解释。你已掌握可以继续；也可以补充讲义，或开启AI外部参考。”材料缺失不等于学生不会，不强制锁住学习。</w:t>
      </w:r>
    </w:p>
    <w:p>
      <w:pPr>
        <w:pStyle w:val="Heading2"/>
      </w:pPr>
      <w:r>
        <w:t xml:space="preserve">2.3 两种上传动作</w:t>
      </w:r>
    </w:p>
    <w:tbl>
      <w:tblPr>
        <w:tblW w:w="0" w:type="auto"/>
        <w:tblLayout w:type="fixed"/>
        <w:tblBorders>
          <w:top w:val="single" w:sz="4" w:color="D9E2EF"/>
          <w:left w:val="single" w:sz="4" w:color="D9E2EF"/>
          <w:bottom w:val="single" w:sz="4" w:color="D9E2EF"/>
          <w:right w:val="single" w:sz="4" w:color="D9E2EF"/>
          <w:insideH w:val="single" w:sz="4" w:color="D9E2EF"/>
          <w:insideV w:val="single" w:sz="4" w:color="D9E2EF"/>
        </w:tblBorders>
        <w:tblCellMar>
          <w:top w:w="85" w:type="dxa"/>
          <w:left w:w="105" w:type="dxa"/>
          <w:bottom w:w="85" w:type="dxa"/>
          <w:right w:w="105" w:type="dxa"/>
        </w:tblCellMar>
      </w:tblPr>
      <w:tblGrid>
        <w:gridCol w:w="2200"/>
        <w:gridCol w:w="7160"/>
      </w:tblGrid>
      <w:tr>
        <w:trPr>
          <w:cantSplit/>
          <w:tblHeader/>
        </w:trPr>
        <w:tc>
          <w:tcPr>
            <w:tcW w:w="220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操作</w:t>
            </w:r>
          </w:p>
        </w:tc>
        <w:tc>
          <w:tcPr>
            <w:tcW w:w="716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行为</w:t>
            </w:r>
          </w:p>
        </w:tc>
      </w:tr>
      <w:tr>
        <w:trPr>
          <w:cantSplit/>
        </w:trPr>
        <w:tc>
          <w:tcPr>
            <w:tcW w:w="22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补充当前材料</w:t>
            </w:r>
          </w:p>
        </w:tc>
        <w:tc>
          <w:tcPr>
            <w:tcW w:w="716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在当前会话加入新素材，保留旧材料和知识点。确认并重建成功后更新依赖；失败保留旧状态。更新后清空当前练习选择与反馈，旧聊天仅作历史展示。</w:t>
            </w:r>
          </w:p>
        </w:tc>
      </w:tr>
      <w:tr>
        <w:trPr>
          <w:cantSplit/>
        </w:trP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开始新学习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经学生确认后生成新会话，清空旧材料、知识点、关系、聊天和练习状态；外部参考恢复关闭。</w:t>
            </w:r>
          </w:p>
        </w:tc>
      </w:tr>
    </w:tbl>
    <w:p>
      <w:pPr>
        <w:spacing w:after="50"/>
      </w:pPr>
    </w:p>
    <w:p>
      <w:pPr>
        <w:pStyle w:val="Heading2"/>
      </w:pPr>
      <w:r>
        <w:t xml:space="preserve">2.4 答疑与练习</w:t>
      </w:r>
    </w:p>
    <w:p>
      <w:pPr>
        <w:pStyle w:val="Normal"/>
      </w:pPr>
      <w:r>
        <w:t xml:space="preserve">保留“解释概念”“给我提示”“查看完整解答”。默认先给提示，完整解答由学生主动选择。三个主题各3道固定单选题；提交前不展示答案，答错后解释误区并引导复习，答对后建议继续。</w:t>
      </w:r>
    </w:p>
    <w:p>
      <w:pPr>
        <w:pStyle w:val="Normal"/>
      </w:pPr>
      <w:r>
        <w:t xml:space="preserve">固定练习标注“项目自编练习”，不能伪装成上传讲义原题。解析注明所用规则；若依赖材料未覆盖，先提示并允许补充。学生仍可主动尝试自编练习，但其中的解析不被计为上传材料证据。</w:t>
      </w:r>
    </w:p>
    <w:p>
      <w:r>
        <w:br w:type="page"/>
      </w:r>
    </w:p>
    <w:p>
      <w:pPr>
        <w:pStyle w:val="Heading1"/>
      </w:pPr>
      <w:r>
        <w:t xml:space="preserve">03  轻量知识依赖与动态更新</w:t>
      </w:r>
    </w:p>
    <w:p>
      <w:pPr>
        <w:pStyle w:val="Heading2"/>
      </w:pPr>
      <w:r>
        <w:t xml:space="preserve">3.1 依赖含义</w:t>
      </w:r>
    </w:p>
    <w:p>
      <w:pPr>
        <w:pStyle w:val="Normal"/>
      </w:pPr>
      <w:r>
        <w:t xml:space="preserve">只建模“学习当前知识点前需要了解什么”，不同时开发并列、派生或复杂关系。系统结合当前材料中的教学用法识别依赖，并给出依据；仅出现一个术语，不自动证明它是前置知识。无明确依据的推测只列为待确认提示，不伪装成课件结论。</w:t>
      </w:r>
    </w:p>
    <w:tbl>
      <w:tblPr>
        <w:tblW w:w="0" w:type="auto"/>
        <w:tblLayout w:type="fixed"/>
        <w:tblBorders>
          <w:top w:val="single" w:sz="4" w:color="D9E2EF"/>
          <w:left w:val="single" w:sz="4" w:color="D9E2EF"/>
          <w:bottom w:val="single" w:sz="4" w:color="D9E2EF"/>
          <w:right w:val="single" w:sz="4" w:color="D9E2EF"/>
          <w:insideH w:val="single" w:sz="4" w:color="D9E2EF"/>
          <w:insideV w:val="single" w:sz="4" w:color="D9E2EF"/>
        </w:tblBorders>
        <w:tblCellMar>
          <w:top w:w="85" w:type="dxa"/>
          <w:left w:w="105" w:type="dxa"/>
          <w:bottom w:w="85" w:type="dxa"/>
          <w:right w:w="105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状态</w:t>
            </w:r>
          </w:p>
        </w:tc>
        <w:tc>
          <w:tcPr>
            <w:tcW w:w="696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判定与行为</w:t>
            </w:r>
          </w:p>
        </w:tc>
      </w:tr>
      <w:tr>
        <w:trPr>
          <w:cantSplit/>
        </w:trPr>
        <w:tc>
          <w:tcPr>
            <w:tcW w:w="24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LOCAL：材料已覆盖</w:t>
            </w:r>
          </w:p>
        </w:tc>
        <w:tc>
          <w:tcPr>
            <w:tcW w:w="696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当前任一已确认素材中有足以支持当前学习目的的定义、规则或说明，并能定位来源；不要求必须有独立讲义或展示卡片。</w:t>
            </w:r>
          </w:p>
        </w:tc>
      </w:tr>
      <w:tr>
        <w:trPr>
          <w:cantSplit/>
        </w:trPr>
        <w:tc>
          <w:tcPr>
            <w:tcW w:w="24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MISSING：材料未覆盖</w:t>
            </w:r>
          </w:p>
        </w:tc>
        <w:tc>
          <w:tcPr>
            <w:tcW w:w="696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当前学习明确需要该概念，但所有确认素材均无相应解释。显示缺口，提供补充材料／外部参考入口。</w:t>
            </w:r>
          </w:p>
        </w:tc>
      </w:tr>
      <w:tr>
        <w:trPr>
          <w:cantSplit/>
        </w:trPr>
        <w:tc>
          <w:tcPr>
            <w:tcW w:w="24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待确认</w:t>
            </w:r>
          </w:p>
        </w:tc>
        <w:tc>
          <w:tcPr>
            <w:tcW w:w="696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依据不清晰或公式识别不完整时，先请学生确认；不把不确定推测直接记为已覆盖或缺失。</w:t>
            </w:r>
          </w:p>
        </w:tc>
      </w:tr>
    </w:tbl>
    <w:p>
      <w:pPr>
        <w:spacing w:after="50"/>
      </w:pPr>
    </w:p>
    <w:p>
      <w:pPr>
        <w:pStyle w:val="Heading2"/>
      </w:pPr>
      <w:r>
        <w:t xml:space="preserve">3.2 更新规则</w:t>
      </w:r>
    </w:p>
    <w:p>
      <w:pPr>
        <w:pStyle w:val="Bullet"/>
      </w:pPr>
      <w:r>
        <w:t xml:space="preserve">• 每条前置关系包含依赖概念、状态、依赖理由与对应材料依据；LOCAL还需覆盖该概念的来源。</w:t>
      </w:r>
    </w:p>
    <w:p>
      <w:pPr>
        <w:pStyle w:val="Bullet"/>
      </w:pPr>
      <w:r>
        <w:t xml:space="preserve">• 补充素材后重新检查当前关系，保留稳定知识点编号；只有新增材料确实提供说明，MISSING才转为LOCAL。</w:t>
      </w:r>
    </w:p>
    <w:p>
      <w:pPr>
        <w:pStyle w:val="Bullet"/>
      </w:pPr>
      <w:r>
        <w:t xml:space="preserve">• 合并同义概念，排除自依赖与循环依赖；不扩展到高数全课程网络。</w:t>
      </w:r>
    </w:p>
    <w:p>
      <w:pPr>
        <w:pStyle w:val="Bullet"/>
      </w:pPr>
      <w:r>
        <w:t xml:space="preserve">• 开启外部参考不会把MISSING变成LOCAL，因为上传材料仍未补齐。学生表示已会，也只影响引导，不改变材料覆盖状态。</w:t>
      </w:r>
    </w:p>
    <w:p>
      <w:pPr>
        <w:pStyle w:val="Heading2"/>
      </w:pPr>
      <w:r>
        <w:t xml:space="preserve">3.3 核心演示案例</w:t>
      </w:r>
    </w:p>
    <w:p>
      <w:pPr>
        <w:pStyle w:val="Normal"/>
      </w:pPr>
      <w:r>
        <w:t xml:space="preserve">初始素材讲解“依据f′(x)的符号判断f(x)单调性”，未说明导数定义。系统保留单调性知识点，标记导数前置解释缺失。学生补充一份导数定义讲义后，系统将该依赖更新为材料已覆盖，随后结合两份材料解释并进入练习。</w:t>
      </w:r>
    </w:p>
    <w:p>
      <w:pPr>
        <w:pStyle w:val="Heading2"/>
      </w:pPr>
      <w:r>
        <w:t xml:space="preserve">3.4 工程与能力边界</w:t>
      </w:r>
    </w:p>
    <w:p>
      <w:pPr>
        <w:pStyle w:val="Normal"/>
      </w:pPr>
      <w:r>
        <w:t xml:space="preserve">依赖判断由教学模块生成结构化结果，程序校验编号、来源和关系结构；教学合理性由固定案例验证。关系检查不等同于证明任意推断都正确。无需引入图数据库、图形编辑器或单独嵌入模型。</w:t>
      </w:r>
    </w:p>
    <w:p>
      <w:r>
        <w:br w:type="page"/>
      </w:r>
    </w:p>
    <w:p>
      <w:pPr>
        <w:pStyle w:val="Heading1"/>
      </w:pPr>
      <w:r>
        <w:t xml:space="preserve">04  回答边界与来源规则</w:t>
      </w:r>
    </w:p>
    <w:p>
      <w:pPr>
        <w:pStyle w:val="Heading2"/>
      </w:pPr>
      <w:r>
        <w:t xml:space="preserve">4.1 哪些问题可以回答</w:t>
      </w:r>
    </w:p>
    <w:tbl>
      <w:tblPr>
        <w:tblW w:w="0" w:type="auto"/>
        <w:tblLayout w:type="fixed"/>
        <w:tblBorders>
          <w:top w:val="single" w:sz="4" w:color="D9E2EF"/>
          <w:left w:val="single" w:sz="4" w:color="D9E2EF"/>
          <w:bottom w:val="single" w:sz="4" w:color="D9E2EF"/>
          <w:right w:val="single" w:sz="4" w:color="D9E2EF"/>
          <w:insideH w:val="single" w:sz="4" w:color="D9E2EF"/>
          <w:insideV w:val="single" w:sz="4" w:color="D9E2EF"/>
        </w:tblBorders>
        <w:tblCellMar>
          <w:top w:w="85" w:type="dxa"/>
          <w:left w:w="105" w:type="dxa"/>
          <w:bottom w:w="85" w:type="dxa"/>
          <w:right w:w="105" w:type="dxa"/>
        </w:tblCellMar>
      </w:tblPr>
      <w:tblGrid>
        <w:gridCol w:w="2200"/>
        <w:gridCol w:w="7160"/>
      </w:tblGrid>
      <w:tr>
        <w:trPr>
          <w:cantSplit/>
          <w:tblHeader/>
        </w:trPr>
        <w:tc>
          <w:tcPr>
            <w:tcW w:w="220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情况</w:t>
            </w:r>
          </w:p>
        </w:tc>
        <w:tc>
          <w:tcPr>
            <w:tcW w:w="716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处理方式</w:t>
            </w:r>
          </w:p>
        </w:tc>
      </w:tr>
      <w:tr>
        <w:trPr>
          <w:cantSplit/>
        </w:trPr>
        <w:tc>
          <w:tcPr>
            <w:tcW w:w="22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材料明确包含</w:t>
            </w:r>
          </w:p>
        </w:tc>
        <w:tc>
          <w:tcPr>
            <w:tcW w:w="716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基于对应材料回答并引用。</w:t>
            </w:r>
          </w:p>
        </w:tc>
      </w:tr>
      <w:tr>
        <w:trPr>
          <w:cantSplit/>
        </w:trP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可依据材料推导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允许新例题与计算；标记基于材料的解释／推导，列出所用条件与规则。</w:t>
            </w:r>
          </w:p>
        </w:tc>
      </w:tr>
      <w:tr>
        <w:trPr>
          <w:cantSplit/>
        </w:trPr>
        <w:tc>
          <w:tcPr>
            <w:tcW w:w="22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缺少前置知识</w:t>
            </w:r>
          </w:p>
        </w:tc>
        <w:tc>
          <w:tcPr>
            <w:tcW w:w="716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说明缺少什么，不静默补齐；允许学生继续、补充材料，或开启外部参考。</w:t>
            </w:r>
          </w:p>
        </w:tc>
      </w:tr>
      <w:tr>
        <w:trPr>
          <w:cantSplit/>
        </w:trP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部分支持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回答可支持部分，分别指出材料不足或超出范围的部分。</w:t>
            </w:r>
          </w:p>
        </w:tc>
      </w:tr>
      <w:tr>
        <w:trPr>
          <w:cantSplit/>
        </w:trPr>
        <w:tc>
          <w:tcPr>
            <w:tcW w:w="22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超出课程范围</w:t>
            </w:r>
          </w:p>
        </w:tc>
        <w:tc>
          <w:tcPr>
            <w:tcW w:w="716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说明仅支持导数、切线与单调性，引导回到当前主题。外部参考开关不扩大课程范围。</w:t>
            </w:r>
          </w:p>
        </w:tc>
      </w:tr>
      <w:tr>
        <w:trPr>
          <w:cantSplit/>
        </w:trP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题目条件不足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指出缺少切点、区间等条件，先澄清，不把它混同于缺少知识素材。</w:t>
            </w:r>
          </w:p>
        </w:tc>
      </w:tr>
    </w:tbl>
    <w:p>
      <w:pPr>
        <w:spacing w:after="50"/>
      </w:pPr>
    </w:p>
    <w:p>
      <w:pPr>
        <w:pStyle w:val="Heading2"/>
      </w:pPr>
      <w:r>
        <w:t xml:space="preserve">4.2 外部参考开关</w:t>
      </w:r>
    </w:p>
    <w:p>
      <w:pPr>
        <w:pStyle w:val="Normal"/>
      </w:pPr>
      <w:r>
        <w:t xml:space="preserve">默认关闭；学生主动开启后，允许补充当前主题所需、但材料未提供的知识。外部内容显著标为“AI外部参考：非上传讲义内容”，不默认联网，也不编造外部文献链接。</w:t>
      </w:r>
    </w:p>
    <w:p>
      <w:pPr>
        <w:pStyle w:val="Normal"/>
      </w:pPr>
      <w:r>
        <w:t xml:space="preserve">关闭后禁止新生成外部参考；历史外部内容保留标签，但不作为后续材料证据或发送给模型的知识依据。新会话恢复关闭。开关改变时，丢弃按旧授权生成且尚未完成的回答。</w:t>
      </w:r>
    </w:p>
    <w:p>
      <w:pPr>
        <w:pStyle w:val="Heading2"/>
      </w:pPr>
      <w:r>
        <w:t xml:space="preserve">4.3 三类教学来源与校验</w:t>
      </w:r>
    </w:p>
    <w:p>
      <w:pPr>
        <w:pStyle w:val="Normal"/>
      </w:pPr>
      <w:r>
        <w:t xml:space="preserve">①来自讲义：引用编号有效，摘录可在对应确认材料中找到。②根据讲义解释／推导：绑定支持规则或片段，与原文直接引用分开。③AI外部参考：只有当前开关开启时允许返回，不使用伪造的讲义引用。</w:t>
      </w:r>
    </w:p>
    <w:p>
      <w:pPr>
        <w:pStyle w:val="Normal"/>
      </w:pPr>
      <w:r>
        <w:t xml:space="preserve">每个教学内容块返回来源类型和引用；“请补充切点”等操作提示无需引用。B校验结构、编号及摘录匹配；无效来源或未授权外部内容不展示为正常答案，返回可重试错误。引用存在不等于推导正确，数学结论仍需核验。</w:t>
      </w:r>
    </w:p>
    <w:p>
      <w:pPr>
        <w:pStyle w:val="Small"/>
      </w:pPr>
      <w:r>
        <w:t xml:space="preserve">答疑先匹配当前知识点和相关确认材料，再判断依据是否足够。初赛使用已有编号、素材片段及模型结构化判断，不引入独立语义召回系统，也不声称相似度命中即可保证答案有据。</w:t>
      </w:r>
    </w:p>
    <w:p>
      <w:r>
        <w:br w:type="page"/>
      </w:r>
    </w:p>
    <w:p>
      <w:pPr>
        <w:pStyle w:val="Heading1"/>
      </w:pPr>
      <w:r>
        <w:t xml:space="preserve">05  技术架构与共享接口</w:t>
      </w:r>
    </w:p>
    <w:p>
      <w:pPr>
        <w:pStyle w:val="Heading2"/>
      </w:pPr>
      <w:r>
        <w:t xml:space="preserve">5.1 三层架构</w:t>
      </w:r>
    </w:p>
    <w:p>
      <w:pPr>
        <w:pStyle w:val="Normal"/>
      </w:pPr>
      <w:r>
        <w:t xml:space="preserve">React＋TypeScript前端负责交互，独立TypeScript教学模块负责提示词、依赖分析和输出校验，Node.js＋TypeScript服务负责模型适配、会话与部署。单仓库、一个Web服务；不用向量数据库。</w:t>
      </w:r>
    </w:p>
    <w:p>
      <w:pPr>
        <w:pStyle w:val="Normal"/>
      </w:pPr>
      <w:r>
        <w:t xml:space="preserve">模型暂定DeepSeek或LearnBuddy，首日验证一个可用的文字与图片接口；服务端保存密钥。LearnBuddy开发记录与应用运行时模型是不同事项，第三方推理接口是否允许由C向赛事方确认。</w:t>
      </w:r>
    </w:p>
    <w:p>
      <w:pPr>
        <w:pStyle w:val="Heading2"/>
      </w:pPr>
      <w:r>
        <w:t xml:space="preserve">5.2 首日冻结的契约</w:t>
      </w:r>
    </w:p>
    <w:tbl>
      <w:tblPr>
        <w:tblW w:w="0" w:type="auto"/>
        <w:tblLayout w:type="fixed"/>
        <w:tblBorders>
          <w:top w:val="single" w:sz="4" w:color="D9E2EF"/>
          <w:left w:val="single" w:sz="4" w:color="D9E2EF"/>
          <w:bottom w:val="single" w:sz="4" w:color="D9E2EF"/>
          <w:right w:val="single" w:sz="4" w:color="D9E2EF"/>
          <w:insideH w:val="single" w:sz="4" w:color="D9E2EF"/>
          <w:insideV w:val="single" w:sz="4" w:color="D9E2EF"/>
        </w:tblBorders>
        <w:tblCellMar>
          <w:top w:w="85" w:type="dxa"/>
          <w:left w:w="105" w:type="dxa"/>
          <w:bottom w:w="85" w:type="dxa"/>
          <w:right w:w="105" w:type="dxa"/>
        </w:tblCellMar>
      </w:tblPr>
      <w:tblGrid>
        <w:gridCol w:w="3000"/>
        <w:gridCol w:w="6360"/>
      </w:tblGrid>
      <w:tr>
        <w:trPr>
          <w:cantSplit/>
          <w:tblHeader/>
        </w:trPr>
        <w:tc>
          <w:tcPr>
            <w:tcW w:w="300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接口</w:t>
            </w:r>
          </w:p>
        </w:tc>
        <w:tc>
          <w:tcPr>
            <w:tcW w:w="636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输入 → 输出</w:t>
            </w:r>
          </w:p>
        </w:tc>
      </w:tr>
      <w:tr>
        <w:trPr>
          <w:cantSplit/>
        </w:trPr>
        <w:tc>
          <w:tcPr>
            <w:tcW w:w="30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POST /api/parse</w:t>
            </w:r>
          </w:p>
        </w:tc>
        <w:tc>
          <w:tcPr>
            <w:tcW w:w="636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文字、可选图片 → 确认草稿、公式／图像描述、待确认项；尚不修改正式材料。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POST /api/knowledge</w:t>
            </w:r>
          </w:p>
        </w:tc>
        <w:tc>
          <w:tcPr>
            <w:tcW w:w="636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会话、现有及待加入的确认素材 → 更新后的知识点、前置关系与来源；成功后整体提交新版本。</w:t>
            </w:r>
          </w:p>
        </w:tc>
      </w:tr>
      <w:tr>
        <w:trPr>
          <w:cantSplit/>
        </w:trPr>
        <w:tc>
          <w:tcPr>
            <w:tcW w:w="30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POST /api/tutor</w:t>
            </w:r>
          </w:p>
        </w:tc>
        <w:tc>
          <w:tcPr>
            <w:tcW w:w="636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会话／材料版本、问题、当前知识点、模式、外部参考许可、最近作答及有限历史 → 边界判断、分块回答、来源、下一步。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GET /api/quiz?topic=…</w:t>
            </w:r>
          </w:p>
        </w:tc>
        <w:tc>
          <w:tcPr>
            <w:tcW w:w="636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主题 → 该主题3道自编固定题、选项、答案和解析，由应用在提交后展示答案。初赛取消AI出题接口。</w:t>
            </w:r>
          </w:p>
        </w:tc>
      </w:tr>
    </w:tbl>
    <w:p>
      <w:pPr>
        <w:spacing w:after="50"/>
      </w:pPr>
    </w:p>
    <w:p>
      <w:pPr>
        <w:pStyle w:val="Small"/>
      </w:pPr>
      <w:r>
        <w:t xml:space="preserve">共享类型至少包含：会话ID、材料版本、外部参考许可；素材ID与确认文本；知识点ID及来源；前置概念ID、状态、理由和依据；回答块的来源类别与引用。C维护正常与失败JSON样例，A、B依据同一契约开发。</w:t>
      </w:r>
    </w:p>
    <w:p>
      <w:pPr>
        <w:pStyle w:val="Heading2"/>
      </w:pPr>
      <w:r>
        <w:t xml:space="preserve">5.3 会话与错误处理</w:t>
      </w:r>
    </w:p>
    <w:p>
      <w:pPr>
        <w:pStyle w:val="Normal"/>
      </w:pPr>
      <w:r>
        <w:t xml:space="preserve">每份材料使用独立ID，更新材料递增版本；新学习使用新会话ID。响应仅在会话、材料版本与外部许可仍匹配时应用；换课、补充或改开关时丢弃旧请求结果。补充失败不清空已有状态。</w:t>
      </w:r>
    </w:p>
    <w:p>
      <w:pPr>
        <w:pStyle w:val="Normal"/>
      </w:pPr>
      <w:r>
        <w:t xml:space="preserve">当前标签页保存确认文本、依赖和进度，刷新可恢复，不承诺跨设备与关闭会话后恢复。图片不长期保存，刷新需查看原图时重新上传；确认文本仍可追溯。模型请求超过60秒报错，可重试并保留输入。</w:t>
      </w:r>
    </w:p>
    <w:p>
      <w:r>
        <w:br w:type="page"/>
      </w:r>
    </w:p>
    <w:p>
      <w:pPr>
        <w:pStyle w:val="Heading1"/>
      </w:pPr>
      <w:r>
        <w:t xml:space="preserve">06  成员A：学习工作台负责人</w:t>
      </w:r>
    </w:p>
    <w:p>
      <w:pPr>
        <w:pStyle w:val="Callout"/>
      </w:pPr>
      <w:r>
        <w:t xml:space="preserve">责任目标：让学生看懂知识缺口，能够补充材料或授权外部解释，再继续答疑与练习。</w:t>
      </w:r>
    </w:p>
    <w:tbl>
      <w:tblPr>
        <w:tblW w:w="0" w:type="auto"/>
        <w:tblLayout w:type="fixed"/>
        <w:tblBorders>
          <w:top w:val="single" w:sz="4" w:color="D9E2EF"/>
          <w:left w:val="single" w:sz="4" w:color="D9E2EF"/>
          <w:bottom w:val="single" w:sz="4" w:color="D9E2EF"/>
          <w:right w:val="single" w:sz="4" w:color="D9E2EF"/>
          <w:insideH w:val="single" w:sz="4" w:color="D9E2EF"/>
          <w:insideV w:val="single" w:sz="4" w:color="D9E2EF"/>
        </w:tblBorders>
        <w:tblCellMar>
          <w:top w:w="85" w:type="dxa"/>
          <w:left w:w="105" w:type="dxa"/>
          <w:bottom w:w="85" w:type="dxa"/>
          <w:right w:w="105" w:type="dxa"/>
        </w:tblCellMar>
      </w:tblPr>
      <w:tblGrid>
        <w:gridCol w:w="2000"/>
        <w:gridCol w:w="3550"/>
        <w:gridCol w:w="3810"/>
      </w:tblGrid>
      <w:tr>
        <w:trPr>
          <w:cantSplit/>
          <w:tblHeader/>
        </w:trPr>
        <w:tc>
          <w:tcPr>
            <w:tcW w:w="200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任务</w:t>
            </w:r>
          </w:p>
        </w:tc>
        <w:tc>
          <w:tcPr>
            <w:tcW w:w="355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明确内容</w:t>
            </w:r>
          </w:p>
        </w:tc>
        <w:tc>
          <w:tcPr>
            <w:tcW w:w="381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交付与验收</w:t>
            </w:r>
          </w:p>
        </w:tc>
      </w:tr>
      <w:tr>
        <w:trPr>
          <w:cantSplit/>
        </w:trPr>
        <w:tc>
          <w:tcPr>
            <w:tcW w:w="20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A1 输入与会话</w:t>
            </w:r>
          </w:p>
        </w:tc>
        <w:tc>
          <w:tcPr>
            <w:tcW w:w="355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图文输入、识别确认、补充当前材料、开始新学习</w:t>
            </w:r>
          </w:p>
        </w:tc>
        <w:tc>
          <w:tcPr>
            <w:tcW w:w="381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两种上传动作明确；取消／失败不丢旧材料；限制提示清楚。</w:t>
            </w:r>
          </w:p>
        </w:tc>
      </w:tr>
      <w:tr>
        <w:trPr>
          <w:cantSplit/>
        </w:trPr>
        <w:tc>
          <w:tcPr>
            <w:tcW w:w="20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A2 知识点与依赖</w:t>
            </w:r>
          </w:p>
        </w:tc>
        <w:tc>
          <w:tcPr>
            <w:tcW w:w="355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卡片、前置提示、LOCAL／MISSING状态、来源查看</w:t>
            </w:r>
          </w:p>
        </w:tc>
        <w:tc>
          <w:tcPr>
            <w:tcW w:w="381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能看出缺哪块基础；补充后状态变化；不制作复杂图谱。</w:t>
            </w:r>
          </w:p>
        </w:tc>
      </w:tr>
      <w:tr>
        <w:trPr>
          <w:cantSplit/>
        </w:trPr>
        <w:tc>
          <w:tcPr>
            <w:tcW w:w="20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A3 答疑与来源</w:t>
            </w:r>
          </w:p>
        </w:tc>
        <w:tc>
          <w:tcPr>
            <w:tcW w:w="355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三种辅导模式、外部参考开关、分块来源标签</w:t>
            </w:r>
          </w:p>
        </w:tc>
        <w:tc>
          <w:tcPr>
            <w:tcW w:w="381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默认关闭；原文／推导／外部不混淆；公式可读。</w:t>
            </w:r>
          </w:p>
        </w:tc>
      </w:tr>
      <w:tr>
        <w:trPr>
          <w:cantSplit/>
        </w:trPr>
        <w:tc>
          <w:tcPr>
            <w:tcW w:w="20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A4 固定练习</w:t>
            </w:r>
          </w:p>
        </w:tc>
        <w:tc>
          <w:tcPr>
            <w:tcW w:w="355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每主题3题，提交、反馈、复习入口</w:t>
            </w:r>
          </w:p>
        </w:tc>
        <w:tc>
          <w:tcPr>
            <w:tcW w:w="381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答前不展示答案；自编练习身份明确；答错可继续学习。</w:t>
            </w:r>
          </w:p>
        </w:tc>
      </w:tr>
      <w:tr>
        <w:trPr>
          <w:cantSplit/>
        </w:trPr>
        <w:tc>
          <w:tcPr>
            <w:tcW w:w="20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A5 状态验收</w:t>
            </w:r>
          </w:p>
        </w:tc>
        <w:tc>
          <w:tcPr>
            <w:tcW w:w="355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加载、失败重试、刷新、窄屏、素材切换</w:t>
            </w:r>
          </w:p>
        </w:tc>
        <w:tc>
          <w:tcPr>
            <w:tcW w:w="381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旧请求不覆盖新界面；补充失败保留旧状态。</w:t>
            </w:r>
          </w:p>
        </w:tc>
      </w:tr>
      <w:tr>
        <w:trPr>
          <w:cantSplit/>
        </w:trPr>
        <w:tc>
          <w:tcPr>
            <w:tcW w:w="20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A6 演示材料</w:t>
            </w:r>
          </w:p>
        </w:tc>
        <w:tc>
          <w:tcPr>
            <w:tcW w:w="355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视频脚本、录屏、PPT截图、本人使用记录</w:t>
            </w:r>
          </w:p>
        </w:tc>
        <w:tc>
          <w:tcPr>
            <w:tcW w:w="381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3分钟视频展示缺口发现与补齐，内容与发布版本一致。</w:t>
            </w:r>
          </w:p>
        </w:tc>
      </w:tr>
    </w:tbl>
    <w:p>
      <w:pPr>
        <w:spacing w:after="50"/>
      </w:pPr>
    </w:p>
    <w:p>
      <w:pPr>
        <w:pStyle w:val="Heading2"/>
      </w:pPr>
      <w:r>
        <w:t xml:space="preserve">6.1 最终交付物</w:t>
      </w:r>
    </w:p>
    <w:p>
      <w:pPr>
        <w:pStyle w:val="Bullet"/>
      </w:pPr>
      <w:r>
        <w:t xml:space="preserve">• 前端源码与明确标注的模拟演示入口；包含缺失、已覆盖、无依据、接口失败等样例。</w:t>
      </w:r>
    </w:p>
    <w:p>
      <w:pPr>
        <w:pStyle w:val="Bullet"/>
      </w:pPr>
      <w:r>
        <w:t xml:space="preserve">• 页面验收清单：桌面与窄屏、公式、三类来源、开关、补充／新学习、失败和刷新。</w:t>
      </w:r>
    </w:p>
    <w:p>
      <w:pPr>
        <w:pStyle w:val="Bullet"/>
      </w:pPr>
      <w:r>
        <w:t xml:space="preserve">• 视频脚本、最终MP4/MOV、界面截图、本人LearnBuddy使用记录及人工修改说明。</w:t>
      </w:r>
    </w:p>
    <w:p>
      <w:pPr>
        <w:pStyle w:val="Heading2"/>
      </w:pPr>
      <w:r>
        <w:t xml:space="preserve">6.2 独立开发与协作</w:t>
      </w:r>
    </w:p>
    <w:p>
      <w:pPr>
        <w:pStyle w:val="Normal"/>
      </w:pPr>
      <w:r>
        <w:t xml:space="preserve">A负责apps/web，只依赖C发布的共享类型和模拟／真实HTTP接口。A不修改模型提示词或保管API密钥。接口变更由C统一维护。B提供材料和数学清单后，A复核演示内容；C复核完整交互与异常流程。</w:t>
      </w:r>
    </w:p>
    <w:p>
      <w:r>
        <w:br w:type="page"/>
      </w:r>
    </w:p>
    <w:p>
      <w:pPr>
        <w:pStyle w:val="Heading1"/>
      </w:pPr>
      <w:r>
        <w:t xml:space="preserve">07  成员B：教学智能负责人</w:t>
      </w:r>
    </w:p>
    <w:p>
      <w:pPr>
        <w:pStyle w:val="Callout"/>
      </w:pPr>
      <w:r>
        <w:t xml:space="preserve">责任目标：识别教学依赖，明确回答依据，不用模型通识静默填补材料缺口。</w:t>
      </w:r>
    </w:p>
    <w:tbl>
      <w:tblPr>
        <w:tblW w:w="0" w:type="auto"/>
        <w:tblLayout w:type="fixed"/>
        <w:tblBorders>
          <w:top w:val="single" w:sz="4" w:color="D9E2EF"/>
          <w:left w:val="single" w:sz="4" w:color="D9E2EF"/>
          <w:bottom w:val="single" w:sz="4" w:color="D9E2EF"/>
          <w:right w:val="single" w:sz="4" w:color="D9E2EF"/>
          <w:insideH w:val="single" w:sz="4" w:color="D9E2EF"/>
          <w:insideV w:val="single" w:sz="4" w:color="D9E2EF"/>
        </w:tblBorders>
        <w:tblCellMar>
          <w:top w:w="85" w:type="dxa"/>
          <w:left w:w="105" w:type="dxa"/>
          <w:bottom w:w="85" w:type="dxa"/>
          <w:right w:w="105" w:type="dxa"/>
        </w:tblCellMar>
      </w:tblPr>
      <w:tblGrid>
        <w:gridCol w:w="2000"/>
        <w:gridCol w:w="3550"/>
        <w:gridCol w:w="3810"/>
      </w:tblGrid>
      <w:tr>
        <w:trPr>
          <w:cantSplit/>
          <w:tblHeader/>
        </w:trPr>
        <w:tc>
          <w:tcPr>
            <w:tcW w:w="200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任务</w:t>
            </w:r>
          </w:p>
        </w:tc>
        <w:tc>
          <w:tcPr>
            <w:tcW w:w="355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明确内容</w:t>
            </w:r>
          </w:p>
        </w:tc>
        <w:tc>
          <w:tcPr>
            <w:tcW w:w="381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交付与验收</w:t>
            </w:r>
          </w:p>
        </w:tc>
      </w:tr>
      <w:tr>
        <w:trPr>
          <w:cantSplit/>
        </w:trPr>
        <w:tc>
          <w:tcPr>
            <w:tcW w:w="20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B1 图文解析</w:t>
            </w:r>
          </w:p>
        </w:tc>
        <w:tc>
          <w:tcPr>
            <w:tcW w:w="355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识别文字、公式与图像描述，列出待确认项</w:t>
            </w:r>
          </w:p>
        </w:tc>
        <w:tc>
          <w:tcPr>
            <w:tcW w:w="381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6份测试素材关键符号人工比对，模糊内容不擅自补全。</w:t>
            </w:r>
          </w:p>
        </w:tc>
      </w:tr>
      <w:tr>
        <w:trPr>
          <w:cantSplit/>
        </w:trPr>
        <w:tc>
          <w:tcPr>
            <w:tcW w:w="20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B2 知识与依赖</w:t>
            </w:r>
          </w:p>
        </w:tc>
        <w:tc>
          <w:tcPr>
            <w:tcW w:w="355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抽取卡片、检查前置覆盖、补充后重建</w:t>
            </w:r>
          </w:p>
        </w:tc>
        <w:tc>
          <w:tcPr>
            <w:tcW w:w="381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覆盖依据明确；仅提及不算解释；不因未展示卡片误判缺失。</w:t>
            </w:r>
          </w:p>
        </w:tc>
      </w:tr>
      <w:tr>
        <w:trPr>
          <w:cantSplit/>
        </w:trPr>
        <w:tc>
          <w:tcPr>
            <w:tcW w:w="20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B3 边界与来源</w:t>
            </w:r>
          </w:p>
        </w:tc>
        <w:tc>
          <w:tcPr>
            <w:tcW w:w="355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分类问题、材料支持判断、三类来源、开关约束</w:t>
            </w:r>
          </w:p>
        </w:tc>
        <w:tc>
          <w:tcPr>
            <w:tcW w:w="381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部分可答分开处理；不支持部分不编造引用。</w:t>
            </w:r>
          </w:p>
        </w:tc>
      </w:tr>
      <w:tr>
        <w:trPr>
          <w:cantSplit/>
        </w:trPr>
        <w:tc>
          <w:tcPr>
            <w:tcW w:w="20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B4 练习与辅导</w:t>
            </w:r>
          </w:p>
        </w:tc>
        <w:tc>
          <w:tcPr>
            <w:tcW w:w="355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9道自编固定题；根据作答给下一步</w:t>
            </w:r>
          </w:p>
        </w:tc>
        <w:tc>
          <w:tcPr>
            <w:tcW w:w="381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每题答案唯一、解析正确；无AI追加出题任务。</w:t>
            </w:r>
          </w:p>
        </w:tc>
      </w:tr>
      <w:tr>
        <w:trPr>
          <w:cantSplit/>
        </w:trPr>
        <w:tc>
          <w:tcPr>
            <w:tcW w:w="20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B5 教学与边界测试</w:t>
            </w:r>
          </w:p>
        </w:tc>
        <w:tc>
          <w:tcPr>
            <w:tcW w:w="355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12个教学问题＋边界用例；记录错误和修复</w:t>
            </w:r>
          </w:p>
        </w:tc>
        <w:tc>
          <w:tcPr>
            <w:tcW w:w="381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固定数学结论人工核验；越界／引用／开关行为实际测试。</w:t>
            </w:r>
          </w:p>
        </w:tc>
      </w:tr>
      <w:tr>
        <w:trPr>
          <w:cantSplit/>
        </w:trPr>
        <w:tc>
          <w:tcPr>
            <w:tcW w:w="20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B6 参赛说明</w:t>
            </w:r>
          </w:p>
        </w:tc>
        <w:tc>
          <w:tcPr>
            <w:tcW w:w="355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教学案例、AI能力与限制、本人使用记录</w:t>
            </w:r>
          </w:p>
        </w:tc>
        <w:tc>
          <w:tcPr>
            <w:tcW w:w="381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区分已实现、已设计和后续能力。</w:t>
            </w:r>
          </w:p>
        </w:tc>
      </w:tr>
    </w:tbl>
    <w:p>
      <w:pPr>
        <w:spacing w:after="50"/>
      </w:pPr>
    </w:p>
    <w:p>
      <w:pPr>
        <w:pStyle w:val="Heading2"/>
      </w:pPr>
      <w:r>
        <w:t xml:space="preserve">7.1 自编素材与固定题</w:t>
      </w:r>
    </w:p>
    <w:p>
      <w:pPr>
        <w:pStyle w:val="Normal"/>
      </w:pPr>
      <w:r>
        <w:t xml:space="preserve">导数：x²在1处的差商与导数，结果为2。切线：x²在1处切点(1,1)，切线y=2x−1。单调性：x³−3x在(−∞,−1)、(1,+∞)递增，在(−1,1)递减。每个主题各准备文字与图片版本，共6份；单调性素材保留明确的导数前置缺口，用导数素材演示补充。</w:t>
      </w:r>
    </w:p>
    <w:p>
      <w:pPr>
        <w:pStyle w:val="Normal"/>
      </w:pPr>
      <w:r>
        <w:t xml:space="preserve">固定题每主题3道。B初审数学内容，A依据核验清单复核；分歧未解决不得进入演示。</w:t>
      </w:r>
    </w:p>
    <w:p>
      <w:pPr>
        <w:pStyle w:val="Heading2"/>
      </w:pPr>
      <w:r>
        <w:t xml:space="preserve">7.2 最终交付物与边界</w:t>
      </w:r>
    </w:p>
    <w:p>
      <w:pPr>
        <w:pStyle w:val="Normal"/>
      </w:pPr>
      <w:r>
        <w:t xml:space="preserve">交付packages/teaching独立模块、提示词、输出与依赖规则、素材、9题、教学及边界测试记录、PPT教学内容和使用记录。模块通过C注入的模型函数运行，不依赖网页或托管平台；共享字段修改交由C。</w:t>
      </w:r>
    </w:p>
    <w:p>
      <w:r>
        <w:br w:type="page"/>
      </w:r>
    </w:p>
    <w:p>
      <w:pPr>
        <w:pStyle w:val="Heading1"/>
      </w:pPr>
      <w:r>
        <w:t xml:space="preserve">08  成员C：服务、集成与协作</w:t>
      </w:r>
    </w:p>
    <w:p>
      <w:pPr>
        <w:pStyle w:val="Callout"/>
      </w:pPr>
      <w:r>
        <w:t xml:space="preserve">责任目标：让A、B独立开发，确保补充材料、新学习和授权变化不会导致数据混用。</w:t>
      </w:r>
    </w:p>
    <w:tbl>
      <w:tblPr>
        <w:tblW w:w="0" w:type="auto"/>
        <w:tblLayout w:type="fixed"/>
        <w:tblBorders>
          <w:top w:val="single" w:sz="4" w:color="D9E2EF"/>
          <w:left w:val="single" w:sz="4" w:color="D9E2EF"/>
          <w:bottom w:val="single" w:sz="4" w:color="D9E2EF"/>
          <w:right w:val="single" w:sz="4" w:color="D9E2EF"/>
          <w:insideH w:val="single" w:sz="4" w:color="D9E2EF"/>
          <w:insideV w:val="single" w:sz="4" w:color="D9E2EF"/>
        </w:tblBorders>
        <w:tblCellMar>
          <w:top w:w="85" w:type="dxa"/>
          <w:left w:w="105" w:type="dxa"/>
          <w:bottom w:w="85" w:type="dxa"/>
          <w:right w:w="105" w:type="dxa"/>
        </w:tblCellMar>
      </w:tblPr>
      <w:tblGrid>
        <w:gridCol w:w="2000"/>
        <w:gridCol w:w="3550"/>
        <w:gridCol w:w="3810"/>
      </w:tblGrid>
      <w:tr>
        <w:trPr>
          <w:cantSplit/>
          <w:tblHeader/>
        </w:trPr>
        <w:tc>
          <w:tcPr>
            <w:tcW w:w="200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任务</w:t>
            </w:r>
          </w:p>
        </w:tc>
        <w:tc>
          <w:tcPr>
            <w:tcW w:w="355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明确内容</w:t>
            </w:r>
          </w:p>
        </w:tc>
        <w:tc>
          <w:tcPr>
            <w:tcW w:w="381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交付与验收</w:t>
            </w:r>
          </w:p>
        </w:tc>
      </w:tr>
      <w:tr>
        <w:trPr>
          <w:cantSplit/>
        </w:trPr>
        <w:tc>
          <w:tcPr>
            <w:tcW w:w="20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C1 共享契约</w:t>
            </w:r>
          </w:p>
        </w:tc>
        <w:tc>
          <w:tcPr>
            <w:tcW w:w="355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仓库、类型、成功与失败模拟API</w:t>
            </w:r>
          </w:p>
        </w:tc>
        <w:tc>
          <w:tcPr>
            <w:tcW w:w="381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首日冻结材料／依赖／来源／会话版本契约，A、B可独立工作。</w:t>
            </w:r>
          </w:p>
        </w:tc>
      </w:tr>
      <w:tr>
        <w:trPr>
          <w:cantSplit/>
        </w:trPr>
        <w:tc>
          <w:tcPr>
            <w:tcW w:w="20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C2 模型与部署</w:t>
            </w:r>
          </w:p>
        </w:tc>
        <w:tc>
          <w:tcPr>
            <w:tcW w:w="355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验证图文API、额度、托管与赛事接口限制</w:t>
            </w:r>
          </w:p>
        </w:tc>
        <w:tc>
          <w:tcPr>
            <w:tcW w:w="381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选择一个主接口；完成首个线上版本；密钥仅服务端保存。</w:t>
            </w:r>
          </w:p>
        </w:tc>
      </w:tr>
      <w:tr>
        <w:trPr>
          <w:cantSplit/>
        </w:trPr>
        <w:tc>
          <w:tcPr>
            <w:tcW w:w="20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C3 会话与接入</w:t>
            </w:r>
          </w:p>
        </w:tc>
        <w:tc>
          <w:tcPr>
            <w:tcW w:w="355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四个接口；追加材料、替换会话、版本及授权校验</w:t>
            </w:r>
          </w:p>
        </w:tc>
        <w:tc>
          <w:tcPr>
            <w:tcW w:w="381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补充成功才提交新状态；旧请求失效；60秒超时可重试。</w:t>
            </w:r>
          </w:p>
        </w:tc>
      </w:tr>
      <w:tr>
        <w:trPr>
          <w:cantSplit/>
        </w:trPr>
        <w:tc>
          <w:tcPr>
            <w:tcW w:w="20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C4 联调与发布</w:t>
            </w:r>
          </w:p>
        </w:tc>
        <w:tc>
          <w:tcPr>
            <w:tcW w:w="355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组合教学模块和页面，执行边界回归</w:t>
            </w:r>
          </w:p>
        </w:tc>
        <w:tc>
          <w:tcPr>
            <w:tcW w:w="381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9月20日闭环；22日阻断清零；23日冻结核心功能。</w:t>
            </w:r>
          </w:p>
        </w:tc>
      </w:tr>
      <w:tr>
        <w:trPr>
          <w:cantSplit/>
        </w:trPr>
        <w:tc>
          <w:tcPr>
            <w:tcW w:w="20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C5 材料与提交</w:t>
            </w:r>
          </w:p>
        </w:tc>
        <w:tc>
          <w:tcPr>
            <w:tcW w:w="355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汇总PPT、源码、使用记录，预演与正式提交</w:t>
            </w:r>
          </w:p>
        </w:tc>
        <w:tc>
          <w:tcPr>
            <w:tcW w:w="381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26日18:00前代表团队提交，核查回执与最后版本。</w:t>
            </w:r>
          </w:p>
        </w:tc>
      </w:tr>
    </w:tbl>
    <w:p>
      <w:pPr>
        <w:spacing w:after="50"/>
      </w:pPr>
    </w:p>
    <w:p>
      <w:pPr>
        <w:pStyle w:val="Heading2"/>
      </w:pPr>
      <w:r>
        <w:t xml:space="preserve">8.1 最终交付物</w:t>
      </w:r>
    </w:p>
    <w:p>
      <w:pPr>
        <w:pStyle w:val="Normal"/>
      </w:pPr>
      <w:r>
        <w:t xml:space="preserve">apps/server与packages/contracts源码、模型适配器、模拟API、在线链接、启动／部署说明、环境变量示例、集成与边界测试记录、最终PPT、源码归档、使用记录合集和提交回执。</w:t>
      </w:r>
    </w:p>
    <w:p>
      <w:pPr>
        <w:pStyle w:val="Heading2"/>
      </w:pPr>
      <w:r>
        <w:t xml:space="preserve">8.2 三人协作规则</w:t>
      </w:r>
    </w:p>
    <w:p>
      <w:pPr>
        <w:pStyle w:val="Bullet"/>
      </w:pPr>
      <w:r>
        <w:t xml:space="preserve">• 每人维护本人模块分支；C维护公共契约并集成。A只依赖HTTP与类型；B只依赖共享类型和模型函数；C组合两者。</w:t>
      </w:r>
    </w:p>
    <w:p>
      <w:pPr>
        <w:pStyle w:val="Bullet"/>
      </w:pPr>
      <w:r>
        <w:t xml:space="preserve">• Agent任务写明目标、允许修改目录、样例、验收条件；成员实际验收后合并。</w:t>
      </w:r>
    </w:p>
    <w:p>
      <w:pPr>
        <w:pStyle w:val="Bullet"/>
      </w:pPr>
      <w:r>
        <w:t xml:space="preserve">• 接口变更由发起人说明原因，C修改类型和模拟数据，A、B确认后同步。</w:t>
      </w:r>
    </w:p>
    <w:p>
      <w:pPr>
        <w:pStyle w:val="Bullet"/>
      </w:pPr>
      <w:r>
        <w:t xml:space="preserve">• 每天各保存真实LearnBuddy记录及人工检查说明；C汇总，不代造使用历史。</w:t>
      </w:r>
    </w:p>
    <w:p>
      <w:pPr>
        <w:pStyle w:val="Heading2"/>
      </w:pPr>
      <w:r>
        <w:t xml:space="preserve">8.3 每日两小时</w:t>
      </w:r>
    </w:p>
    <w:p>
      <w:pPr>
        <w:pStyle w:val="Normal"/>
      </w:pPr>
      <w:r>
        <w:t xml:space="preserve">15分钟同步任务和阻塞，75分钟驱动Agent分轮开发，30分钟手动验收、合并和整理记录。依赖未完成时使用模拟样例，避免相互等待；新需求必须替换同等工作量任务。</w:t>
      </w:r>
    </w:p>
    <w:p>
      <w:r>
        <w:br w:type="page"/>
      </w:r>
    </w:p>
    <w:p>
      <w:pPr>
        <w:pStyle w:val="Heading1"/>
      </w:pPr>
      <w:r>
        <w:t xml:space="preserve">09  每日排期与交付门槛</w:t>
      </w:r>
    </w:p>
    <w:tbl>
      <w:tblPr>
        <w:tblW w:w="0" w:type="auto"/>
        <w:tblLayout w:type="fixed"/>
        <w:tblBorders>
          <w:top w:val="single" w:sz="4" w:color="D9E2EF"/>
          <w:left w:val="single" w:sz="4" w:color="D9E2EF"/>
          <w:bottom w:val="single" w:sz="4" w:color="D9E2EF"/>
          <w:right w:val="single" w:sz="4" w:color="D9E2EF"/>
          <w:insideH w:val="single" w:sz="4" w:color="D9E2EF"/>
          <w:insideV w:val="single" w:sz="4" w:color="D9E2EF"/>
        </w:tblBorders>
        <w:tblCellMar>
          <w:top w:w="85" w:type="dxa"/>
          <w:left w:w="105" w:type="dxa"/>
          <w:bottom w:w="85" w:type="dxa"/>
          <w:right w:w="105" w:type="dxa"/>
        </w:tblCellMar>
      </w:tblPr>
      <w:tblGrid>
        <w:gridCol w:w="1100"/>
        <w:gridCol w:w="2650"/>
        <w:gridCol w:w="2800"/>
        <w:gridCol w:w="2810"/>
      </w:tblGrid>
      <w:tr>
        <w:trPr>
          <w:cantSplit/>
          <w:tblHeader/>
        </w:trPr>
        <w:tc>
          <w:tcPr>
            <w:tcW w:w="110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日期</w:t>
            </w:r>
          </w:p>
        </w:tc>
        <w:tc>
          <w:tcPr>
            <w:tcW w:w="265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A：工作台</w:t>
            </w:r>
          </w:p>
        </w:tc>
        <w:tc>
          <w:tcPr>
            <w:tcW w:w="280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B：教学智能</w:t>
            </w:r>
          </w:p>
        </w:tc>
        <w:tc>
          <w:tcPr>
            <w:tcW w:w="281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C：服务与集成</w:t>
            </w:r>
          </w:p>
        </w:tc>
      </w:tr>
      <w:tr>
        <w:trPr>
          <w:cantSplit/>
        </w:trPr>
        <w:tc>
          <w:tcPr>
            <w:tcW w:w="11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9月16日</w:t>
            </w:r>
          </w:p>
        </w:tc>
        <w:tc>
          <w:tcPr>
            <w:tcW w:w="265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含补充／新学习的页面草图</w:t>
            </w:r>
          </w:p>
        </w:tc>
        <w:tc>
          <w:tcPr>
            <w:tcW w:w="28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依赖、边界、来源输出样例</w:t>
            </w:r>
          </w:p>
        </w:tc>
        <w:tc>
          <w:tcPr>
            <w:tcW w:w="281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冻结契约；验证API与部署</w:t>
            </w:r>
          </w:p>
        </w:tc>
      </w:tr>
      <w:tr>
        <w:trPr>
          <w:cantSplit/>
        </w:trPr>
        <w:tc>
          <w:tcPr>
            <w:tcW w:w="11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9月17日</w:t>
            </w:r>
          </w:p>
        </w:tc>
        <w:tc>
          <w:tcPr>
            <w:tcW w:w="265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输入、确认和两种上传入口</w:t>
            </w:r>
          </w:p>
        </w:tc>
        <w:tc>
          <w:tcPr>
            <w:tcW w:w="28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图文解析、缺口素材</w:t>
            </w:r>
          </w:p>
        </w:tc>
        <w:tc>
          <w:tcPr>
            <w:tcW w:w="281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模拟API、首个线上版本</w:t>
            </w:r>
          </w:p>
        </w:tc>
      </w:tr>
      <w:tr>
        <w:trPr>
          <w:cantSplit/>
        </w:trPr>
        <w:tc>
          <w:tcPr>
            <w:tcW w:w="11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9月18日</w:t>
            </w:r>
          </w:p>
        </w:tc>
        <w:tc>
          <w:tcPr>
            <w:tcW w:w="265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卡片与前置状态展示</w:t>
            </w:r>
          </w:p>
        </w:tc>
        <w:tc>
          <w:tcPr>
            <w:tcW w:w="28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依赖覆盖检查、补充后更新</w:t>
            </w:r>
          </w:p>
        </w:tc>
        <w:tc>
          <w:tcPr>
            <w:tcW w:w="281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接入解析／知识；材料版本</w:t>
            </w:r>
          </w:p>
        </w:tc>
      </w:tr>
      <w:tr>
        <w:trPr>
          <w:cantSplit/>
        </w:trPr>
        <w:tc>
          <w:tcPr>
            <w:tcW w:w="11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9月19日</w:t>
            </w:r>
          </w:p>
        </w:tc>
        <w:tc>
          <w:tcPr>
            <w:tcW w:w="265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答疑、开关、三类来源</w:t>
            </w:r>
          </w:p>
        </w:tc>
        <w:tc>
          <w:tcPr>
            <w:tcW w:w="28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边界分类与分步辅导</w:t>
            </w:r>
          </w:p>
        </w:tc>
        <w:tc>
          <w:tcPr>
            <w:tcW w:w="281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答疑接入、授权与旧响应失效</w:t>
            </w:r>
          </w:p>
        </w:tc>
      </w:tr>
      <w:tr>
        <w:trPr>
          <w:cantSplit/>
        </w:trPr>
        <w:tc>
          <w:tcPr>
            <w:tcW w:w="11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9月20日</w:t>
            </w:r>
          </w:p>
        </w:tc>
        <w:tc>
          <w:tcPr>
            <w:tcW w:w="265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固定练习、补齐后继续流程</w:t>
            </w:r>
          </w:p>
        </w:tc>
        <w:tc>
          <w:tcPr>
            <w:tcW w:w="28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9道题、误区与下一步</w:t>
            </w:r>
          </w:p>
        </w:tc>
        <w:tc>
          <w:tcPr>
            <w:tcW w:w="281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全流程联调，完成核心闭环</w:t>
            </w:r>
          </w:p>
        </w:tc>
      </w:tr>
      <w:tr>
        <w:trPr>
          <w:cantSplit/>
        </w:trPr>
        <w:tc>
          <w:tcPr>
            <w:tcW w:w="11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9月21日</w:t>
            </w:r>
          </w:p>
        </w:tc>
        <w:tc>
          <w:tcPr>
            <w:tcW w:w="265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界面与会话边界测试</w:t>
            </w:r>
          </w:p>
        </w:tc>
        <w:tc>
          <w:tcPr>
            <w:tcW w:w="28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教学、依赖、来源边界测试</w:t>
            </w:r>
          </w:p>
        </w:tc>
        <w:tc>
          <w:tcPr>
            <w:tcW w:w="281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集成回归；停止新增功能</w:t>
            </w:r>
          </w:p>
        </w:tc>
      </w:tr>
      <w:tr>
        <w:trPr>
          <w:cantSplit/>
        </w:trPr>
        <w:tc>
          <w:tcPr>
            <w:tcW w:w="11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9月22日</w:t>
            </w:r>
          </w:p>
        </w:tc>
        <w:tc>
          <w:tcPr>
            <w:tcW w:w="265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修复交互与刷新问题</w:t>
            </w:r>
          </w:p>
        </w:tc>
        <w:tc>
          <w:tcPr>
            <w:tcW w:w="28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修复数学与来源问题</w:t>
            </w:r>
          </w:p>
        </w:tc>
        <w:tc>
          <w:tcPr>
            <w:tcW w:w="281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修复状态、超时和部署问题</w:t>
            </w:r>
          </w:p>
        </w:tc>
      </w:tr>
      <w:tr>
        <w:trPr>
          <w:cantSplit/>
        </w:trPr>
        <w:tc>
          <w:tcPr>
            <w:tcW w:w="11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9月23日</w:t>
            </w:r>
          </w:p>
        </w:tc>
        <w:tc>
          <w:tcPr>
            <w:tcW w:w="265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缺口补齐演示脚本、排练</w:t>
            </w:r>
          </w:p>
        </w:tc>
        <w:tc>
          <w:tcPr>
            <w:tcW w:w="28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示例、测试结果定稿</w:t>
            </w:r>
          </w:p>
        </w:tc>
        <w:tc>
          <w:tcPr>
            <w:tcW w:w="281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发布候选版、PPT初稿</w:t>
            </w:r>
          </w:p>
        </w:tc>
      </w:tr>
      <w:tr>
        <w:trPr>
          <w:cantSplit/>
        </w:trPr>
        <w:tc>
          <w:tcPr>
            <w:tcW w:w="11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9月24日</w:t>
            </w:r>
          </w:p>
        </w:tc>
        <w:tc>
          <w:tcPr>
            <w:tcW w:w="265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视频初版、截图与记录</w:t>
            </w:r>
          </w:p>
        </w:tc>
        <w:tc>
          <w:tcPr>
            <w:tcW w:w="28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教学PPT内容与记录</w:t>
            </w:r>
          </w:p>
        </w:tc>
        <w:tc>
          <w:tcPr>
            <w:tcW w:w="281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汇总PPT、代码说明与记录</w:t>
            </w:r>
          </w:p>
        </w:tc>
      </w:tr>
      <w:tr>
        <w:trPr>
          <w:cantSplit/>
        </w:trPr>
        <w:tc>
          <w:tcPr>
            <w:tcW w:w="11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9月25日</w:t>
            </w:r>
          </w:p>
        </w:tc>
        <w:tc>
          <w:tcPr>
            <w:tcW w:w="265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视频定稿、线上复核</w:t>
            </w:r>
          </w:p>
        </w:tc>
        <w:tc>
          <w:tcPr>
            <w:tcW w:w="28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数学内容最终复核</w:t>
            </w:r>
          </w:p>
        </w:tc>
        <w:tc>
          <w:tcPr>
            <w:tcW w:w="281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提交预演、发布版本标记</w:t>
            </w:r>
          </w:p>
        </w:tc>
      </w:tr>
      <w:tr>
        <w:trPr>
          <w:cantSplit/>
        </w:trPr>
        <w:tc>
          <w:tcPr>
            <w:tcW w:w="11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9月26日</w:t>
            </w:r>
          </w:p>
        </w:tc>
        <w:tc>
          <w:tcPr>
            <w:tcW w:w="265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协助最后检查</w:t>
            </w:r>
          </w:p>
        </w:tc>
        <w:tc>
          <w:tcPr>
            <w:tcW w:w="28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协助最后检查</w:t>
            </w:r>
          </w:p>
        </w:tc>
        <w:tc>
          <w:tcPr>
            <w:tcW w:w="281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18:00前提交并核查回执</w:t>
            </w:r>
          </w:p>
        </w:tc>
      </w:tr>
    </w:tbl>
    <w:p>
      <w:pPr>
        <w:spacing w:after="50"/>
      </w:pPr>
    </w:p>
    <w:p>
      <w:pPr>
        <w:pStyle w:val="Heading2"/>
      </w:pPr>
      <w:r>
        <w:t xml:space="preserve">9.1 阶段门槛</w:t>
      </w:r>
    </w:p>
    <w:p>
      <w:pPr>
        <w:pStyle w:val="Normal"/>
      </w:pPr>
      <w:r>
        <w:t xml:space="preserve">16日：契约与接入可行。18日：补充材料能够更新依赖状态。20日：线上走通缺口发现、补充、答疑和练习。22日：阻断清零。25日：全部材料可提交。</w:t>
      </w:r>
    </w:p>
    <w:p>
      <w:pPr>
        <w:pStyle w:val="Heading2"/>
      </w:pPr>
      <w:r>
        <w:t xml:space="preserve">9.2 延期取舍</w:t>
      </w:r>
    </w:p>
    <w:p>
      <w:pPr>
        <w:pStyle w:val="Normal"/>
      </w:pPr>
      <w:r>
        <w:t xml:space="preserve">AI追加练习和复杂图谱已移出初赛。继续延期时先删动画、额外美化和非必要快捷操作；保留文字式前置提示、补充／新学习、受控外部参考、来源标签及核心学习闭环。无法按时完成某项时，必须同步收缩宣传与验收承诺，不能以模拟行为冒充真实能力。</w:t>
      </w:r>
    </w:p>
    <w:p>
      <w:r>
        <w:br w:type="page"/>
      </w:r>
    </w:p>
    <w:p>
      <w:pPr>
        <w:pStyle w:val="Heading1"/>
      </w:pPr>
      <w:r>
        <w:t xml:space="preserve">10  验收与边界测试</w:t>
      </w:r>
    </w:p>
    <w:p>
      <w:pPr>
        <w:pStyle w:val="Heading2"/>
      </w:pPr>
      <w:r>
        <w:t xml:space="preserve">10.1 教学与主流程</w:t>
      </w:r>
    </w:p>
    <w:p>
      <w:pPr>
        <w:pStyle w:val="Normal"/>
      </w:pPr>
      <w:r>
        <w:t xml:space="preserve">6份图文素材逐项核验公式；每会话显示3—6个核心知识点，来源可定位。12个答疑问题覆盖概念、计算、误区和条件不足；9道固定题答案唯一、解析正确。三个主题分别在新会话完成答疑与练习；另完整演示单调性缺口补齐。</w:t>
      </w:r>
    </w:p>
    <w:tbl>
      <w:tblPr>
        <w:tblW w:w="0" w:type="auto"/>
        <w:tblLayout w:type="fixed"/>
        <w:tblBorders>
          <w:top w:val="single" w:sz="4" w:color="D9E2EF"/>
          <w:left w:val="single" w:sz="4" w:color="D9E2EF"/>
          <w:bottom w:val="single" w:sz="4" w:color="D9E2EF"/>
          <w:right w:val="single" w:sz="4" w:color="D9E2EF"/>
          <w:insideH w:val="single" w:sz="4" w:color="D9E2EF"/>
          <w:insideV w:val="single" w:sz="4" w:color="D9E2EF"/>
        </w:tblBorders>
        <w:tblCellMar>
          <w:top w:w="85" w:type="dxa"/>
          <w:left w:w="105" w:type="dxa"/>
          <w:bottom w:w="85" w:type="dxa"/>
          <w:right w:w="105" w:type="dxa"/>
        </w:tblCellMar>
      </w:tblPr>
      <w:tblGrid>
        <w:gridCol w:w="750"/>
        <w:gridCol w:w="3900"/>
        <w:gridCol w:w="4710"/>
      </w:tblGrid>
      <w:tr>
        <w:trPr>
          <w:cantSplit/>
          <w:tblHeader/>
        </w:trPr>
        <w:tc>
          <w:tcPr>
            <w:tcW w:w="75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编号</w:t>
            </w:r>
          </w:p>
        </w:tc>
        <w:tc>
          <w:tcPr>
            <w:tcW w:w="390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边界用例</w:t>
            </w:r>
          </w:p>
        </w:tc>
        <w:tc>
          <w:tcPr>
            <w:tcW w:w="471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期望结果</w:t>
            </w:r>
          </w:p>
        </w:tc>
      </w:tr>
      <w:tr>
        <w:trPr>
          <w:cantSplit/>
        </w:trPr>
        <w:tc>
          <w:tcPr>
            <w:tcW w:w="75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E1</w:t>
            </w:r>
          </w:p>
        </w:tc>
        <w:tc>
          <w:tcPr>
            <w:tcW w:w="39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单调性材料仅提导数，没有解释</w:t>
            </w:r>
          </w:p>
        </w:tc>
        <w:tc>
          <w:tcPr>
            <w:tcW w:w="471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标MISSING，提示补充；不自动给外部定义。</w:t>
            </w:r>
          </w:p>
        </w:tc>
      </w:tr>
      <w:tr>
        <w:trPr>
          <w:cantSplit/>
        </w:trPr>
        <w:tc>
          <w:tcPr>
            <w:tcW w:w="75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E2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原文解释导数，但未显示导数卡片</w:t>
            </w:r>
          </w:p>
        </w:tc>
        <w:tc>
          <w:tcPr>
            <w:tcW w:w="471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判LOCAL；不能因为卡片缺席误判材料缺失。</w:t>
            </w:r>
          </w:p>
        </w:tc>
      </w:tr>
      <w:tr>
        <w:trPr>
          <w:cantSplit/>
        </w:trPr>
        <w:tc>
          <w:tcPr>
            <w:tcW w:w="75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E3</w:t>
            </w:r>
          </w:p>
        </w:tc>
        <w:tc>
          <w:tcPr>
            <w:tcW w:w="39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补充导数素材／补充无关素材</w:t>
            </w:r>
          </w:p>
        </w:tc>
        <w:tc>
          <w:tcPr>
            <w:tcW w:w="471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前者更新覆盖；后者保留缺失，不伪装已补齐。</w:t>
            </w:r>
          </w:p>
        </w:tc>
      </w:tr>
      <w:tr>
        <w:trPr>
          <w:cantSplit/>
        </w:trPr>
        <w:tc>
          <w:tcPr>
            <w:tcW w:w="75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E4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新例题可依材料计算</w:t>
            </w:r>
          </w:p>
        </w:tc>
        <w:tc>
          <w:tcPr>
            <w:tcW w:w="471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允许推导并标注依据，不因原文无该题就拒答。</w:t>
            </w:r>
          </w:p>
        </w:tc>
      </w:tr>
      <w:tr>
        <w:trPr>
          <w:cantSplit/>
        </w:trPr>
        <w:tc>
          <w:tcPr>
            <w:tcW w:w="75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E5</w:t>
            </w:r>
          </w:p>
        </w:tc>
        <w:tc>
          <w:tcPr>
            <w:tcW w:w="39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完全越界／部分可答</w:t>
            </w:r>
          </w:p>
        </w:tc>
        <w:tc>
          <w:tcPr>
            <w:tcW w:w="471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完全越界引导返回；部分问题分开回答。</w:t>
            </w:r>
          </w:p>
        </w:tc>
      </w:tr>
      <w:tr>
        <w:trPr>
          <w:cantSplit/>
        </w:trPr>
        <w:tc>
          <w:tcPr>
            <w:tcW w:w="75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E6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关闭外部参考／主动开启</w:t>
            </w:r>
          </w:p>
        </w:tc>
        <w:tc>
          <w:tcPr>
            <w:tcW w:w="471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关闭时不生成外部内容；开启后明确标记且保持课程范围。</w:t>
            </w:r>
          </w:p>
        </w:tc>
      </w:tr>
      <w:tr>
        <w:trPr>
          <w:cantSplit/>
        </w:trPr>
        <w:tc>
          <w:tcPr>
            <w:tcW w:w="75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E7</w:t>
            </w:r>
          </w:p>
        </w:tc>
        <w:tc>
          <w:tcPr>
            <w:tcW w:w="39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模型返回假引用或越权外部内容</w:t>
            </w:r>
          </w:p>
        </w:tc>
        <w:tc>
          <w:tcPr>
            <w:tcW w:w="471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校验失败，不能作为正常答案展示。</w:t>
            </w:r>
          </w:p>
        </w:tc>
      </w:tr>
      <w:tr>
        <w:trPr>
          <w:cantSplit/>
        </w:trPr>
        <w:tc>
          <w:tcPr>
            <w:tcW w:w="75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E8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换课时旧回答迟到</w:t>
            </w:r>
          </w:p>
        </w:tc>
        <w:tc>
          <w:tcPr>
            <w:tcW w:w="471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新会话不出现旧素材、旧回答或旧练习反馈。</w:t>
            </w:r>
          </w:p>
        </w:tc>
      </w:tr>
      <w:tr>
        <w:trPr>
          <w:cantSplit/>
        </w:trPr>
        <w:tc>
          <w:tcPr>
            <w:tcW w:w="75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E9</w:t>
            </w:r>
          </w:p>
        </w:tc>
        <w:tc>
          <w:tcPr>
            <w:tcW w:w="39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补充失败、刷新、达到素材上限</w:t>
            </w:r>
          </w:p>
        </w:tc>
        <w:tc>
          <w:tcPr>
            <w:tcW w:w="471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失败保留旧状态；刷新恢复确认文本；超限有操作提示。</w:t>
            </w:r>
          </w:p>
        </w:tc>
      </w:tr>
      <w:tr>
        <w:trPr>
          <w:cantSplit/>
        </w:trPr>
        <w:tc>
          <w:tcPr>
            <w:tcW w:w="75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E10</w:t>
            </w:r>
          </w:p>
        </w:tc>
        <w:tc>
          <w:tcPr>
            <w:tcW w:w="39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关闭开关后旧外部回答返回</w:t>
            </w:r>
          </w:p>
        </w:tc>
        <w:tc>
          <w:tcPr>
            <w:tcW w:w="471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丢弃；历史外部内容不成为后续材料证据。</w:t>
            </w:r>
          </w:p>
        </w:tc>
      </w:tr>
    </w:tbl>
    <w:p>
      <w:pPr>
        <w:spacing w:after="50"/>
      </w:pPr>
    </w:p>
    <w:p>
      <w:pPr>
        <w:pStyle w:val="Heading2"/>
      </w:pPr>
      <w:r>
        <w:t xml:space="preserve">10.2 执行责任与发布条件</w:t>
      </w:r>
    </w:p>
    <w:p>
      <w:pPr>
        <w:pStyle w:val="Normal"/>
      </w:pPr>
      <w:r>
        <w:t xml:space="preserve">B主测E1—E7与数学内容；C主测E8—E10及接口异常；A复核全部界面表现。另测空输入、超限图片、模糊公式、无效密钥、60秒超时与格式错误。</w:t>
      </w:r>
    </w:p>
    <w:p>
      <w:pPr>
        <w:pStyle w:val="Small"/>
      </w:pPr>
      <w:r>
        <w:t xml:space="preserve">测试记录包含输入、期望、实际、结论、负责人、修复版本；真实与模拟分开。核心边界必须实际通过，不能只列设计用例。已知数学错误、错误来源、未授权外部内容、会话串扰或主流程阻断均须修复后发布。</w:t>
      </w:r>
    </w:p>
    <w:p>
      <w:r>
        <w:br w:type="page"/>
      </w:r>
    </w:p>
    <w:p>
      <w:pPr>
        <w:pStyle w:val="Heading1"/>
      </w:pPr>
      <w:r>
        <w:t xml:space="preserve">11  参赛材料与待落实事项</w:t>
      </w:r>
    </w:p>
    <w:tbl>
      <w:tblPr>
        <w:tblW w:w="0" w:type="auto"/>
        <w:tblLayout w:type="fixed"/>
        <w:tblBorders>
          <w:top w:val="single" w:sz="4" w:color="D9E2EF"/>
          <w:left w:val="single" w:sz="4" w:color="D9E2EF"/>
          <w:bottom w:val="single" w:sz="4" w:color="D9E2EF"/>
          <w:right w:val="single" w:sz="4" w:color="D9E2EF"/>
          <w:insideH w:val="single" w:sz="4" w:color="D9E2EF"/>
          <w:insideV w:val="single" w:sz="4" w:color="D9E2EF"/>
        </w:tblBorders>
        <w:tblCellMar>
          <w:top w:w="85" w:type="dxa"/>
          <w:left w:w="105" w:type="dxa"/>
          <w:bottom w:w="85" w:type="dxa"/>
          <w:right w:w="105" w:type="dxa"/>
        </w:tblCellMar>
      </w:tblPr>
      <w:tblGrid>
        <w:gridCol w:w="2200"/>
        <w:gridCol w:w="2050"/>
        <w:gridCol w:w="5110"/>
      </w:tblGrid>
      <w:tr>
        <w:trPr>
          <w:cantSplit/>
          <w:tblHeader/>
        </w:trPr>
        <w:tc>
          <w:tcPr>
            <w:tcW w:w="220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材料</w:t>
            </w:r>
          </w:p>
        </w:tc>
        <w:tc>
          <w:tcPr>
            <w:tcW w:w="205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负责人</w:t>
            </w:r>
          </w:p>
        </w:tc>
        <w:tc>
          <w:tcPr>
            <w:tcW w:w="5110" w:type="dxa"/>
            <w:shd w:fill="173454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 xml:space="preserve">交付要求</w:t>
            </w:r>
          </w:p>
        </w:tc>
      </w:tr>
      <w:tr>
        <w:trPr>
          <w:cantSplit/>
        </w:trPr>
        <w:tc>
          <w:tcPr>
            <w:tcW w:w="22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作品链接</w:t>
            </w:r>
          </w:p>
        </w:tc>
        <w:tc>
          <w:tcPr>
            <w:tcW w:w="205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C；A复核</w:t>
            </w:r>
          </w:p>
        </w:tc>
        <w:tc>
          <w:tcPr>
            <w:tcW w:w="511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真实图文调用，评委无需配置密钥，可体验核心闭环。</w:t>
            </w:r>
          </w:p>
        </w:tc>
      </w:tr>
      <w:tr>
        <w:trPr>
          <w:cantSplit/>
        </w:trP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3分钟视频</w:t>
            </w:r>
          </w:p>
        </w:tc>
        <w:tc>
          <w:tcPr>
            <w:tcW w:w="205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A</w:t>
            </w:r>
          </w:p>
        </w:tc>
        <w:tc>
          <w:tcPr>
            <w:tcW w:w="511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MP4/MOV，重点演示缺口识别、补充后更新与继续学习。</w:t>
            </w:r>
          </w:p>
        </w:tc>
      </w:tr>
      <w:tr>
        <w:trPr>
          <w:cantSplit/>
        </w:trPr>
        <w:tc>
          <w:tcPr>
            <w:tcW w:w="22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介绍PPT</w:t>
            </w:r>
          </w:p>
        </w:tc>
        <w:tc>
          <w:tcPr>
            <w:tcW w:w="205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C汇总；A、B供稿</w:t>
            </w:r>
          </w:p>
        </w:tc>
        <w:tc>
          <w:tcPr>
            <w:tcW w:w="511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PPTX/PDF：问题、方向、流程、AI能力、架构、分工、验证结果。</w:t>
            </w:r>
          </w:p>
        </w:tc>
      </w:tr>
      <w:tr>
        <w:trPr>
          <w:cantSplit/>
        </w:trP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源码与归档</w:t>
            </w:r>
          </w:p>
        </w:tc>
        <w:tc>
          <w:tcPr>
            <w:tcW w:w="205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C</w:t>
            </w:r>
          </w:p>
        </w:tc>
        <w:tc>
          <w:tcPr>
            <w:tcW w:w="511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GitHub/Gitee链接、ZIP/TAR.GZ，含启动说明、环境变量示例与依赖说明。</w:t>
            </w:r>
          </w:p>
        </w:tc>
      </w:tr>
      <w:tr>
        <w:trPr>
          <w:cantSplit/>
        </w:trPr>
        <w:tc>
          <w:tcPr>
            <w:tcW w:w="220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LearnBuddy记录</w:t>
            </w:r>
          </w:p>
        </w:tc>
        <w:tc>
          <w:tcPr>
            <w:tcW w:w="205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三人提供、C汇总</w:t>
            </w:r>
          </w:p>
        </w:tc>
        <w:tc>
          <w:tcPr>
            <w:tcW w:w="5110" w:type="dxa"/>
            <w:shd w:fill="F2F6FA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真实开发、调试及人工核验记录。</w:t>
            </w:r>
          </w:p>
        </w:tc>
      </w:tr>
      <w:tr>
        <w:trPr>
          <w:cantSplit/>
        </w:trP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提交回执</w:t>
            </w:r>
          </w:p>
        </w:tc>
        <w:tc>
          <w:tcPr>
            <w:tcW w:w="205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C</w:t>
            </w:r>
          </w:p>
        </w:tc>
        <w:tc>
          <w:tcPr>
            <w:tcW w:w="511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243447"/>
              </w:rPr>
              <w:t xml:space="preserve">赛事专区代表团队提交，确认附件、链接与最后版本。</w:t>
            </w:r>
          </w:p>
        </w:tc>
      </w:tr>
    </w:tbl>
    <w:p>
      <w:pPr>
        <w:spacing w:after="50"/>
      </w:pPr>
    </w:p>
    <w:p>
      <w:pPr>
        <w:pStyle w:val="Heading2"/>
      </w:pPr>
      <w:r>
        <w:t xml:space="preserve">11.1 视频与PPT表达</w:t>
      </w:r>
    </w:p>
    <w:p>
      <w:pPr>
        <w:pStyle w:val="Normal"/>
      </w:pPr>
      <w:r>
        <w:t xml:space="preserve">视频：0:00—0:20学习问题；0:20—0:50图文识别确认；0:50—1:20前置缺口；1:20—1:55补充后依赖更新；1:55—2:30答疑及来源／外部开关；2:30—2:50练习反馈；2:50—3:00团队与亮点。</w:t>
      </w:r>
    </w:p>
    <w:p>
      <w:pPr>
        <w:pStyle w:val="Normal"/>
      </w:pPr>
      <w:r>
        <w:t xml:space="preserve">PPT建议8页：项目定位、学生问题、缺口补齐流程、边界与来源、技术架构、三人分工、实际测试、演示与后续。描述能力时区分已实现、已设计、后续规划；AI追加练习和复杂图谱只列后续。</w:t>
      </w:r>
    </w:p>
    <w:p>
      <w:pPr>
        <w:pStyle w:val="Heading2"/>
      </w:pPr>
      <w:r>
        <w:t xml:space="preserve">11.2 首日待落实事项</w:t>
      </w:r>
    </w:p>
    <w:p>
      <w:pPr>
        <w:pStyle w:val="Bullet"/>
      </w:pPr>
      <w:r>
        <w:t xml:space="preserve">• C确认实际文字／图片API、额度和费用；选择一个主接口。接口名称与模型型号在验证后补充。</w:t>
      </w:r>
    </w:p>
    <w:p>
      <w:pPr>
        <w:pStyle w:val="Bullet"/>
      </w:pPr>
      <w:r>
        <w:t xml:space="preserve">• LearnBuddy用于赛事指定的开发／创作过程，保留记录；后端推理可否调用自有DeepSeek尚需赛事方确认，二者不混同。</w:t>
      </w:r>
    </w:p>
    <w:p>
      <w:pPr>
        <w:pStyle w:val="Bullet"/>
      </w:pPr>
      <w:r>
        <w:t xml:space="preserve">• C确定Node.js托管环境，完成试部署；三人填入姓名，确认契约与分工。</w:t>
      </w:r>
    </w:p>
    <w:p>
      <w:pPr>
        <w:pStyle w:val="Normal"/>
      </w:pPr>
      <w:r>
        <w:t xml:space="preserve">9月26日23:59为手册截止时间；团队内部18:00前提交。由C一人代表提交并核查回执。跨专业与社交传播加分按实际情况决定，不挤占核心开发时间。</w:t>
      </w:r>
    </w:p>
    <w:p>
      <w:pPr>
        <w:pStyle w:val="Callout"/>
      </w:pPr>
      <w:r>
        <w:t xml:space="preserve">V1.1修订要点：前置依赖与补充流程升级为初赛重点；明确三类来源、外部授权、会话重置与边界测试；同步调整接口、三人任务及排期；AI追加练习移至后续。</w:t>
      </w:r>
    </w:p>
    <w:sectPr>
      <w:headerReference w:type="default" r:id="rId2"/>
      <w:footerReference w:type="default" r:id="rId3"/>
      <w:titlePg/>
      <w:pgSz w:w="11906" w:h="16838"/>
      <w:pgMar w:top="1100" w:right="1273" w:bottom="1100" w:left="1273" w:header="500" w:footer="5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7"/>
        <w:color w:val="75889A"/>
      </w:rPr>
      <w:t>微积分学伴  |  </w:t>
    </w:r>
    <w:fldSimple w:instr=" PAGE ">
      <w:r>
        <w:t>1</w:t>
      </w:r>
    </w:fldSimple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75889A"/>
        <w:sz w:val="17"/>
      </w:rPr>
      <w:t>微积分学伴  ·  项目说明书 V1.1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/>
        <w:sz w:val="21"/>
        <w:lang w:val="en-US" w:eastAsia="zh-CN"/>
        <w:color w:val="243447"/>
      </w:rPr>
    </w:rPrDefault>
    <w:pPrDefault>
      <w:pPr>
        <w:spacing w:after="120" w:line="310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360" w:after="240"/>
    </w:pPr>
    <w:rPr>
      <w:b/>
      <w:color w:val="173454"/>
      <w:sz w:val="64"/>
    </w:rPr>
  </w:style>
  <w:style w:type="paragraph" w:styleId="Subtitle">
    <w:name w:val="Subtitle"/>
    <w:basedOn w:val="Normal"/>
    <w:pPr>
      <w:spacing w:after="160"/>
    </w:pPr>
    <w:rPr>
      <w:color w:val="49647D"/>
      <w:sz w:val="26"/>
    </w:rPr>
  </w:style>
  <w:style w:type="paragraph" w:styleId="CoverLabel">
    <w:name w:val="CoverLabel"/>
    <w:basedOn w:val="Normal"/>
    <w:rPr>
      <w:b/>
      <w:color w:val="147D92"/>
      <w:sz w:val="30"/>
    </w:rPr>
  </w:style>
  <w:style w:type="paragraph" w:styleId="CoverText">
    <w:name w:val="CoverText"/>
    <w:basedOn w:val="Normal"/>
    <w:rPr>
      <w:sz w:val="24"/>
    </w:rPr>
  </w:style>
  <w:style w:type="paragraph" w:styleId="Heading1">
    <w:name w:val="heading 1"/>
    <w:basedOn w:val="Normal"/>
    <w:next w:val="Normal"/>
    <w:pPr>
      <w:keepNext/>
      <w:spacing w:before="100" w:after="260"/>
      <w:outlineLvl w:val="0"/>
      <w:pBdr>
        <w:bottom w:val="single" w:sz="12" w:space="10" w:color="147D92"/>
      </w:pBdr>
    </w:pPr>
    <w:rPr>
      <w:b/>
      <w:color w:val="173454"/>
      <w:sz w:val="34"/>
    </w:rPr>
  </w:style>
  <w:style w:type="paragraph" w:styleId="Heading2">
    <w:name w:val="heading 2"/>
    <w:basedOn w:val="Normal"/>
    <w:next w:val="Normal"/>
    <w:pPr>
      <w:keepNext/>
      <w:spacing w:before="180" w:after="100"/>
      <w:outlineLvl w:val="1"/>
    </w:pPr>
    <w:rPr>
      <w:b/>
      <w:color w:val="173454"/>
      <w:sz w:val="24"/>
    </w:rPr>
  </w:style>
  <w:style w:type="paragraph" w:styleId="Bullet">
    <w:name w:val="Bullet"/>
    <w:basedOn w:val="Normal"/>
    <w:pPr>
      <w:ind w:left="180" w:hanging="180"/>
      <w:spacing w:after="100"/>
    </w:pPr>
  </w:style>
  <w:style w:type="paragraph" w:styleId="TableText">
    <w:name w:val="TableText"/>
    <w:basedOn w:val="Normal"/>
    <w:pPr>
      <w:spacing w:after="30" w:line="270" w:lineRule="auto"/>
    </w:pPr>
    <w:rPr>
      <w:sz w:val="19"/>
    </w:rPr>
  </w:style>
  <w:style w:type="paragraph" w:styleId="Small">
    <w:name w:val="Small"/>
    <w:basedOn w:val="Normal"/>
    <w:rPr>
      <w:color w:val="596D80"/>
      <w:sz w:val="18"/>
    </w:rPr>
  </w:style>
  <w:style w:type="paragraph" w:styleId="Callout">
    <w:name w:val="Callout"/>
    <w:basedOn w:val="Normal"/>
    <w:pPr>
      <w:spacing w:before="90" w:after="150"/>
      <w:shd w:fill="EDF5F8"/>
    </w:pPr>
    <w:rPr>
      <w:b/>
      <w:color w:val="17345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微积分学伴——项目说明书</dc:title>
  <dc:subject>一元函数微分学多模态教学智能体</dc:subject>
  <dc:creator>项目团队</dc:creator>
  <dc:description>项目设计、三人分工、接口边界、每日排期、交付物及验收标准</dc:description>
  <dcterms:created xsi:type="dcterms:W3CDTF">2026-09-15T00:00:00Z</dcterms:created>
</cp:coreProperties>
</file>