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framePr w:w="0" w:wrap="auto" w:vAnchor="margin" w:hAnchor="text" w:yAlign="inline"/>
        <w:rPr>
          <w:rFonts w:ascii="Times New Roman" w:hAnsi="Times New Roman" w:eastAsia="Times New Roman" w:cs="Times New Roman"/>
          <w:sz w:val="24"/>
          <w:szCs w:val="24"/>
          <w:rtl w:val="0"/>
          <w:lang w:val="zh-TW" w:eastAsia="zh-TW"/>
        </w:rPr>
      </w:pPr>
      <w:r>
        <w:rPr>
          <w:rFonts w:hint="eastAsia" w:eastAsia="Times New Roman"/>
          <w:sz w:val="24"/>
          <w:szCs w:val="24"/>
          <w:rtl w:val="0"/>
          <w:lang w:val="zh-TW" w:eastAsia="zh-TW"/>
        </w:rPr>
        <w:t>本项目的许可证条款文件。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E04"/>
    <w:rsid w:val="00FF6E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 B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2017-11-26T02:20:00Z</dcterms:created>
  <dc:creator>xzl</dc:creator>
  <cp:lastModifiedBy>xzl</cp:lastModifiedBy>
  <dcterms:modified xsi:type="dcterms:W3CDTF">2017-11-26T02:20:35Z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