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xmlns="http://schemas.openxmlformats.org/package/2006/content-types"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jc w:val="center"/>
      </w:pPr>
      <w:r>
        <w:rPr>
          <w:b/>
          <w:color w:val="000000"/>
        </w:rPr>
        <w:t>计算机图形学</w:t>
      </w:r>
    </w:p>
    <w:p>
      <w:pPr>
        <w:pStyle w:val="ReportSubtitle"/>
        <w:jc w:val="center"/>
      </w:pPr>
      <w:r>
        <w:rPr>
          <w:b w:val="0"/>
          <w:color w:val="000000"/>
        </w:rPr>
        <w:t>课程作业 1 光栅化器</w:t>
      </w:r>
    </w:p>
    <w:p>
      <w:pPr>
        <w:pStyle w:val="ReportAuthor"/>
        <w:jc w:val="center"/>
      </w:pPr>
      <w:r>
        <w:rPr>
          <w:b w:val="0"/>
          <w:color w:val="000000"/>
        </w:rPr>
        <w:t>[姓名待填写-学号待填写]</w:t>
      </w:r>
    </w:p>
    <w:p>
      <w:pPr>
        <w:pStyle w:val="ReportHeading"/>
      </w:pPr>
      <w:r>
        <w:rPr>
          <w:b/>
          <w:color w:val="000000"/>
        </w:rPr>
        <w:t>一、概述</w:t>
      </w:r>
    </w:p>
    <w:p>
      <w:pPr>
        <w:pStyle w:val="ReportBody"/>
        <w:jc w:val="both"/>
      </w:pPr>
      <w:r>
        <w:rPr>
          <w:b w:val="0"/>
          <w:color w:val="000000"/>
        </w:rPr>
        <w:t>本作业在教师提供的 C++ 渲染框架中完成单色三角形、规则网格超采样、二维几何变换、质心颜色插值、像素纹理采样和 MipMap 层级采样。六项功能共用三角形覆盖判定和采样缓冲：SVG 中的局部顶点先转换到屏幕坐标，覆盖的子样本再按图元类型写入颜色，最后统一平均到 8-bit RGB 帧缓冲。</w:t>
      </w:r>
    </w:p>
    <w:p>
      <w:pPr>
        <w:pStyle w:val="ReportBody"/>
        <w:jc w:val="both"/>
      </w:pPr>
      <w:r>
        <w:rPr>
          <w:b w:val="0"/>
          <w:color w:val="000000"/>
        </w:rPr>
        <w:t xml:space="preserve">主要实现位于 </w:t>
      </w:r>
      <w:r>
        <w:rPr>
          <w:b/>
          <w:color w:val="000000"/>
        </w:rPr>
        <w:t>rasterizer.cpp、transforms.cpp 和 texture.cpp</w:t>
      </w:r>
      <w:r>
        <w:rPr>
          <w:b w:val="0"/>
          <w:color w:val="000000"/>
        </w:rPr>
        <w:t>。纹理像素采样支持最近邻与双线性，层级采样支持第 0 层、最近层和相邻层线性混合；P 与 L 可独立组合。</w:t>
      </w:r>
      <w:r>
        <w:rPr>
          <w:b/>
          <w:color w:val="000000"/>
        </w:rPr>
        <w:t>L_LINEAR 是本次任务 6 的必做内容</w:t>
      </w:r>
      <w:r>
        <w:rPr>
          <w:b w:val="0"/>
          <w:color w:val="000000"/>
        </w:rPr>
        <w:t>，其中与 P_LINEAR 的组合构成三线性过滤。</w:t>
      </w:r>
    </w:p>
    <w:p>
      <w:pPr>
        <w:pStyle w:val="ReportBody"/>
        <w:jc w:val="both"/>
      </w:pPr>
      <w:r>
        <w:rPr>
          <w:b w:val="0"/>
          <w:color w:val="000000"/>
        </w:rPr>
        <w:t>实现还修复了起始代码中采样率切换后缓冲大小不匹配、零长度线段处理及最粗 MipMap 层未生成的问题。Windows 工程提供 CMake 编译入口与 VSCode 配置，提交目录同时保留修改源码、可执行程序、报告、机器人 SVG、自备纹理 PNG 和对比图。</w:t>
      </w:r>
    </w:p>
    <w:p>
      <w:pPr>
        <w:pStyle w:val="ReportBody"/>
        <w:jc w:val="both"/>
      </w:pPr>
      <w:r>
        <w:rPr>
          <w:b w:val="0"/>
          <w:color w:val="000000"/>
        </w:rPr>
        <w:t>实验图由本机 OpenGL 4.6 隐藏窗口自动调用真实 P、L、=、Z、S 键盘回调得到，S 回调读取显示缓冲并保存 PNG。窗口分辨率统一为 800×800，不将自动采集写成人工操作经历。每像素样本数记为 spp：1、4、16 spp 分别对应 1×1、2×2、4×4 网格。</w:t>
      </w:r>
    </w:p>
    <w:p>
      <w:pPr>
        <w:pStyle w:val="ReportHeading"/>
        <w:pageBreakBefore/>
      </w:pPr>
      <w:r>
        <w:rPr>
          <w:b/>
          <w:color w:val="000000"/>
        </w:rPr>
        <w:t>二、绘制三角形</w:t>
      </w:r>
    </w:p>
    <w:p>
      <w:pPr>
        <w:pStyle w:val="ReportSubheading"/>
      </w:pPr>
      <w:r>
        <w:rPr>
          <w:b/>
          <w:color w:val="000000"/>
        </w:rPr>
        <w:t>2.1 像素中心与覆盖判定</w:t>
      </w:r>
    </w:p>
    <w:p>
      <w:pPr>
        <w:pStyle w:val="ReportBody"/>
        <w:jc w:val="both"/>
      </w:pPr>
      <w:r>
        <w:rPr>
          <w:b w:val="0"/>
          <w:color w:val="000000"/>
        </w:rPr>
        <w:t>三条边表示为 Eᵢ(x,y)=aᵢx+bᵢy+cᵢ。按有向面积统一方向，三个边函数都非负时计入覆盖，因而顺、逆时针顶点都正确。只遍历与屏幕相交的包围盒，1 spp 采样像素中心 (x+0.5,y+0.5)。</w:t>
      </w:r>
    </w:p>
    <w:p>
      <w:pPr>
        <w:pStyle w:val="ReportBody"/>
        <w:jc w:val="both"/>
      </w:pPr>
      <w:r>
        <w:rPr>
          <w:b w:val="0"/>
          <w:color w:val="000000"/>
        </w:rPr>
        <w:t>边界点包含在内，并允许浮点精度量级的极小容差，避免共享边白缝；退化三角形和非有限坐标直接跳过。</w:t>
      </w:r>
    </w:p>
    <w:p>
      <w:pPr>
        <w:pStyle w:val="ReportBody"/>
        <w:jc w:val="both"/>
      </w:pPr>
      <w:r>
        <w:rPr>
          <w:b w:val="0"/>
          <w:color w:val="000000"/>
        </w:rPr>
        <w:t>TriangleSetup 预计算系数和面积倒数，子采样行用 Eᵢ(x+Δx,y)=Eᵢ(x,y)+aᵢΔx 增量推进，减少重复算术。三类三角形共用覆盖遍历器，仅着色回调不同。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1" name="Picture 1" descr="triangle_defaul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defaul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2" name="Picture 2" descr="triangle_inspecto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inspec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2.1 basic/test4.svg，800×800，1 spp，默认视角。右图启用像素检查器，光标固定 (166,378)；整图确认填充，放大区域展示细三角形的阶梯边缘。</w:t>
      </w:r>
    </w:p>
    <w:p>
      <w:pPr>
        <w:pStyle w:val="ReportSubheading"/>
        <w:pageBreakBefore/>
      </w:pPr>
      <w:r>
        <w:rPr>
          <w:b/>
          <w:color w:val="000000"/>
        </w:rPr>
        <w:t>2.2 加分实现 方案演进</w:t>
      </w:r>
    </w:p>
    <w:p>
      <w:pPr>
        <w:pStyle w:val="ReportBody"/>
        <w:jc w:val="both"/>
      </w:pPr>
      <w:r>
        <w:rPr>
          <w:b w:val="0"/>
          <w:color w:val="000000"/>
        </w:rPr>
        <w:t>第一阶段保留直接求值的包围盒基线。每个候选样本都计算 aᵢx+bᵢy+cᵢ，并进行三边判断；它易于核对正确性，但高采样率会重复大量相同系数的计算。</w:t>
      </w:r>
    </w:p>
    <w:p>
      <w:pPr>
        <w:pStyle w:val="ReportBody"/>
        <w:jc w:val="both"/>
      </w:pPr>
      <w:r>
        <w:rPr>
          <w:b w:val="0"/>
          <w:color w:val="000000"/>
        </w:rPr>
        <w:t>第二阶段使用增量边函数。将系数和面积倒数移到三角形设置阶段，在每个像素的子样本行初始化一次边值，随后以加法推进。这个版本作为优化前的实际实现保留，不能用刻意放慢的基线代替它。</w:t>
      </w:r>
    </w:p>
    <w:p>
      <w:pPr>
        <w:pStyle w:val="ReportBody"/>
        <w:jc w:val="both"/>
      </w:pPr>
      <w:r>
        <w:rPr>
          <w:b w:val="0"/>
          <w:color w:val="000000"/>
        </w:rPr>
        <w:t xml:space="preserve">第三阶段增加 </w:t>
      </w:r>
      <w:r>
        <w:rPr>
          <w:b/>
          <w:color w:val="000000"/>
        </w:rPr>
        <w:t>SIMD 并行边函数</w:t>
      </w:r>
      <w:r>
        <w:rPr>
          <w:b w:val="0"/>
          <w:color w:val="000000"/>
        </w:rPr>
        <w:t>。AVX 的一个寄存器容纳四个 double，四个 lane 对应同一行四个相邻像素。每个 lane 仍按原有顺序遍历自己的规则子样本，三个比较结果相与得到覆盖 mask；只对命中的 lane 进行原有颜色或 UV 着色。不是将 double 改成 float，也没有把着色次数改成每像素一次。</w:t>
      </w:r>
    </w:p>
    <w:p>
      <w:pPr>
        <w:pStyle w:val="ReportBody"/>
        <w:jc w:val="both"/>
      </w:pPr>
      <w:r>
        <w:rPr>
          <w:b w:val="0"/>
          <w:color w:val="000000"/>
        </w:rPr>
        <w:t>AVX 函数独立使用 target 属性，启动后检测 CPU 与操作系统支持。缺少 AVX 时使用两 lane SSE2；其他平台走标量增量路径，行尾不足一组也走标量。禁用 CGL 原有的全局 AVX 自动开关，关闭浮点乘加收缩，使教师机器运行整个程序不以 AVX 为前提。</w:t>
      </w:r>
      <w:r>
        <w:rPr>
          <w:b/>
          <w:color w:val="000000"/>
        </w:rPr>
        <w:t>默认使用 SIMD 模式，B 键可循环切换三个阶段。</w:t>
      </w:r>
    </w:p>
    <w:p>
      <w:pPr>
        <w:pStyle w:val="ReportBody"/>
        <w:jc w:val="both"/>
      </w:pPr>
      <w:r>
        <w:rPr>
          <w:b w:val="0"/>
          <w:color w:val="000000"/>
        </w:rPr>
        <w:t>Pineda 的论文给出仿射边函数及并行求值的基础；2016 年的 SIMD 软件遮挡研究提供工程背景。本次没有移植遮挡剔除或深度算法，而是针对当前二维 SVG 的覆盖遍历组织向量运算。分块与扫描线方案经过调研后未采用，便于围绕同一问题比较算法演进。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5301217"/>
            <wp:docPr id="3" name="Picture 3" descr="triangle_setup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5301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2.2 三角形设置的实际源码片段。白底代码图从最终源码提取，行号与可复制文本保存在 docs/code-screenshots/。</w:t>
      </w: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4539419"/>
            <wp:docPr id="4" name="Picture 4" descr="triangle_traversa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travers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53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2.3 四 lane AVX 覆盖测试的实际源码。完整函数与后续片段见同目录源码图及 code/src/rasterizer.cpp。</w:t>
      </w: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4387060"/>
            <wp:docPr id="5" name="Picture 5" descr="triangle_traversal_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traversal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38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2.3 续图：将覆盖 mask 中命中的 lane 写入逐子样本缓冲，并处理不足四个像素的行尾。</w:t>
      </w:r>
    </w:p>
    <w:p>
      <w:pPr>
        <w:pStyle w:val="ReportSubheading"/>
        <w:pageBreakBefore/>
      </w:pPr>
      <w:r>
        <w:rPr>
          <w:b/>
          <w:color w:val="000000"/>
        </w:rPr>
        <w:t>2.3 正确性与性能评估</w:t>
      </w:r>
    </w:p>
    <w:p>
      <w:pPr>
        <w:pStyle w:val="ReportBody"/>
        <w:jc w:val="both"/>
      </w:pPr>
      <w:r>
        <w:rPr>
          <w:b w:val="0"/>
          <w:color w:val="000000"/>
        </w:rPr>
        <w:t>环境为 Windows x64、AMD Ryzen AI 7 H 350、GCC 15.1.0，RelWithDebInfo 和 -ffp-contract=off；本机选择 AVX 四路 double。固定种子 20261002，四组输入分别含 10 个大三角形、512 个亚像素至小尺寸三角形、12 个细长三角形、12 个越界裁剪三角形，并交替顶点方向。分辨率 512²、1024²，计时采样率 1、4、16 spp；预热 2 次，每种模式重复 11 次，轮换执行顺序，报告中位数。计时包括真实 rasterize 调用的设置、覆盖测试、单色着色与采样缓冲写入，</w:t>
      </w:r>
      <w:r>
        <w:rPr>
          <w:b/>
          <w:color w:val="000000"/>
        </w:rPr>
        <w:t>不包括清空、resolve、SVG 解析、窗口、CSV 或 PNG 导出</w:t>
      </w:r>
      <w:r>
        <w:rPr>
          <w:b w:val="0"/>
          <w:color w:val="000000"/>
        </w:rPr>
        <w:t>，不能将其称为程序整帧耗时。</w:t>
      </w:r>
    </w:p>
    <w:p>
      <w:pPr>
        <w:pStyle w:val="ReportBody"/>
        <w:jc w:val="both"/>
      </w:pPr>
      <w:r>
        <w:rPr>
          <w:b w:val="0"/>
          <w:color w:val="000000"/>
        </w:rPr>
        <w:t>独立 long-double 端点叉积判定在固定 24×24 校验窗口中核对 72 个边界、裁剪、退化和随机三角形，包含 1/4/9/16 spp 与三个内核，共 864 种配置；两个基准运行各核对一次，合计 1728 次，错误样本为 0。实际 512²/1024² 窗口中，单色、质心颜色及纹理三条管线合计 384 组对照，覆盖与最终 RGB 字节差异为 0，SIMD 相对增量版本的内部 float 颜色样本也完全同值。强制增量模式实际验证标量路径；当前 AVX 机器未模拟无 AVX 硬件，SSE2 回退的编译成功不等同于跨机器执行验证。</w:t>
      </w:r>
    </w:p>
    <w:p>
      <w:pPr>
        <w:pStyle w:val="ReportCaption"/>
        <w:jc w:val="center"/>
      </w:pPr>
      <w:r>
        <w:rPr>
          <w:b w:val="0"/>
          <w:color w:val="000000"/>
        </w:rPr>
        <w:t>表 2.1 任务一主结果，1 spp。相对增量 = 增量中位耗时 / SIMD 中位耗时，超过 1 表示加速。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296"/>
        <w:gridCol w:w="1296"/>
        <w:gridCol w:w="1512"/>
        <w:gridCol w:w="1512"/>
        <w:gridCol w:w="1512"/>
        <w:gridCol w:w="1296"/>
      </w:tblGrid>
      <w:tr>
        <w:trPr>
          <w:tblHeader/>
        </w:trPr>
        <w:tc>
          <w:tcPr>
            <w:tcW w:type="dxa" w:w="1296"/>
            <w:vAlign w:val="center"/>
            <w:shd w:fill="F2F2F2"/>
          </w:tcPr>
          <w:p>
            <w:pPr>
              <w:pStyle w:val="ReportTable"/>
              <w:jc w:val="left"/>
            </w:pPr>
            <w:r>
              <w:rPr>
                <w:b/>
                <w:color w:val="000000"/>
              </w:rPr>
              <w:t>场景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pStyle w:val="ReportTable"/>
              <w:jc w:val="left"/>
            </w:pPr>
            <w:r>
              <w:rPr>
                <w:b/>
                <w:color w:val="000000"/>
              </w:rPr>
              <w:t>分辨率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pStyle w:val="ReportTable"/>
              <w:jc w:val="right"/>
            </w:pPr>
            <w:r>
              <w:rPr>
                <w:b/>
                <w:color w:val="000000"/>
              </w:rPr>
              <w:t>直接/ms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pStyle w:val="ReportTable"/>
              <w:jc w:val="right"/>
            </w:pPr>
            <w:r>
              <w:rPr>
                <w:b/>
                <w:color w:val="000000"/>
              </w:rPr>
              <w:t>增量/ms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pStyle w:val="ReportTable"/>
              <w:jc w:val="right"/>
            </w:pPr>
            <w:r>
              <w:rPr>
                <w:b/>
                <w:color w:val="000000"/>
              </w:rPr>
              <w:t>SIMD/ms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pStyle w:val="ReportTable"/>
              <w:jc w:val="right"/>
            </w:pPr>
            <w:r>
              <w:rPr>
                <w:b/>
                <w:color w:val="000000"/>
              </w:rPr>
              <w:t>相对增量</w:t>
            </w:r>
          </w:p>
        </w:tc>
      </w:tr>
      <w:tr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大面积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512²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5.7067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6.3670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3.7079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1.72×</w:t>
            </w:r>
          </w:p>
        </w:tc>
      </w:tr>
      <w:tr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小三角形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512²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0.0420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0.0406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0.0498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0.82×</w:t>
            </w:r>
          </w:p>
        </w:tc>
      </w:tr>
      <w:tr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细长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512²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9.7232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10.7194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5.0770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2.11×</w:t>
            </w:r>
          </w:p>
        </w:tc>
      </w:tr>
      <w:tr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裁剪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512²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9.7943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10.5884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6.3410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1.67×</w:t>
            </w:r>
          </w:p>
        </w:tc>
      </w:tr>
      <w:tr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大面积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1024²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29.3161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31.5610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19.3601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1.63×</w:t>
            </w:r>
          </w:p>
        </w:tc>
      </w:tr>
      <w:tr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小三角形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1024²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0.0539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0.0621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0.0684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0.91×</w:t>
            </w:r>
          </w:p>
        </w:tc>
      </w:tr>
      <w:tr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细长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1024²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41.4859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48.0910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25.1230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1.91×</w:t>
            </w:r>
          </w:p>
        </w:tc>
      </w:tr>
      <w:tr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裁剪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1024²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54.4473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59.6680</w:t>
            </w:r>
          </w:p>
        </w:tc>
        <w:tc>
          <w:tcPr>
            <w:tcW w:type="dxa" w:w="151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37.3478</w:t>
            </w:r>
          </w:p>
        </w:tc>
        <w:tc>
          <w:tcPr>
            <w:tcW w:type="dxa" w:w="1296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1.60×</w:t>
            </w:r>
          </w:p>
        </w:tc>
      </w:tr>
    </w:tbl>
    <w:p>
      <w:pPr>
        <w:pStyle w:val="ReportBody"/>
        <w:spacing w:after="60"/>
        <w:jc w:val="both"/>
      </w:pP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2042922"/>
            <wp:docPr id="6" name="Picture 6" descr="simd_speedup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d_speed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2042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2.4 两分辨率、1/4/16 spp 的 SIMD 相对增量加速比；虚线为 1。数据来自实际 chrono 测量，柱顶给出数值，完整 p10/p90、极值与逐次耗时保存在 verification/performance/。</w:t>
      </w:r>
    </w:p>
    <w:p>
      <w:pPr>
        <w:pStyle w:val="ReportBody"/>
        <w:jc w:val="both"/>
      </w:pPr>
      <w:r>
        <w:rPr>
          <w:b w:val="0"/>
          <w:color w:val="000000"/>
        </w:rPr>
        <w:t>大三角形、细长及裁剪场景提供足够多的相邻位置，向量算术与覆盖 mask 减少标量比较开销。</w:t>
      </w:r>
      <w:r>
        <w:rPr>
          <w:b/>
          <w:color w:val="000000"/>
        </w:rPr>
        <w:t>小三角形可出现退化</w:t>
      </w:r>
      <w:r>
        <w:rPr>
          <w:b w:val="0"/>
          <w:color w:val="000000"/>
        </w:rPr>
        <w:t>：较短的行很快落入标量尾部，向量设置、调度与条件散写无法摊薄；该输入的总时间也很短，更易受计时噪声影响。1 spp 时没有像素内部的增量推进收益，增量阶段本身未必比直接求值快，因此必须保留两个实际基准，不能把每一步演进都写成必然加速。</w:t>
      </w:r>
    </w:p>
    <w:p>
      <w:pPr>
        <w:pStyle w:val="ReportBody"/>
        <w:jc w:val="left"/>
      </w:pPr>
      <w:r>
        <w:rPr>
          <w:b w:val="0"/>
          <w:color w:val="000000"/>
        </w:rPr>
        <w:t>此 SIMD 实现保持逐样本着色，改善的是覆盖计算，未解决 AoS 颜色散写或纹理读取带宽。收益依赖几何、采样率、CPU 与编译器，不沿用文献的加速数字。原始几何、校验、计时和源码哈希全部保留，可通过 scripts/benchmark_simd.py --run 重现。</w:t>
      </w:r>
    </w:p>
    <w:p>
      <w:pPr>
        <w:pStyle w:val="ReportHeading"/>
        <w:pageBreakBefore/>
      </w:pPr>
      <w:r>
        <w:rPr>
          <w:b/>
          <w:color w:val="000000"/>
        </w:rPr>
        <w:t>三、基于超采样的反走样算法</w:t>
      </w:r>
    </w:p>
    <w:p>
      <w:pPr>
        <w:pStyle w:val="ReportSubheading"/>
      </w:pPr>
      <w:r>
        <w:rPr>
          <w:b/>
          <w:color w:val="000000"/>
        </w:rPr>
        <w:t>3.1 规则网格与缓冲布局</w:t>
      </w:r>
    </w:p>
    <w:p>
      <w:pPr>
        <w:pStyle w:val="ReportBody"/>
        <w:jc w:val="both"/>
      </w:pPr>
      <w:r>
        <w:rPr>
          <w:b w:val="0"/>
          <w:color w:val="000000"/>
        </w:rPr>
        <w:t>令 S=sample_rate、n=√S。每个像素的 n×n 子样本均匀分布在小格中心，第 (sx,sy) 个样本的位置为 x+(sx+0.5)/n、y+(sy+0.5)/n。规则网格是本次作业要求的超采样方法；不以非规则样本或仅覆盖率统计替代它。</w:t>
      </w:r>
    </w:p>
    <w:p>
      <w:pPr>
        <w:pStyle w:val="ReportBody"/>
        <w:jc w:val="both"/>
      </w:pPr>
      <w:r>
        <w:rPr>
          <w:b w:val="0"/>
          <w:color w:val="000000"/>
        </w:rPr>
        <w:t>sample_buffer 将每个像素的 S 个 Color 连续存储，像素按行优先排列，子样本也按行优先排列。因此索引为 (y×width+x)×S+sy×n+sx。构造、set_sample_rate 和 set_framebuffer_target 都按 width×height×S 分配；采样率必须是正的平方数，尺寸计算检查溢出。</w:t>
      </w:r>
    </w:p>
    <w:p>
      <w:pPr>
        <w:pStyle w:val="ReportBody"/>
        <w:jc w:val="both"/>
      </w:pPr>
      <w:r>
        <w:rPr>
          <w:b w:val="0"/>
          <w:color w:val="000000"/>
        </w:rPr>
        <w:t>每帧开始将帧缓冲和采样缓冲清为白色。三角形仅改写命中的子样本；点和线通过 fill_pixel 把对应像素的所有子样本写为同色，使原有轮廓在提高采样率后仍可见。所有图元完成后，resolve_to_framebuffer 对同一像素的 S 个颜色求均值，再夹到 [0,1] 并四舍五入为 0–255。</w:t>
      </w:r>
    </w:p>
    <w:p>
      <w:pPr>
        <w:pStyle w:val="ReportBody"/>
        <w:jc w:val="both"/>
      </w:pPr>
      <w:r>
        <w:rPr>
          <w:b w:val="0"/>
          <w:color w:val="000000"/>
        </w:rPr>
        <w:t>与直接写最终像素相比，这一管线保留了图元之间的逐子样本覆盖关系。边缘像素的最终颜色由被覆盖样本比例决定。例如白底上的红三角形覆盖 16 个样本中的 8 个，平均得到红色与白色各半的颜色，而不是整像素突然在红白之间跳变。</w:t>
      </w:r>
    </w:p>
    <w:p>
      <w:pPr>
        <w:pStyle w:val="ReportBody"/>
        <w:jc w:val="both"/>
      </w:pPr>
      <w:r>
        <w:rPr>
          <w:b/>
          <w:color w:val="000000"/>
        </w:rPr>
        <w:t>缓冲空间为 width×height×S×sizeof(Color)，相对于每像素样本数 S 线性增长。</w:t>
      </w:r>
      <w:r>
        <w:rPr>
          <w:b w:val="0"/>
          <w:color w:val="000000"/>
        </w:rPr>
        <w:t>若只存一个累计颜色，后续遮挡图元便无法知道哪些子样本已被覆盖；分块或瓦片缓冲可以节约峰值内存，但要重新组织绘制顺序与 resolve。</w:t>
      </w: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22543" cy="1722543"/>
            <wp:docPr id="7" name="Picture 7" descr="ssaa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inspec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22543" cy="1722543"/>
            <wp:docPr id="8" name="Picture 8" descr="ssaa_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aa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22543" cy="1722543"/>
            <wp:docPr id="9" name="Picture 9" descr="ssaa_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aa_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3.1 basic/test4.svg，800×800，默认视角，1、4、16 spp 并排比较。三图都启用像素检查器，光标固定 (166,378)，分别使用 1×1、2×2、4×4 子样本网格。</w:t>
      </w:r>
    </w:p>
    <w:p>
      <w:pPr>
        <w:pStyle w:val="ReportSubheading"/>
      </w:pPr>
      <w:r>
        <w:rPr>
          <w:b/>
          <w:color w:val="000000"/>
        </w:rPr>
        <w:t>3.2 观察与代价</w:t>
      </w:r>
    </w:p>
    <w:p>
      <w:pPr>
        <w:pStyle w:val="ReportBody"/>
        <w:jc w:val="both"/>
      </w:pPr>
      <w:r>
        <w:rPr>
          <w:b w:val="0"/>
          <w:color w:val="000000"/>
        </w:rPr>
        <w:t>1 spp 只有一个“命中或未命中”的判断，斜边形成明显台阶，细尖角也容易断续。4 spp 提供五档覆盖比例，边缘开始出现过渡；16 spp 提供十七档覆盖比例，细三角形的变化更连续。这里比较的是固定几何与固定视角下的采样密度，并非把不同缩放造成的视觉变化归于抗锯齿。</w:t>
      </w:r>
    </w:p>
    <w:p>
      <w:pPr>
        <w:pStyle w:val="ReportBody"/>
        <w:jc w:val="both"/>
      </w:pPr>
      <w:r>
        <w:rPr>
          <w:b w:val="0"/>
          <w:color w:val="000000"/>
        </w:rPr>
        <w:t>更高采样率同时提高覆盖测试、颜色插值、纹理过滤和 resolve 的工作量。规则网格仍是有限采样，对于比子格更细的高频结构可能留下走样；超采样改善误差，并不保证所有场景都完全没有锯齿。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3929981"/>
            <wp:docPr id="10" name="Picture 10" descr="sample_buffer_resolv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buffer_resol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92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3.2 采样缓冲平均与 8-bit 输出的实际源码。16 spp 对应 4×4 网格，不能与 16×16 混用。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3777621"/>
            <wp:docPr id="11" name="Picture 11" descr="sample_buffer_resolve_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buffer_resolve_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777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3.2 续图：完成样本平均、夹取与舍入。采样率改变和窗口 resize 使用相同缓冲布局。</w:t>
      </w:r>
    </w:p>
    <w:p>
      <w:pPr>
        <w:pStyle w:val="ReportSubheading"/>
        <w:pageBreakBefore/>
      </w:pPr>
      <w:r>
        <w:rPr>
          <w:b/>
          <w:color w:val="000000"/>
        </w:rPr>
        <w:t>3.3 扩展实验 解析覆盖率</w:t>
      </w:r>
    </w:p>
    <w:p>
      <w:pPr>
        <w:pStyle w:val="ReportBody"/>
        <w:jc w:val="both"/>
      </w:pPr>
      <w:r>
        <w:rPr>
          <w:b w:val="0"/>
          <w:color w:val="000000"/>
        </w:rPr>
        <w:t xml:space="preserve">除必做规则 SSAA 外，增加可通过 </w:t>
      </w:r>
      <w:r>
        <w:rPr>
          <w:b/>
          <w:color w:val="000000"/>
        </w:rPr>
        <w:t>A 键切换的解析覆盖率模式</w:t>
      </w:r>
      <w:r>
        <w:rPr>
          <w:b w:val="0"/>
          <w:color w:val="000000"/>
        </w:rPr>
        <w:t>。对单位像素方格 P 与三角形 T 求交，多边形面积 A=area(P∩T) 就是 box filter 下的几何覆盖率。使用半平面连续裁剪求交集，叉积累计面积及一阶矩求质心；几何运算使用 double，不依赖规则子样本是否恰好击中细尖角。</w:t>
      </w:r>
    </w:p>
    <w:p>
      <w:pPr>
        <w:pStyle w:val="ReportBody"/>
        <w:jc w:val="both"/>
      </w:pPr>
      <w:r>
        <w:rPr>
          <w:b w:val="0"/>
          <w:color w:val="000000"/>
        </w:rPr>
        <w:t>白底上单色图形的像素颜色为 A×C+(1−A)×白色。但若直接对每个三角形独立执行这条混色公式，两块拼成矩形的三角形会在内部对角线上出现接缝，重叠图元也会将被遮挡的颜色混入结果。</w:t>
      </w:r>
      <w:r>
        <w:rPr>
          <w:b/>
          <w:color w:val="000000"/>
        </w:rPr>
        <w:t>因此，本实现先求可见区域，再对颜色积分。</w:t>
      </w:r>
    </w:p>
    <w:p>
      <w:pPr>
        <w:pStyle w:val="ReportBody"/>
        <w:jc w:val="both"/>
      </w:pPr>
      <w:r>
        <w:rPr>
          <w:b w:val="0"/>
          <w:color w:val="000000"/>
        </w:rPr>
        <w:t>按图元绘制顺序从后向前处理，初始“尚未覆盖区域”为整个像素方格。当前三角形与它求交，贡献可见子区域的颜色；随后将三角形从尚未覆盖区域中扣除。剩余区域继续与前面的图元求交，最后剩余面积显示白色背景。凸区域相减沿三条边分解为互不重叠的子多边形，允许同一像素含多个分离区域。这保留了不透明图元的覆盖关系，也正确处理 SVG 多边形内部的三角剖分共享边。</w:t>
      </w:r>
    </w:p>
    <w:p>
      <w:pPr>
        <w:pStyle w:val="ReportBody"/>
        <w:jc w:val="both"/>
      </w:pPr>
      <w:r>
        <w:rPr>
          <w:b w:val="0"/>
          <w:color w:val="000000"/>
        </w:rPr>
        <w:t>对于常量色，面积乘颜色就是精确积分。对于仿射 RGB 插值，区域均值等于在该可见区域质心处的颜色，因此面积与质心也足以积分。</w:t>
      </w:r>
      <w:r>
        <w:rPr>
          <w:b/>
          <w:color w:val="000000"/>
        </w:rPr>
        <w:t>纹理在可见子区域质心处取样，其几何覆盖精确，但纹理积分是近似</w:t>
      </w:r>
      <w:r>
        <w:rPr>
          <w:b w:val="0"/>
          <w:color w:val="000000"/>
        </w:rPr>
        <w:t>；不能把它写为任意纹理都精确。点与线保留原作业允许的整像素处理，细线实验使用狭长填充三角形，不声称一般 stroke 已实现解析抗锯齿。透明度和一般 SVG 曲线路径也不在本次扩展范围。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3777621"/>
            <wp:docPr id="12" name="Picture 12" descr="analytic_clip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_cli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777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3.3 半平面裁剪源码：与像素方格求交，通过面积计算连续覆盖率。</w:t>
      </w: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3929981"/>
            <wp:docPr id="13" name="Picture 13" descr="analytic_visibilit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_visi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92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3.4 可见区域积分源码：按绘制顺序扣除遮挡，累计面积与颜色。</w:t>
      </w: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3929981"/>
            <wp:docPr id="14" name="Picture 14" descr="analytic_visibility_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_visibility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92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3.4 续图：扣除已经可见的区域，将剩余白底面积计入最终颜色。</w:t>
      </w:r>
    </w:p>
    <w:p>
      <w:pPr>
        <w:pStyle w:val="ReportSubheading"/>
        <w:pageBreakBefore/>
      </w:pPr>
      <w:r>
        <w:rPr>
          <w:b/>
          <w:color w:val="000000"/>
        </w:rPr>
        <w:t>3.4 画质与成本评估</w:t>
      </w:r>
    </w:p>
    <w:p>
      <w:pPr>
        <w:pStyle w:val="ReportBody"/>
        <w:jc w:val="both"/>
      </w:pPr>
      <w:r>
        <w:rPr>
          <w:b w:val="0"/>
          <w:color w:val="000000"/>
        </w:rPr>
        <w:t>20 项解析检查通过，含手算半像素、顺逆时针、零面积、0.01 像素面积的细三角形、大片坐标稳定性、共享边无缝、不透明重叠顺序、仿射 RGB 质心积分、边界裁剪、末像素线段、清空及 resize 安全性。对于单位直角三角形，面积 0.5，黑白平均得到 128；对于 RGB 三顶点，覆盖区域质心处三色各 1/3，乘面积后加白底得到每通道 170。</w:t>
      </w:r>
    </w:p>
    <w:p>
      <w:pPr>
        <w:pStyle w:val="ReportBody"/>
        <w:jc w:val="both"/>
      </w:pPr>
      <w:r>
        <w:rPr>
          <w:b w:val="0"/>
          <w:color w:val="000000"/>
        </w:rPr>
        <w:t>数值对比使用 96×96 帧缓冲、五个固定场景和四种模式（1/4/16 spp SSAA、解析覆盖率）。参考程序独立在每像素 64×64 中心网格上直接查找最后覆盖的三角形并着色，</w:t>
      </w:r>
      <w:r>
        <w:rPr>
          <w:b/>
          <w:color w:val="000000"/>
        </w:rPr>
        <w:t>4096 spp 参考仍是有限采样，不能称为数学真值</w:t>
      </w:r>
      <w:r>
        <w:rPr>
          <w:b w:val="0"/>
          <w:color w:val="000000"/>
        </w:rPr>
        <w:t>。误差用相对参考的全图 RGB 平均绝对误差 MAE，单位为 0–255 通道值。解析几何的舍入及参考采样误差使 MAE 不必恰为零。</w:t>
      </w:r>
    </w:p>
    <w:p>
      <w:pPr>
        <w:pStyle w:val="ReportCaption"/>
        <w:jc w:val="center"/>
      </w:pPr>
      <w:r>
        <w:rPr>
          <w:b w:val="0"/>
          <w:color w:val="000000"/>
        </w:rPr>
        <w:t>表 3.1 画质与耗时；MAE 越小越接近独立数值参考。耗时含 clear、提交图元及 resolve，2 次预热、11 次重复、中位数；与表 2.1 的覆盖计时范围不同，不能直接横向比较。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32"/>
        <w:gridCol w:w="1720"/>
        <w:gridCol w:w="1892"/>
        <w:gridCol w:w="1032"/>
        <w:gridCol w:w="1720"/>
        <w:gridCol w:w="1032"/>
      </w:tblGrid>
      <w:tr>
        <w:trPr>
          <w:tblHeader/>
        </w:trPr>
        <w:tc>
          <w:tcPr>
            <w:tcW w:type="dxa" w:w="1032"/>
            <w:vAlign w:val="center"/>
            <w:shd w:fill="F2F2F2"/>
          </w:tcPr>
          <w:p>
            <w:pPr>
              <w:pStyle w:val="ReportTable"/>
              <w:jc w:val="left"/>
            </w:pPr>
            <w:r>
              <w:rPr>
                <w:b/>
                <w:color w:val="000000"/>
              </w:rPr>
              <w:t>场景</w:t>
            </w:r>
          </w:p>
        </w:tc>
        <w:tc>
          <w:tcPr>
            <w:tcW w:type="dxa" w:w="1720"/>
            <w:vAlign w:val="center"/>
            <w:shd w:fill="F2F2F2"/>
          </w:tcPr>
          <w:p>
            <w:pPr>
              <w:pStyle w:val="ReportTable"/>
              <w:jc w:val="right"/>
            </w:pPr>
            <w:r>
              <w:rPr>
                <w:b/>
                <w:color w:val="000000"/>
              </w:rPr>
              <w:t>SSAA 1 MAE</w:t>
            </w:r>
          </w:p>
        </w:tc>
        <w:tc>
          <w:tcPr>
            <w:tcW w:type="dxa" w:w="1892"/>
            <w:vAlign w:val="center"/>
            <w:shd w:fill="F2F2F2"/>
          </w:tcPr>
          <w:p>
            <w:pPr>
              <w:pStyle w:val="ReportTable"/>
              <w:jc w:val="right"/>
            </w:pPr>
            <w:r>
              <w:rPr>
                <w:b/>
                <w:color w:val="000000"/>
              </w:rPr>
              <w:t>SSAA 16 MAE</w:t>
            </w:r>
          </w:p>
        </w:tc>
        <w:tc>
          <w:tcPr>
            <w:tcW w:type="dxa" w:w="1032"/>
            <w:vAlign w:val="center"/>
            <w:shd w:fill="F2F2F2"/>
          </w:tcPr>
          <w:p>
            <w:pPr>
              <w:pStyle w:val="ReportTable"/>
              <w:jc w:val="right"/>
            </w:pPr>
            <w:r>
              <w:rPr>
                <w:b/>
                <w:color w:val="000000"/>
              </w:rPr>
              <w:t>解析 MAE</w:t>
            </w:r>
          </w:p>
        </w:tc>
        <w:tc>
          <w:tcPr>
            <w:tcW w:type="dxa" w:w="1720"/>
            <w:vAlign w:val="center"/>
            <w:shd w:fill="F2F2F2"/>
          </w:tcPr>
          <w:p>
            <w:pPr>
              <w:pStyle w:val="ReportTable"/>
              <w:jc w:val="right"/>
            </w:pPr>
            <w:r>
              <w:rPr>
                <w:b/>
                <w:color w:val="000000"/>
              </w:rPr>
              <w:t>SSAA 16/ms</w:t>
            </w:r>
          </w:p>
        </w:tc>
        <w:tc>
          <w:tcPr>
            <w:tcW w:type="dxa" w:w="1032"/>
            <w:vAlign w:val="center"/>
            <w:shd w:fill="F2F2F2"/>
          </w:tcPr>
          <w:p>
            <w:pPr>
              <w:pStyle w:val="ReportTable"/>
              <w:jc w:val="right"/>
            </w:pPr>
            <w:r>
              <w:rPr>
                <w:b/>
                <w:color w:val="000000"/>
              </w:rPr>
              <w:t>解析/ms</w:t>
            </w:r>
          </w:p>
        </w:tc>
      </w:tr>
      <w:tr>
        <w:tc>
          <w:tcPr>
            <w:tcW w:type="dxa" w:w="1032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斜边</w:t>
            </w:r>
          </w:p>
        </w:tc>
        <w:tc>
          <w:tcPr>
            <w:tcW w:type="dxa" w:w="1720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1.7180</w:t>
            </w:r>
          </w:p>
        </w:tc>
        <w:tc>
          <w:tcPr>
            <w:tcW w:type="dxa" w:w="189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0.1998</w:t>
            </w:r>
          </w:p>
        </w:tc>
        <w:tc>
          <w:tcPr>
            <w:tcW w:type="dxa" w:w="103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0.0084</w:t>
            </w:r>
          </w:p>
        </w:tc>
        <w:tc>
          <w:tcPr>
            <w:tcW w:type="dxa" w:w="1720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0.205</w:t>
            </w:r>
          </w:p>
        </w:tc>
        <w:tc>
          <w:tcPr>
            <w:tcW w:type="dxa" w:w="103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2.002</w:t>
            </w:r>
          </w:p>
        </w:tc>
      </w:tr>
      <w:tr>
        <w:tc>
          <w:tcPr>
            <w:tcW w:type="dxa" w:w="1032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细三角形</w:t>
            </w:r>
          </w:p>
        </w:tc>
        <w:tc>
          <w:tcPr>
            <w:tcW w:type="dxa" w:w="1720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0.3288</w:t>
            </w:r>
          </w:p>
        </w:tc>
        <w:tc>
          <w:tcPr>
            <w:tcW w:type="dxa" w:w="189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0.0973</w:t>
            </w:r>
          </w:p>
        </w:tc>
        <w:tc>
          <w:tcPr>
            <w:tcW w:type="dxa" w:w="103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0.0037</w:t>
            </w:r>
          </w:p>
        </w:tc>
        <w:tc>
          <w:tcPr>
            <w:tcW w:type="dxa" w:w="1720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0.155</w:t>
            </w:r>
          </w:p>
        </w:tc>
        <w:tc>
          <w:tcPr>
            <w:tcW w:type="dxa" w:w="103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0.813</w:t>
            </w:r>
          </w:p>
        </w:tc>
      </w:tr>
      <w:tr>
        <w:tc>
          <w:tcPr>
            <w:tcW w:type="dxa" w:w="1032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共享边</w:t>
            </w:r>
          </w:p>
        </w:tc>
        <w:tc>
          <w:tcPr>
            <w:tcW w:type="dxa" w:w="1720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1.9258</w:t>
            </w:r>
          </w:p>
        </w:tc>
        <w:tc>
          <w:tcPr>
            <w:tcW w:type="dxa" w:w="189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0.2865</w:t>
            </w:r>
          </w:p>
        </w:tc>
        <w:tc>
          <w:tcPr>
            <w:tcW w:type="dxa" w:w="103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0.0083</w:t>
            </w:r>
          </w:p>
        </w:tc>
        <w:tc>
          <w:tcPr>
            <w:tcW w:type="dxa" w:w="1720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0.242</w:t>
            </w:r>
          </w:p>
        </w:tc>
        <w:tc>
          <w:tcPr>
            <w:tcW w:type="dxa" w:w="103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2.493</w:t>
            </w:r>
          </w:p>
        </w:tc>
      </w:tr>
      <w:tr>
        <w:tc>
          <w:tcPr>
            <w:tcW w:type="dxa" w:w="1032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重叠</w:t>
            </w:r>
          </w:p>
        </w:tc>
        <w:tc>
          <w:tcPr>
            <w:tcW w:type="dxa" w:w="1720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1.8866</w:t>
            </w:r>
          </w:p>
        </w:tc>
        <w:tc>
          <w:tcPr>
            <w:tcW w:type="dxa" w:w="189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0.2450</w:t>
            </w:r>
          </w:p>
        </w:tc>
        <w:tc>
          <w:tcPr>
            <w:tcW w:type="dxa" w:w="103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0.0094</w:t>
            </w:r>
          </w:p>
        </w:tc>
        <w:tc>
          <w:tcPr>
            <w:tcW w:type="dxa" w:w="1720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0.271</w:t>
            </w:r>
          </w:p>
        </w:tc>
        <w:tc>
          <w:tcPr>
            <w:tcW w:type="dxa" w:w="103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2.772</w:t>
            </w:r>
          </w:p>
        </w:tc>
      </w:tr>
      <w:tr>
        <w:tc>
          <w:tcPr>
            <w:tcW w:type="dxa" w:w="1032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插值及裁剪</w:t>
            </w:r>
          </w:p>
        </w:tc>
        <w:tc>
          <w:tcPr>
            <w:tcW w:type="dxa" w:w="1720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1.2036</w:t>
            </w:r>
          </w:p>
        </w:tc>
        <w:tc>
          <w:tcPr>
            <w:tcW w:type="dxa" w:w="189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0.2689</w:t>
            </w:r>
          </w:p>
        </w:tc>
        <w:tc>
          <w:tcPr>
            <w:tcW w:type="dxa" w:w="103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0.1381</w:t>
            </w:r>
          </w:p>
        </w:tc>
        <w:tc>
          <w:tcPr>
            <w:tcW w:type="dxa" w:w="1720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0.412</w:t>
            </w:r>
          </w:p>
        </w:tc>
        <w:tc>
          <w:tcPr>
            <w:tcW w:type="dxa" w:w="1032"/>
            <w:vAlign w:val="center"/>
          </w:tcPr>
          <w:p>
            <w:pPr>
              <w:pStyle w:val="ReportTable"/>
              <w:jc w:val="right"/>
            </w:pPr>
            <w:r>
              <w:rPr>
                <w:b w:val="0"/>
                <w:color w:val="000000"/>
              </w:rPr>
              <w:t>2.713</w:t>
            </w:r>
          </w:p>
        </w:tc>
      </w:tr>
    </w:tbl>
    <w:p>
      <w:pPr>
        <w:pStyle w:val="ReportBody"/>
        <w:spacing w:after="60"/>
        <w:jc w:val="both"/>
      </w:pPr>
    </w:p>
    <w:p>
      <w:pPr>
        <w:pStyle w:val="ReportBody"/>
        <w:jc w:val="both"/>
      </w:pPr>
      <w:r>
        <w:rPr>
          <w:b w:val="0"/>
          <w:color w:val="000000"/>
        </w:rPr>
        <w:t>解析覆盖率能保留未击中任何规则样本的细几何，并在共享边与重叠处按可见区域积分。代价是像素内多边形裁剪、分裂、面积矩和临时分配；本实现重视可核对的正确性，不将解析模式宣称为实时速度优势。复杂重叠会增加碎片数量，后续可加入全覆盖快速路径和固定容量临时多边形存储。</w:t>
      </w: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5651438"/>
            <wp:docPr id="15" name="Picture 15" descr="aa_comparis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65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3.5 四类几何场景，从左到右为 SSAA 1、SSAA 16、解析面积和独立 4096 spp 参考。图由实际 96×96 framebuffer PNG 进行 4 倍最近邻放大，方便检查像素；这是数值实验图，不是 GUI 截图。</w:t>
      </w: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16" name="Picture 16" descr="aa_gui_ssa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_gui_ssa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17" name="Picture 17" descr="aa_gui_analy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_gui_analyt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3.6 自建 docs/analytic_demo.svg，800×800、相同默认视角，左为 1 spp SSAA，右为 A 键解析模式。通过隐藏 GLFW 窗口的真实 A/S 回调取得无损 PNG，参数与 GL 检查记录在 verification/aa/gui-captures.json。</w:t>
      </w:r>
    </w:p>
    <w:p>
      <w:pPr>
        <w:pStyle w:val="ReportCaption"/>
        <w:jc w:val="center"/>
      </w:pPr>
      <w:r>
        <w:rPr>
          <w:b w:val="0"/>
          <w:color w:val="000000"/>
        </w:rPr>
        <w:t>表 3.2 96×96 单独渲染器的持久存储比较。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311"/>
        <w:gridCol w:w="3558"/>
        <w:gridCol w:w="3558"/>
      </w:tblGrid>
      <w:tr>
        <w:trPr>
          <w:tblHeader/>
        </w:trPr>
        <w:tc>
          <w:tcPr>
            <w:tcW w:type="dxa" w:w="1311"/>
            <w:vAlign w:val="center"/>
            <w:shd w:fill="F2F2F2"/>
          </w:tcPr>
          <w:p>
            <w:pPr>
              <w:pStyle w:val="ReportTable"/>
              <w:jc w:val="left"/>
            </w:pPr>
            <w:r>
              <w:rPr>
                <w:b/>
                <w:color w:val="000000"/>
              </w:rPr>
              <w:t>模式</w:t>
            </w:r>
          </w:p>
        </w:tc>
        <w:tc>
          <w:tcPr>
            <w:tcW w:type="dxa" w:w="3558"/>
            <w:vAlign w:val="center"/>
            <w:shd w:fill="F2F2F2"/>
          </w:tcPr>
          <w:p>
            <w:pPr>
              <w:pStyle w:val="ReportTable"/>
              <w:jc w:val="left"/>
            </w:pPr>
            <w:r>
              <w:rPr>
                <w:b/>
                <w:color w:val="000000"/>
              </w:rPr>
              <w:t>持久几何或样本存储</w:t>
            </w:r>
          </w:p>
        </w:tc>
        <w:tc>
          <w:tcPr>
            <w:tcW w:type="dxa" w:w="3558"/>
            <w:vAlign w:val="center"/>
            <w:shd w:fill="F2F2F2"/>
          </w:tcPr>
          <w:p>
            <w:pPr>
              <w:pStyle w:val="ReportTable"/>
              <w:jc w:val="left"/>
            </w:pPr>
            <w:r>
              <w:rPr>
                <w:b/>
                <w:color w:val="000000"/>
              </w:rPr>
              <w:t>计时及精度范围</w:t>
            </w:r>
          </w:p>
        </w:tc>
      </w:tr>
      <w:tr>
        <w:tc>
          <w:tcPr>
            <w:tcW w:type="dxa" w:w="1311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SSAA 1</w:t>
            </w:r>
          </w:p>
        </w:tc>
        <w:tc>
          <w:tcPr>
            <w:tcW w:type="dxa" w:w="3558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110592 B（108 KiB）</w:t>
            </w:r>
          </w:p>
        </w:tc>
        <w:tc>
          <w:tcPr>
            <w:tcW w:type="dxa" w:w="3558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1 个中心样本/像素</w:t>
            </w:r>
          </w:p>
        </w:tc>
      </w:tr>
      <w:tr>
        <w:tc>
          <w:tcPr>
            <w:tcW w:type="dxa" w:w="1311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SSAA 4</w:t>
            </w:r>
          </w:p>
        </w:tc>
        <w:tc>
          <w:tcPr>
            <w:tcW w:type="dxa" w:w="3558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442368 B（432 KiB）</w:t>
            </w:r>
          </w:p>
        </w:tc>
        <w:tc>
          <w:tcPr>
            <w:tcW w:type="dxa" w:w="3558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2×2 规则样本/像素</w:t>
            </w:r>
          </w:p>
        </w:tc>
      </w:tr>
      <w:tr>
        <w:tc>
          <w:tcPr>
            <w:tcW w:type="dxa" w:w="1311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SSAA 16</w:t>
            </w:r>
          </w:p>
        </w:tc>
        <w:tc>
          <w:tcPr>
            <w:tcW w:type="dxa" w:w="3558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1769472 B（1728 KiB）</w:t>
            </w:r>
          </w:p>
        </w:tc>
        <w:tc>
          <w:tcPr>
            <w:tcW w:type="dxa" w:w="3558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4×4 规则样本/像素</w:t>
            </w:r>
          </w:p>
        </w:tc>
      </w:tr>
      <w:tr>
        <w:tc>
          <w:tcPr>
            <w:tcW w:type="dxa" w:w="1311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解析模式</w:t>
            </w:r>
          </w:p>
        </w:tc>
        <w:tc>
          <w:tcPr>
            <w:tcW w:type="dxa" w:w="3558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1184–1792 B</w:t>
            </w:r>
          </w:p>
        </w:tc>
        <w:tc>
          <w:tcPr>
            <w:tcW w:type="dxa" w:w="3558"/>
            <w:vAlign w:val="center"/>
          </w:tcPr>
          <w:p>
            <w:pPr>
              <w:pStyle w:val="ReportTable"/>
              <w:jc w:val="left"/>
            </w:pPr>
            <w:r>
              <w:rPr>
                <w:b w:val="0"/>
                <w:color w:val="000000"/>
              </w:rPr>
              <w:t>本五场景的几何与16×16瓦片索引容量</w:t>
            </w:r>
          </w:p>
        </w:tc>
      </w:tr>
    </w:tbl>
    <w:p>
      <w:pPr>
        <w:pStyle w:val="ReportBody"/>
        <w:spacing w:after="60"/>
        <w:jc w:val="both"/>
      </w:pPr>
    </w:p>
    <w:p>
      <w:pPr>
        <w:pStyle w:val="ReportBody"/>
        <w:jc w:val="both"/>
      </w:pPr>
      <w:r>
        <w:rPr>
          <w:b w:val="0"/>
          <w:color w:val="000000"/>
        </w:rPr>
        <w:t>四种模式均另需相同的 RGB framebuffer 27648 B。表中未包含临时裁剪多边形、vector 分配器开销或进程峰值；GUI 为便于切换同时持有 SSAA 和解析对象，因此 GUI 进程内存不等于这张表的单独渲染器存储。实验原始计时、RMSE、最大误差、全部模式输出 PNG 与哈希留存在 verification/aa/。</w:t>
      </w:r>
    </w:p>
    <w:p>
      <w:pPr>
        <w:pStyle w:val="ReportHeading"/>
        <w:pageBreakBefore/>
      </w:pPr>
      <w:r>
        <w:rPr>
          <w:b/>
          <w:color w:val="000000"/>
        </w:rPr>
        <w:t>四、几何变换</w:t>
      </w:r>
    </w:p>
    <w:p>
      <w:pPr>
        <w:pStyle w:val="ReportSubheading"/>
      </w:pPr>
      <w:r>
        <w:rPr>
          <w:b/>
          <w:color w:val="000000"/>
        </w:rPr>
        <w:t>4.1 齐次矩阵与关节层级</w:t>
      </w:r>
    </w:p>
    <w:p>
      <w:pPr>
        <w:pStyle w:val="ReportBody"/>
        <w:jc w:val="both"/>
      </w:pPr>
      <w:r>
        <w:rPr>
          <w:b w:val="0"/>
          <w:color w:val="000000"/>
        </w:rPr>
        <w:t>顶点使用齐次列向量 (x,y,1)。平移量位于矩阵第三列，缩放量位于主对角线；旋转角度乘 π/180 后以 cosθ、sinθ 构造矩阵。M=T×R×S 依次缩放、旋转、平移。</w:t>
      </w:r>
    </w:p>
    <w:p>
      <w:pPr>
        <w:pStyle w:val="ReportBody"/>
        <w:jc w:val="both"/>
      </w:pPr>
      <w:r>
        <w:rPr>
          <w:b w:val="0"/>
          <w:color w:val="000000"/>
        </w:rPr>
        <w:t>SVG 父、子分组变换相乘，让部件绕自己的关节运动。绕 (cx,cy) 旋转为 T(cx,cy)×R×T(−cx,−cy)。原 robot.svg 核对基本矩阵，docs/my_robot.svg 保存可编辑的新动作。</w:t>
      </w:r>
    </w:p>
    <w:p>
      <w:pPr>
        <w:pStyle w:val="ReportBody"/>
        <w:jc w:val="both"/>
      </w:pPr>
      <w:r>
        <w:rPr>
          <w:b w:val="0"/>
          <w:color w:val="000000"/>
        </w:rPr>
        <w:t>新小人边跑边挥手：身体倾斜 −10°，右上臂/前臂局部旋转 −65°/−35°；大腿为 32°/−30°，小腿再旋转 −65°/30°。头部再转 10°，抵消身体倾斜。衣服蓝色，上臂青绿，头和手橙黄。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18" name="Picture 18" descr="robot_origina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origi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19" name="Picture 19" descr="robot_custo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cust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4.1 原 robot.svg 与 docs/my_robot.svg，800×800，各自默认视角，16 spp。两图具有相同输出分辨率和采样数，可对照部件关系与姿态。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3472902"/>
            <wp:docPr id="20" name="Picture 20" descr="transform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47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4.2 平移、缩放和角度制旋转矩阵的实际源码。</w:t>
      </w:r>
    </w:p>
    <w:p>
      <w:pPr>
        <w:pStyle w:val="ReportSubheading"/>
        <w:pageBreakBefore/>
      </w:pPr>
      <w:r>
        <w:rPr>
          <w:b/>
          <w:color w:val="000000"/>
        </w:rPr>
        <w:t>4.2 GUI 加分 视口中心旋转</w:t>
      </w:r>
    </w:p>
    <w:p>
      <w:pPr>
        <w:pStyle w:val="ReportBody"/>
        <w:jc w:val="both"/>
      </w:pPr>
      <w:r>
        <w:rPr>
          <w:b w:val="0"/>
          <w:color w:val="000000"/>
        </w:rPr>
        <w:t xml:space="preserve">新增 </w:t>
      </w:r>
      <w:r>
        <w:rPr>
          <w:b/>
          <w:color w:val="000000"/>
        </w:rPr>
        <w:t>Q/E 键，分别逆时针、顺时针旋转 15°</w:t>
      </w:r>
      <w:r>
        <w:rPr>
          <w:b w:val="0"/>
          <w:color w:val="000000"/>
        </w:rPr>
        <w:t>。它改变当前 SVG 的观察视口，不修改机器人关节或源文件。每个加载的 SVG 独立保存中心 (cx,cy)、跨度 span 与角度 θ，数字键切换时保留各自状态；Space 恢复当前 SVG 的初始中心、跨度及零角度。</w:t>
      </w:r>
    </w:p>
    <w:p>
      <w:pPr>
        <w:pStyle w:val="ReportBody"/>
        <w:jc w:val="both"/>
      </w:pPr>
      <w:r>
        <w:rPr>
          <w:b w:val="0"/>
          <w:color w:val="000000"/>
        </w:rPr>
        <w:t>原 M_base 将观察中心映射到 NDC 的 (0.5,0.5)。新的 SVG→NDC 矩阵为 T(0.5,0.5)×R(θ)×T(−0.5,−0.5)×M_base。NDC→screen 仍按 min(width,height) 等比缩放并居中，因此完整栈为 M_screen×T(0.5)×R(θ)×T(−0.5)×M_base×M_element。屏幕 y 轴向下，正角度在屏幕上表现为顺时针。</w:t>
      </w:r>
    </w:p>
    <w:p>
      <w:pPr>
        <w:pStyle w:val="ReportBody"/>
        <w:jc w:val="both"/>
      </w:pPr>
      <w:r>
        <w:rPr>
          <w:b w:val="0"/>
          <w:color w:val="000000"/>
        </w:rPr>
        <w:t>旋转后不能再从矩阵平移项直接反推观察中心，所以使用显式 ViewState。拖动时，将屏幕位移经 R(−θ) 和 2span/min(width,height) 换算为 SVG 位移；缩放只改变 span，并保留中心与角度。这样旋转后拖动方向仍跟随鼠标，窗口改变大小也不会拉伸图形。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3320542"/>
            <wp:docPr id="21" name="Picture 21" descr="viewport_rotat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port_rot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32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4.3 视口矩阵与显式中心、跨度、角度状态的实际源码。</w:t>
      </w: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22543" cy="1722543"/>
            <wp:docPr id="22" name="Picture 22" descr="viewport_defaul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cust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22543" cy="1722543"/>
            <wp:docPr id="23" name="Picture 23" descr="viewport_rotated_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port_rotated_3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22543" cy="1722543"/>
            <wp:docPr id="24" name="Picture 24" descr="viewport_rese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cust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4.4 docs/my_robot.svg，800×800、16 spp。左为初始视图，中为 E 两次后的顺时针 30° 视图，右为 Space 复位结果；原始 SVG 未改动。</w:t>
      </w:r>
    </w:p>
    <w:p>
      <w:pPr>
        <w:pStyle w:val="ReportBody"/>
        <w:jc w:val="both"/>
      </w:pPr>
      <w:r>
        <w:rPr>
          <w:b w:val="0"/>
          <w:color w:val="000000"/>
        </w:rPr>
        <w:t>13 项自动检查全部通过，覆盖中心位置与旋转半径不变、Q 撤销 E、24 次旋转一圈、旋转后的拖动与缩放、非正方形窗口、每 SVG 状态、复位及 A/B 模式切换。所有 OpenGL 检查均无错误。</w:t>
      </w:r>
      <w:r>
        <w:rPr>
          <w:b/>
          <w:color w:val="000000"/>
        </w:rPr>
        <w:t>复位图与初始图逐像素完全一致</w:t>
      </w:r>
      <w:r>
        <w:rPr>
          <w:b w:val="0"/>
          <w:color w:val="000000"/>
        </w:rPr>
        <w:t>，原 19 张报告 PNG 哈希也保持不变。日志、矩阵条件与截图参数留存在 verification/viewport-tests.json 与 viewport-tests.log；这是真实隐藏 GLFW 窗口中的程序回调验证，不是人工按键经历。</w:t>
      </w:r>
    </w:p>
    <w:p>
      <w:pPr>
        <w:pStyle w:val="ReportHeading"/>
        <w:pageBreakBefore/>
      </w:pPr>
      <w:r>
        <w:rPr>
          <w:b/>
          <w:color w:val="000000"/>
        </w:rPr>
        <w:t>五、质心坐标</w:t>
      </w:r>
    </w:p>
    <w:p>
      <w:pPr>
        <w:pStyle w:val="ReportSubheading"/>
      </w:pPr>
      <w:r>
        <w:rPr>
          <w:b/>
          <w:color w:val="000000"/>
        </w:rPr>
        <w:t>5.1 面积权重与颜色插值</w:t>
      </w:r>
    </w:p>
    <w:p>
      <w:pPr>
        <w:pStyle w:val="ReportBody"/>
        <w:jc w:val="both"/>
      </w:pPr>
      <w:r>
        <w:rPr>
          <w:b w:val="0"/>
          <w:color w:val="000000"/>
        </w:rPr>
        <w:t>对顶点 V₀、V₁、V₂，点 P 的质心坐标满足 P=αV₀+βV₁+γV₂，且 α+β+γ=1。三角形内部的三个权重非负；在某个顶点处，对应权重为 1，在它的对边处为 0。它们也可理解为对应子三角形的有向面积与总面积之比。</w:t>
      </w:r>
    </w:p>
    <w:p>
      <w:pPr>
        <w:pStyle w:val="ReportBody"/>
        <w:jc w:val="both"/>
      </w:pPr>
      <w:r>
        <w:rPr>
          <w:b w:val="0"/>
          <w:color w:val="000000"/>
        </w:rPr>
        <w:t>覆盖遍历器将三个对边边函数除以有向面积，得到 α、β，并以 γ=1−α−β 计算第三个权重。颜色插值为 C(P)=αC₀+βC₁+γC₂。由于颜色按样本计算，4×4 超采样时每个样本都得到自己的插值颜色，再在像素内平均。</w:t>
      </w:r>
    </w:p>
    <w:p>
      <w:pPr>
        <w:pStyle w:val="ReportBody"/>
        <w:jc w:val="both"/>
      </w:pPr>
      <w:r>
        <w:rPr>
          <w:b w:val="0"/>
          <w:color w:val="000000"/>
        </w:rPr>
        <w:t>如果三个顶点分别为红、绿、蓝，接近哪个顶点就得到更多对应分量，重心处三个分量相等，形成平滑渐变。test7.svg 将多个颜色三角形组成色轮，用于检验内部插值与共享边的连续性。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25" name="Picture 25" descr="colorwhee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whe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26" name="Picture 26" descr="barycentr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ycentri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5.1 basic/test7.svg 与 docs/barycentric.svg，800×800，默认视角，1 spp。红绿蓝顶点的颜色权重在线性插值中连续变化。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2558745"/>
            <wp:docPr id="27" name="Picture 27" descr="barycentr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ycentri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2558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5.2 顶点颜色按质心权重插值的实际源码。</w:t>
      </w:r>
    </w:p>
    <w:p>
      <w:pPr>
        <w:pStyle w:val="ReportHeading"/>
        <w:pageBreakBefore/>
      </w:pPr>
      <w:r>
        <w:rPr>
          <w:b/>
          <w:color w:val="000000"/>
        </w:rPr>
        <w:t>六、基于像素采样的纹理映射</w:t>
      </w:r>
    </w:p>
    <w:p>
      <w:pPr>
        <w:pStyle w:val="ReportSubheading"/>
      </w:pPr>
      <w:r>
        <w:rPr>
          <w:b/>
          <w:color w:val="000000"/>
        </w:rPr>
        <w:t>6.1 屏幕样本到纹素</w:t>
      </w:r>
    </w:p>
    <w:p>
      <w:pPr>
        <w:pStyle w:val="ReportBody"/>
        <w:jc w:val="both"/>
      </w:pPr>
      <w:r>
        <w:rPr>
          <w:b w:val="0"/>
          <w:color w:val="000000"/>
        </w:rPr>
        <w:t>屏幕样本以质心权重求 uv(P)=αuv₀+βuv₁+γuv₂，再由 Texture::sample 从离散纹素重建颜色。</w:t>
      </w:r>
    </w:p>
    <w:p>
      <w:pPr>
        <w:pStyle w:val="ReportBody"/>
        <w:jc w:val="both"/>
      </w:pPr>
      <w:r>
        <w:rPr>
          <w:b w:val="0"/>
          <w:color w:val="000000"/>
        </w:rPr>
        <w:t>UV 两端对应首末纹素中心，x=u(W−1)、y=v(H−1)，越界值夹到边缘。最近邻将 x、y 四舍五入，读取一个纹素。双线性读取四邻纹素，用小数 tx、ty 先混合上下两行，再按 ty 混合两行；边界邻点也夹取。</w:t>
      </w:r>
    </w:p>
    <w:p>
      <w:pPr>
        <w:pStyle w:val="ReportBody"/>
        <w:jc w:val="both"/>
      </w:pPr>
      <w:r>
        <w:rPr>
          <w:b w:val="0"/>
          <w:color w:val="000000"/>
        </w:rPr>
        <w:t>例如 top=(1−tx)C₀₀+txC₁₀，最终 C=(1−ty)top+ty×bottom。MipLevel 以引用访问，避免复制图像。</w:t>
      </w:r>
    </w:p>
    <w:p>
      <w:pPr>
        <w:pStyle w:val="ReportBody"/>
        <w:jc w:val="both"/>
      </w:pPr>
      <w:r>
        <w:rPr>
          <w:b w:val="0"/>
          <w:color w:val="000000"/>
        </w:rPr>
        <w:t>本组选择 texmap/test4.svg 鹦鹉，L_ZERO、缩放 0.4，检查器置于眼部边缘 (348,230)。缺失的 PNG 从原框架固定提交恢复，地址与 SHA256 见 dependency-assets.json。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28" name="Picture 28" descr="pixel_nearest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_nearest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29" name="Picture 29" descr="pixel_linear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_linear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6.1 texmap/test4.svg，800×800，缩放系数 0.4，检查器 (348,230)，L_ZERO、1 spp；左 P_NEAREST，右 P_LINEAR。</w:t>
      </w: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30" name="Picture 30" descr="pixel_nearest_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_nearest_1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31" name="Picture 31" descr="pixel_linear_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_linear_1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6.2 同一场景、视角、检查器与 800×800 分辨率，L_ZERO、16 spp；左 P_NEAREST，右 P_LINEAR。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3168183"/>
            <wp:docPr id="32" name="Picture 32" descr="texture_pixe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ure_pixe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16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6.3 最近邻与双线性重建的实际源码。续图和可复制文本与截图一同保存。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3015823"/>
            <wp:docPr id="33" name="Picture 33" descr="texture_pixel_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ure_pixel_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015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6.3 续图：双线性对四邻纹素分两次混合，并处理纹理边界。</w:t>
      </w:r>
    </w:p>
    <w:p>
      <w:pPr>
        <w:pStyle w:val="ReportSubheading"/>
      </w:pPr>
      <w:r>
        <w:rPr>
          <w:b/>
          <w:color w:val="000000"/>
        </w:rPr>
        <w:t>6.2 同场景对比</w:t>
      </w:r>
    </w:p>
    <w:p>
      <w:pPr>
        <w:pStyle w:val="ReportBody"/>
        <w:jc w:val="both"/>
      </w:pPr>
      <w:r>
        <w:rPr>
          <w:b w:val="0"/>
          <w:color w:val="000000"/>
        </w:rPr>
        <w:t>在纹理被放大时，一枚纹素占据多个屏幕像素，最近邻的阶梯和块感最明显；双线性在纹素之间形成连续过渡，因而更适合本组放大区域。代价是突变边界和细小笔画会变柔和。</w:t>
      </w:r>
      <w:r>
        <w:rPr>
          <w:b/>
          <w:color w:val="000000"/>
        </w:rPr>
        <w:t>更平滑不等于能够恢复原图中没有的细节。</w:t>
      </w:r>
    </w:p>
    <w:p>
      <w:pPr>
        <w:pStyle w:val="ReportBody"/>
        <w:jc w:val="both"/>
      </w:pPr>
      <w:r>
        <w:rPr>
          <w:b w:val="0"/>
          <w:color w:val="000000"/>
        </w:rPr>
        <w:t>将 1 spp 提高到 16 spp，可以平均同一屏幕像素中的多次 UV 取样，改善几何边缘和纹理边界。但如果十六个样本仍落在同一个纹素邻域，多次取样也不会增加源图细节。双线性控制纹理域的重建，超采样控制屏幕像素内的积分，两者处理的范围不同，可以组合使用。</w:t>
      </w:r>
    </w:p>
    <w:p>
      <w:pPr>
        <w:pStyle w:val="ReportBody"/>
        <w:jc w:val="both"/>
      </w:pPr>
      <w:r>
        <w:rPr>
          <w:b w:val="0"/>
          <w:color w:val="000000"/>
        </w:rPr>
        <w:t>纹理被大幅缩小时，一个屏幕像素覆盖许多纹素，最近邻只读取一个、双线性只混合四个，都可能遗漏高频信息并产生摩尔纹。该情形需要下一节的层级采样先使用经过低通过滤的纹理层。</w:t>
      </w:r>
    </w:p>
    <w:p>
      <w:pPr>
        <w:pStyle w:val="ReportHeading"/>
        <w:pageBreakBefore/>
      </w:pPr>
      <w:r>
        <w:rPr>
          <w:b/>
          <w:color w:val="000000"/>
        </w:rPr>
        <w:t>七、MipMap纹理映射</w:t>
      </w:r>
    </w:p>
    <w:p>
      <w:pPr>
        <w:pStyle w:val="ReportSubheading"/>
      </w:pPr>
      <w:r>
        <w:rPr>
          <w:b/>
          <w:color w:val="000000"/>
        </w:rPr>
        <w:t>7.1 足迹与层级选择</w:t>
      </w:r>
    </w:p>
    <w:p>
      <w:pPr>
        <w:pStyle w:val="ReportBody"/>
        <w:jc w:val="both"/>
      </w:pPr>
      <w:r>
        <w:rPr>
          <w:b w:val="0"/>
          <w:color w:val="000000"/>
        </w:rPr>
        <w:t>MipMap 将原图预先过滤为逐级降低分辨率的图像。层级采样根据屏幕像素在纹理上的足迹选择分辨率，使缩小后的像素取到更接近区域平均的颜色。它与某一层内的最近邻或双线性采样独立，因此可组合成六种模式。</w:t>
      </w:r>
    </w:p>
    <w:p>
      <w:pPr>
        <w:pStyle w:val="ReportBody"/>
        <w:jc w:val="both"/>
      </w:pPr>
      <w:r>
        <w:rPr>
          <w:b w:val="0"/>
          <w:color w:val="000000"/>
        </w:rPr>
        <w:t>在每个样本处记录 uv(P)、uv(P+(1,0))、uv(P+(0,1))。本实现利用质心函数对 x、y 的仿射梯度，预先求出两个 UV 差向量，与逐点重新计算这三个位置数学等价。偏移始终为一个屏幕像素，不能在高 spp 时改为一个子样本间隔，否则会低估纹理足迹。</w:t>
      </w:r>
    </w:p>
    <w:p>
      <w:pPr>
        <w:pStyle w:val="ReportBody"/>
        <w:jc w:val="both"/>
      </w:pPr>
      <w:r>
        <w:rPr>
          <w:b w:val="0"/>
          <w:color w:val="000000"/>
        </w:rPr>
        <w:t>用第 0 层宽 W、高 H 分别缩放 UV 分量，得到 dx=(WΔuₓ,HΔvₓ)、dy=(WΔuᵧ,HΔvᵧ)。足迹 ρ=max(‖dx‖,‖dy‖)，理想层级 D=log₂ρ；放大或常量 UV 时使用 0 层，结果夹在 [0,最大可用层] 内。尺寸使用 W、H，而不是某个已经缩小的层。</w:t>
      </w:r>
    </w:p>
    <w:p>
      <w:pPr>
        <w:pStyle w:val="ReportBody"/>
        <w:jc w:val="both"/>
      </w:pPr>
      <w:r>
        <w:rPr>
          <w:b w:val="0"/>
          <w:color w:val="000000"/>
        </w:rPr>
        <w:t>L_ZERO 固定采样第 0 层；L_NEAREST 选择 floor(D+0.5)；L_LINEAR 分别采样 floor(D) 和下一层，再按 D 的小数部分混合。与 P_LINEAR 组合时，每层内部双线性、层间再线性混合，构成三线性过滤。</w:t>
      </w:r>
      <w:r>
        <w:rPr>
          <w:b/>
          <w:color w:val="000000"/>
        </w:rPr>
        <w:t>这属于任务 6 的完整实现。</w:t>
      </w:r>
    </w:p>
    <w:p>
      <w:pPr>
        <w:pStyle w:val="ReportBody"/>
        <w:jc w:val="both"/>
      </w:pPr>
      <w:r>
        <w:rPr>
          <w:b w:val="0"/>
          <w:color w:val="000000"/>
        </w:rPr>
        <w:t>起始 generate_mips 分配了最粗层却没有填充它。本次修复生成循环上界，使全部已分配层都实际过滤得到纹素；否则缩到最高 LOD 时可能错误地读到黑色。对仅一行或一列、奇数尺寸纹理也保留原框架的降采样规则。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4539419"/>
            <wp:docPr id="34" name="Picture 34" descr="texture_lo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ure_lo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53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7.1 UV 足迹与层级选择的实际源码。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0510" cy="4539419"/>
            <wp:docPr id="35" name="Picture 35" descr="texture_lod_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ure_lod_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53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7.1 续图：以第 0 层的宽高换算足迹，计算并夹取 log₂ 层级。</w:t>
      </w:r>
    </w:p>
    <w:p>
      <w:pPr>
        <w:pStyle w:val="ReportBody"/>
        <w:pageBreakBefore/>
        <w:jc w:val="both"/>
      </w:pPr>
      <w:r>
        <w:rPr>
          <w:b w:val="0"/>
          <w:color w:val="000000"/>
        </w:rPr>
        <w:t>自备 sampling_texture.png 为 1024×1024 图，含 2/4/8 像素棋盘及 128 像素间隔双色线。texture_demo.svg 用 24×24 网格构造非均匀梯形，展示逐渐缩小的纹理。六图统一默认视角、800×800、1 spp、检查器 (400,230)。两份素材均位于 docs/。</w:t>
      </w:r>
    </w:p>
    <w:p>
      <w:pPr>
        <w:pStyle w:val="ReportSubheading"/>
      </w:pPr>
      <w:r>
        <w:rPr>
          <w:b/>
          <w:color w:val="000000"/>
        </w:rPr>
        <w:t>7.2 六种组合对比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36" name="Picture 36" descr="mipmap_zero_near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zero_neare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011680" cy="2011680"/>
            <wp:docPr id="37" name="Picture 37" descr="mipmap_zero_linea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zero_linea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7.2 左 L_ZERO+P_NEAREST，右 L_ZERO+P_LINEAR；其他参数如上。</w:t>
      </w:r>
    </w:p>
    <w:p>
      <w:pPr>
        <w:pStyle w:val="ReportBody"/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38" name="Picture 38" descr="mipmap_nearest_near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nearest_neare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011680" cy="2011680"/>
            <wp:docPr id="39" name="Picture 39" descr="mipmap_nearest_linea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nearest_linea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7.3 左 L_NEAREST+P_NEAREST，右 L_NEAREST+P_LINEAR；参数相同。</w:t>
      </w:r>
    </w:p>
    <w:p>
      <w:pPr>
        <w:pStyle w:val="ReportBody"/>
        <w:jc w:val="both"/>
      </w:pPr>
      <w:r>
        <w:rPr>
          <w:b w:val="0"/>
          <w:color w:val="000000"/>
        </w:rPr>
        <w:t>0 层细纹在缩小区形成虚假低频图案；最近层使用预过滤图像，减弱混叠，P_LINEAR 再平滑层内边界。四图只改变像素与层级策略。</w:t>
      </w:r>
    </w:p>
    <w:p>
      <w:pPr>
        <w:pStyle w:val="ReportBody"/>
        <w:keepNext/>
        <w:pageBreakBefore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40" name="Picture 40" descr="mipmap_linear_near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linear_neare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41" name="Picture 41" descr="mipmap_linear_linea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linear_linea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b w:val="0"/>
          <w:color w:val="000000"/>
        </w:rPr>
        <w:t>图 7.4 相同场景与参数；左 L_LINEAR+P_NEAREST，右 L_LINEAR+P_LINEAR。两张相邻层按连续 D 混合，避免整数层切换的突变。</w:t>
      </w:r>
    </w:p>
    <w:p>
      <w:pPr>
        <w:pStyle w:val="ReportBody"/>
        <w:jc w:val="both"/>
      </w:pPr>
      <w:r>
        <w:rPr>
          <w:b w:val="0"/>
          <w:color w:val="000000"/>
        </w:rPr>
        <w:t>最近邻每次读取 1 个纹素，双线性读取 4 个；最近层只使用一层，线性层级至多采样两层。以 P_LINEAR+L_LINEAR 为例，单个屏幕样本至多组合 8 个纹素，而 16 spp 还要对这一过程执行十六次。因此三种控制项可分别影响重建质量、缩小过滤和积分密度。</w:t>
      </w:r>
    </w:p>
    <w:p>
      <w:pPr>
        <w:pStyle w:val="ReportBody"/>
        <w:jc w:val="both"/>
      </w:pPr>
      <w:r>
        <w:rPr>
          <w:b w:val="0"/>
          <w:color w:val="000000"/>
        </w:rPr>
        <w:t>规则超采样缓冲随 spp 线性增长；改变 P 不增加采样缓冲，改变 L 的选择本身也不重新分配纹理。在本框架中纹理初始化即生成 MipMap，所以 L_ZERO 也保留已生成的层。对于长宽均逐级减半的常见纹理，完整金字塔像素总量约为原图的 4/3；该比例不适用于所有狭长纹理。</w:t>
      </w:r>
    </w:p>
    <w:p>
      <w:pPr>
        <w:pStyle w:val="ReportBody"/>
        <w:jc w:val="both"/>
      </w:pPr>
      <w:r>
        <w:rPr>
          <w:b w:val="0"/>
          <w:color w:val="000000"/>
        </w:rPr>
        <w:t>超采样主要改善屏幕积分，MipMap 主要抑制缩小纹理的高频混叠，双线性主要改善层内连续性。使用最近层仍可能随尺度改变出现层级跳变；三线性缓解层间变化，但各向同性足迹在斜视或高度拉伸区域可能模糊细节。各向异性过滤可作为后续改进，本次未将它列为已实现功能。</w:t>
      </w:r>
    </w:p>
    <w:p>
      <w:pPr>
        <w:pStyle w:val="ReportHeading"/>
        <w:pageBreakBefore/>
      </w:pPr>
      <w:r>
        <w:rPr>
          <w:b/>
          <w:color w:val="000000"/>
        </w:rPr>
        <w:t>八、实践与思考</w:t>
      </w:r>
    </w:p>
    <w:p>
      <w:pPr>
        <w:pStyle w:val="ReportSubheading"/>
      </w:pPr>
      <w:r>
        <w:rPr>
          <w:b/>
          <w:color w:val="000000"/>
        </w:rPr>
        <w:t>8.1 验证方法与实际修复</w:t>
      </w:r>
    </w:p>
    <w:p>
      <w:pPr>
        <w:pStyle w:val="ReportBody"/>
        <w:jc w:val="both"/>
      </w:pPr>
      <w:r>
        <w:rPr>
          <w:b w:val="0"/>
          <w:color w:val="000000"/>
        </w:rPr>
        <w:t>本次程序验证沿着覆盖判定、子样本缓冲、属性插值和纹理层级的数据流核对。首先检查顶点方向、边界、包围盒裁剪和退化三角形，再检查采样率与窗口变化时的缓冲长度；最后以小纹理的已知颜色和可计算的 UV 足迹核对像素与层级过滤，避免只凭一张图判断算法正确。</w:t>
      </w:r>
    </w:p>
    <w:p>
      <w:pPr>
        <w:pStyle w:val="ReportBody"/>
        <w:jc w:val="both"/>
      </w:pPr>
      <w:r>
        <w:rPr>
          <w:b w:val="0"/>
          <w:color w:val="000000"/>
        </w:rPr>
        <w:t>实际修复包括：统一三处缓冲分配与索引布局；让点和线写满该像素的子样本；对 8-bit 输出进行夹取和舍入；处理零长度线段、纹理边界和不合法参数；修复最后一级 MipMap 未填充。UV 梯度以一屏幕像素为单位，使改变超采样率时不会错误改变 LOD 公式。</w:t>
      </w:r>
    </w:p>
    <w:p>
      <w:pPr>
        <w:pStyle w:val="ReportBody"/>
        <w:jc w:val="both"/>
      </w:pPr>
      <w:r>
        <w:rPr>
          <w:b w:val="0"/>
          <w:color w:val="000000"/>
        </w:rPr>
        <w:t>OpenGL 实测还定位到教师 drawrend.cpp 的 glOrtho 近、远裁剪面同为 0，引发 GL_INVALID_VALUE。修复为 −1、1 后，使用窗口左上角对应的 glRasterPos2f(0,height)，移除原先的偏移，恢复有效贴屏投影。Windows 构建同时补充 WIN32 平台宏、GLEW_STATIC 及 texture.cpp 的 cstdint 引入。</w:t>
      </w:r>
    </w:p>
    <w:p>
      <w:pPr>
        <w:pStyle w:val="ReportBody"/>
        <w:jc w:val="both"/>
      </w:pPr>
      <w:r>
        <w:rPr>
          <w:b w:val="0"/>
          <w:color w:val="000000"/>
        </w:rPr>
        <w:t>算法验证记录为 verification/algorithm-tests.log，41 项全部通过、0 项失败。覆盖中心采样、顺逆时针、共享边无缝、裁剪、退化图元；4/9/16 spp 的精确半覆盖与点线广播；缓冲 resize/clear；可计算的质心权重；纹理角点、双线性均值、边界夹取；奇数与单维纹理、完整 1×1 最粗层；LOD 足迹、六组合及超采样下的一屏幕像素导数。实际截图参数、输出哈希和 OpenGL 信息留存在 verification/screenshots.json。</w:t>
      </w:r>
    </w:p>
    <w:p>
      <w:pPr>
        <w:pStyle w:val="ReportBody"/>
        <w:jc w:val="both"/>
      </w:pPr>
      <w:r>
        <w:rPr>
          <w:b w:val="0"/>
          <w:color w:val="000000"/>
        </w:rPr>
        <w:t>打包后的 bin/draw.exe 在 PATH 仅包含 Windows/System32 的环境下，对全部 32 个教师 SVG 成功生成 400×400 PNG，记录在 headless-tests.json；这也检查了运行资源与依赖。GDB 断点实际命中 rasterize_triangle 并记录调用链（gdb.log），验证 VSCode 所用调试器后端；本次未进行手动 F5 界面测试。</w:t>
      </w:r>
    </w:p>
    <w:p>
      <w:pPr>
        <w:pStyle w:val="ReportSubheading"/>
      </w:pPr>
      <w:r>
        <w:rPr>
          <w:b/>
          <w:color w:val="000000"/>
        </w:rPr>
        <w:t>8.2 结果与复现</w:t>
      </w:r>
    </w:p>
    <w:p>
      <w:pPr>
        <w:pStyle w:val="ReportBody"/>
        <w:jc w:val="both"/>
      </w:pPr>
      <w:r>
        <w:rPr>
          <w:b w:val="0"/>
          <w:color w:val="000000"/>
        </w:rPr>
        <w:t>可视结果显示，单色多边形、机器人和色轮能够沿同一光栅化管线绘制；提高规则网格密度使细边缘更平滑；双线性改善纹理放大时的块感；层级采样改善缩小高频纹理的混叠。</w:t>
      </w:r>
      <w:r>
        <w:rPr>
          <w:b/>
          <w:color w:val="000000"/>
        </w:rPr>
        <w:t>静态 PNG 能证明本次渲染结果，不能单独证明所有交互尺度下都没有闪烁，也不能代替算法边界测试。</w:t>
      </w:r>
    </w:p>
    <w:p>
      <w:pPr>
        <w:pStyle w:val="ReportBody"/>
        <w:jc w:val="both"/>
      </w:pPr>
      <w:r>
        <w:rPr>
          <w:b w:val="0"/>
          <w:color w:val="000000"/>
        </w:rPr>
        <w:t>Windows 复现先运行项目中的构建脚本，再将 SVG 文件或目录作为 draw.exe 参数。GUI 快捷键为 -= 调整 spp、P 切换像素采样、L 切换层级采样、Z 打开像素检查器、S 保存 PNG、空格复位视角；</w:t>
      </w:r>
      <w:r>
        <w:rPr>
          <w:b/>
          <w:color w:val="000000"/>
        </w:rPr>
        <w:t>Q/E 旋转视口，A 切换解析覆盖率，B 切换规则 SSAA 的光栅化内核</w:t>
      </w:r>
      <w:r>
        <w:rPr>
          <w:b w:val="0"/>
          <w:color w:val="000000"/>
        </w:rPr>
        <w:t>。解析模式中保留的 spp 供切回 SSAA 使用，不改变解析面积计算。VSCode 配置用于选择编译与调试入口。报告所用的自动导出命令和参数另行留存在截图生成记录中。</w:t>
      </w:r>
    </w:p>
    <w:p>
      <w:pPr>
        <w:pStyle w:val="ReportBody"/>
        <w:jc w:val="both"/>
      </w:pPr>
      <w:r>
        <w:rPr>
          <w:b w:val="0"/>
          <w:color w:val="000000"/>
        </w:rPr>
        <w:t>后续可将采样缓冲按瓦片分配，降低高分辨率与高 spp 的峰值内存；也可在 SIMD 之前加入分块全内/全外测试，减少逐样本判断。解析模式可以优化多边形临时分配及全覆盖快速路径。改进时应固定场景和参数比较耗时与误差，不能把方法名称本身作为质量或性能提高的证据。</w:t>
      </w:r>
    </w:p>
    <w:p>
      <w:pPr>
        <w:pStyle w:val="ReportSubheading"/>
      </w:pPr>
      <w:r>
        <w:rPr>
          <w:b/>
          <w:color w:val="000000"/>
        </w:rPr>
        <w:t>8.3 调研来源</w:t>
      </w:r>
    </w:p>
    <w:p>
      <w:pPr>
        <w:pStyle w:val="ReportBody"/>
        <w:jc w:val="left"/>
      </w:pPr>
      <w:r>
        <w:rPr>
          <w:b w:val="0"/>
          <w:color w:val="000000"/>
        </w:rPr>
        <w:t>Pineda，A Parallel Algorithm for Polygon Rasterization，SIGGRAPH 1988；原论文：https://people.csail.mit.edu/ericchan/bib/pdf/p17-pineda.pdf。</w:t>
      </w:r>
    </w:p>
    <w:p>
      <w:pPr>
        <w:pStyle w:val="ReportBody"/>
        <w:jc w:val="left"/>
      </w:pPr>
      <w:r>
        <w:rPr>
          <w:b w:val="0"/>
          <w:color w:val="000000"/>
        </w:rPr>
        <w:t>Hasselgren 等，Masked Software Occlusion Culling，High Performance Graphics 2016；作者页：https://fileadmin.cs.lth.se/graphics/research/papers/2016/culling/。</w:t>
      </w:r>
    </w:p>
    <w:p>
      <w:pPr>
        <w:pStyle w:val="ReportBody"/>
        <w:jc w:val="left"/>
      </w:pPr>
      <w:r>
        <w:rPr>
          <w:b w:val="0"/>
          <w:color w:val="000000"/>
        </w:rPr>
        <w:t>Sean Barrett，How the stb_truetype Anti-Aliased Software Rasterizer v2 Works，2015；原作者说明：https://nothings.org/gamedev/rasterize/。</w:t>
      </w:r>
    </w:p>
    <w:p>
      <w:pPr>
        <w:pStyle w:val="ReportBody"/>
        <w:jc w:val="left"/>
      </w:pPr>
      <w:r>
        <w:rPr>
          <w:b w:val="0"/>
          <w:color w:val="000000"/>
        </w:rPr>
        <w:t>Zhou 等，Vectorization for Fast, Analytic, and Differentiable Visibility，2021；研究页：https://research.nvidia.com/labs/rtr/publication/zhou2021vectorization/。</w:t>
      </w:r>
    </w:p>
    <w:p>
      <w:pPr>
        <w:pStyle w:val="ReportBody"/>
        <w:jc w:val="left"/>
      </w:pPr>
      <w:r>
        <w:rPr>
          <w:b w:val="0"/>
          <w:color w:val="000000"/>
        </w:rPr>
        <w:t>Intel Intrinsics Guide：https://www.intel.com/content/www/us/en/docs/intrinsics-guide/index.html。文献用于算法和工程背景，本报告中的实验数据均来自当前源码与本机测试。</w:t>
      </w:r>
    </w:p>
    <w:sectPr w:rsidR="00254033">
      <w:pgSz w:w="11906" w:h="16838"/>
      <w:pgMar w:top="1760" w:right="2040" w:bottom="2840" w:left="1440" w:header="709" w:footer="709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0AFF" w:usb1="40007843" w:usb2="00000001" w:usb3="00000000" w:csb0="400001BF" w:csb1="DFF70000"/>
  </w:font>
  <w:font w:name="Kaiti TC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CE3F3B"/>
    <w:multiLevelType w:val="singleLevel"/>
    <w:tmpl w:val="DFCE3F3B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6466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doNotDisplayPageBoundaries/>
  <w:proofState w:spelling="clean" w:grammar="clean"/>
  <w:defaultTabStop w:val="720"/>
  <w:drawingGridHorizontalSpacing w:val="105"/>
  <w:drawingGridVerticalSpacing w:val="163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6B5"/>
    <w:rsid w:val="C5ED281A"/>
    <w:rsid w:val="CFFD4970"/>
    <w:rsid w:val="D9CC79DC"/>
    <w:rsid w:val="DD6F24DF"/>
    <w:rsid w:val="EDB69858"/>
    <w:rsid w:val="F7EA57ED"/>
    <w:rsid w:val="F9FA6546"/>
    <w:rsid w:val="FADF18BE"/>
    <w:rsid w:val="FC7ED02F"/>
    <w:rsid w:val="00006700"/>
    <w:rsid w:val="0000718F"/>
    <w:rsid w:val="0000724B"/>
    <w:rsid w:val="00011FBB"/>
    <w:rsid w:val="000146FA"/>
    <w:rsid w:val="00015D3D"/>
    <w:rsid w:val="00020D27"/>
    <w:rsid w:val="00021060"/>
    <w:rsid w:val="00021686"/>
    <w:rsid w:val="00021F79"/>
    <w:rsid w:val="00030A18"/>
    <w:rsid w:val="00034A27"/>
    <w:rsid w:val="00043B0D"/>
    <w:rsid w:val="000523C1"/>
    <w:rsid w:val="00057A65"/>
    <w:rsid w:val="00074AE9"/>
    <w:rsid w:val="00081710"/>
    <w:rsid w:val="000B007E"/>
    <w:rsid w:val="000C779A"/>
    <w:rsid w:val="000D3509"/>
    <w:rsid w:val="00105466"/>
    <w:rsid w:val="001072E4"/>
    <w:rsid w:val="001119BC"/>
    <w:rsid w:val="001133A8"/>
    <w:rsid w:val="001338B5"/>
    <w:rsid w:val="00137AE8"/>
    <w:rsid w:val="00140138"/>
    <w:rsid w:val="001470A0"/>
    <w:rsid w:val="00147DBC"/>
    <w:rsid w:val="00150E28"/>
    <w:rsid w:val="00153A5C"/>
    <w:rsid w:val="00157878"/>
    <w:rsid w:val="0016131E"/>
    <w:rsid w:val="00162761"/>
    <w:rsid w:val="0016431B"/>
    <w:rsid w:val="00173B37"/>
    <w:rsid w:val="00175821"/>
    <w:rsid w:val="00177C7C"/>
    <w:rsid w:val="00184ECE"/>
    <w:rsid w:val="001907A6"/>
    <w:rsid w:val="00195A8E"/>
    <w:rsid w:val="001B5301"/>
    <w:rsid w:val="001C09DC"/>
    <w:rsid w:val="001C69DE"/>
    <w:rsid w:val="001D189E"/>
    <w:rsid w:val="001D468B"/>
    <w:rsid w:val="001E01B7"/>
    <w:rsid w:val="001E21B4"/>
    <w:rsid w:val="001E3EBE"/>
    <w:rsid w:val="001E6088"/>
    <w:rsid w:val="001E7CF3"/>
    <w:rsid w:val="001F4317"/>
    <w:rsid w:val="001F48D7"/>
    <w:rsid w:val="001F6FF2"/>
    <w:rsid w:val="00201C6C"/>
    <w:rsid w:val="00214A2C"/>
    <w:rsid w:val="00216253"/>
    <w:rsid w:val="00225792"/>
    <w:rsid w:val="00225EB6"/>
    <w:rsid w:val="002313F3"/>
    <w:rsid w:val="002321FC"/>
    <w:rsid w:val="00233565"/>
    <w:rsid w:val="00235E06"/>
    <w:rsid w:val="00254033"/>
    <w:rsid w:val="00260E54"/>
    <w:rsid w:val="00270343"/>
    <w:rsid w:val="00274EBF"/>
    <w:rsid w:val="00282A1D"/>
    <w:rsid w:val="002866DB"/>
    <w:rsid w:val="00297611"/>
    <w:rsid w:val="002A0490"/>
    <w:rsid w:val="002A323D"/>
    <w:rsid w:val="002A5B66"/>
    <w:rsid w:val="002B7327"/>
    <w:rsid w:val="002C13F3"/>
    <w:rsid w:val="002C2B77"/>
    <w:rsid w:val="002D1B9E"/>
    <w:rsid w:val="002D5056"/>
    <w:rsid w:val="002D68AC"/>
    <w:rsid w:val="002F025D"/>
    <w:rsid w:val="002F1361"/>
    <w:rsid w:val="002F1A1C"/>
    <w:rsid w:val="002F3098"/>
    <w:rsid w:val="002F430F"/>
    <w:rsid w:val="002F48A5"/>
    <w:rsid w:val="00302233"/>
    <w:rsid w:val="00307182"/>
    <w:rsid w:val="0030737D"/>
    <w:rsid w:val="00320122"/>
    <w:rsid w:val="00320FCC"/>
    <w:rsid w:val="00324882"/>
    <w:rsid w:val="00333392"/>
    <w:rsid w:val="00334818"/>
    <w:rsid w:val="00335022"/>
    <w:rsid w:val="00337E46"/>
    <w:rsid w:val="00340F1D"/>
    <w:rsid w:val="00353DB6"/>
    <w:rsid w:val="003742AA"/>
    <w:rsid w:val="00383AA5"/>
    <w:rsid w:val="00395125"/>
    <w:rsid w:val="00395D3A"/>
    <w:rsid w:val="003A39D4"/>
    <w:rsid w:val="003B0C78"/>
    <w:rsid w:val="003B1B54"/>
    <w:rsid w:val="003B7DCD"/>
    <w:rsid w:val="003D2FC3"/>
    <w:rsid w:val="003D5815"/>
    <w:rsid w:val="003D5EBD"/>
    <w:rsid w:val="003F6DFA"/>
    <w:rsid w:val="00400CDC"/>
    <w:rsid w:val="004038CE"/>
    <w:rsid w:val="00413B62"/>
    <w:rsid w:val="00417025"/>
    <w:rsid w:val="0042760A"/>
    <w:rsid w:val="00432908"/>
    <w:rsid w:val="00435512"/>
    <w:rsid w:val="004456B6"/>
    <w:rsid w:val="0044627C"/>
    <w:rsid w:val="00451E27"/>
    <w:rsid w:val="00451EDF"/>
    <w:rsid w:val="0046012E"/>
    <w:rsid w:val="0046025B"/>
    <w:rsid w:val="004639B4"/>
    <w:rsid w:val="0047309E"/>
    <w:rsid w:val="00474FEC"/>
    <w:rsid w:val="00480084"/>
    <w:rsid w:val="00482CAE"/>
    <w:rsid w:val="00490260"/>
    <w:rsid w:val="004912B0"/>
    <w:rsid w:val="004919B7"/>
    <w:rsid w:val="00492F27"/>
    <w:rsid w:val="00495EE6"/>
    <w:rsid w:val="00497896"/>
    <w:rsid w:val="004A1363"/>
    <w:rsid w:val="004A1D8D"/>
    <w:rsid w:val="004B1B9A"/>
    <w:rsid w:val="004B2FA9"/>
    <w:rsid w:val="004B4FCD"/>
    <w:rsid w:val="004C2218"/>
    <w:rsid w:val="004E285D"/>
    <w:rsid w:val="004E3522"/>
    <w:rsid w:val="004E39BA"/>
    <w:rsid w:val="004F38DC"/>
    <w:rsid w:val="004F3E91"/>
    <w:rsid w:val="00503812"/>
    <w:rsid w:val="00504185"/>
    <w:rsid w:val="00510CED"/>
    <w:rsid w:val="005131DC"/>
    <w:rsid w:val="00523AC0"/>
    <w:rsid w:val="0052770A"/>
    <w:rsid w:val="00534E42"/>
    <w:rsid w:val="00546444"/>
    <w:rsid w:val="0054658D"/>
    <w:rsid w:val="00547046"/>
    <w:rsid w:val="00547415"/>
    <w:rsid w:val="0055553E"/>
    <w:rsid w:val="0055648F"/>
    <w:rsid w:val="00577A04"/>
    <w:rsid w:val="00581EB9"/>
    <w:rsid w:val="005825E7"/>
    <w:rsid w:val="0058495B"/>
    <w:rsid w:val="005901A7"/>
    <w:rsid w:val="00592BB3"/>
    <w:rsid w:val="005A0989"/>
    <w:rsid w:val="005A0D58"/>
    <w:rsid w:val="005A5F36"/>
    <w:rsid w:val="005B028D"/>
    <w:rsid w:val="005B044F"/>
    <w:rsid w:val="005B11B9"/>
    <w:rsid w:val="005B4C8E"/>
    <w:rsid w:val="005B6F96"/>
    <w:rsid w:val="005C0AAC"/>
    <w:rsid w:val="005D7142"/>
    <w:rsid w:val="005E03EF"/>
    <w:rsid w:val="006109AD"/>
    <w:rsid w:val="00613524"/>
    <w:rsid w:val="0061398E"/>
    <w:rsid w:val="00622B2B"/>
    <w:rsid w:val="00626877"/>
    <w:rsid w:val="0062756C"/>
    <w:rsid w:val="0062766D"/>
    <w:rsid w:val="00627B89"/>
    <w:rsid w:val="00630635"/>
    <w:rsid w:val="0064697A"/>
    <w:rsid w:val="00654014"/>
    <w:rsid w:val="00660EAF"/>
    <w:rsid w:val="00661D33"/>
    <w:rsid w:val="00666490"/>
    <w:rsid w:val="00666BBF"/>
    <w:rsid w:val="00674479"/>
    <w:rsid w:val="00685703"/>
    <w:rsid w:val="00686963"/>
    <w:rsid w:val="0069204D"/>
    <w:rsid w:val="006925BA"/>
    <w:rsid w:val="00696ACA"/>
    <w:rsid w:val="006A195C"/>
    <w:rsid w:val="006A19CE"/>
    <w:rsid w:val="006A3A03"/>
    <w:rsid w:val="006A4D80"/>
    <w:rsid w:val="006A5A31"/>
    <w:rsid w:val="006A7D32"/>
    <w:rsid w:val="006B066C"/>
    <w:rsid w:val="006B53B3"/>
    <w:rsid w:val="006B7CE4"/>
    <w:rsid w:val="006C0D3C"/>
    <w:rsid w:val="006C3B8E"/>
    <w:rsid w:val="006C51FD"/>
    <w:rsid w:val="006D54D5"/>
    <w:rsid w:val="006E00E1"/>
    <w:rsid w:val="006E5682"/>
    <w:rsid w:val="006F1929"/>
    <w:rsid w:val="006F1E88"/>
    <w:rsid w:val="00700F41"/>
    <w:rsid w:val="0070300D"/>
    <w:rsid w:val="00715A67"/>
    <w:rsid w:val="00730DA4"/>
    <w:rsid w:val="00732CFF"/>
    <w:rsid w:val="00733690"/>
    <w:rsid w:val="00740F80"/>
    <w:rsid w:val="00742053"/>
    <w:rsid w:val="00745501"/>
    <w:rsid w:val="007557D8"/>
    <w:rsid w:val="0075785F"/>
    <w:rsid w:val="00760699"/>
    <w:rsid w:val="00774CD9"/>
    <w:rsid w:val="00774E1B"/>
    <w:rsid w:val="007770F9"/>
    <w:rsid w:val="00780657"/>
    <w:rsid w:val="00780CA2"/>
    <w:rsid w:val="00781688"/>
    <w:rsid w:val="007833A0"/>
    <w:rsid w:val="00791928"/>
    <w:rsid w:val="0079432A"/>
    <w:rsid w:val="007A2A64"/>
    <w:rsid w:val="007A5393"/>
    <w:rsid w:val="007A5F31"/>
    <w:rsid w:val="007B58FE"/>
    <w:rsid w:val="007B68AA"/>
    <w:rsid w:val="007B696F"/>
    <w:rsid w:val="007B7039"/>
    <w:rsid w:val="007C19A2"/>
    <w:rsid w:val="007D47FC"/>
    <w:rsid w:val="007E0ECE"/>
    <w:rsid w:val="007E228D"/>
    <w:rsid w:val="007E2394"/>
    <w:rsid w:val="007E6701"/>
    <w:rsid w:val="007F48B2"/>
    <w:rsid w:val="007F7CF8"/>
    <w:rsid w:val="00802723"/>
    <w:rsid w:val="00803FB9"/>
    <w:rsid w:val="00804D76"/>
    <w:rsid w:val="0080636C"/>
    <w:rsid w:val="00807958"/>
    <w:rsid w:val="00815672"/>
    <w:rsid w:val="00817FB7"/>
    <w:rsid w:val="00820444"/>
    <w:rsid w:val="008204C3"/>
    <w:rsid w:val="00822B1E"/>
    <w:rsid w:val="00830570"/>
    <w:rsid w:val="00830A5C"/>
    <w:rsid w:val="0083361B"/>
    <w:rsid w:val="00833B25"/>
    <w:rsid w:val="00835C1B"/>
    <w:rsid w:val="00836238"/>
    <w:rsid w:val="0084279E"/>
    <w:rsid w:val="00846D0C"/>
    <w:rsid w:val="008471FD"/>
    <w:rsid w:val="00872B4E"/>
    <w:rsid w:val="008731FD"/>
    <w:rsid w:val="008746C0"/>
    <w:rsid w:val="00876B9B"/>
    <w:rsid w:val="00876D95"/>
    <w:rsid w:val="008802E9"/>
    <w:rsid w:val="008825CD"/>
    <w:rsid w:val="0088702B"/>
    <w:rsid w:val="00887AB7"/>
    <w:rsid w:val="00887B72"/>
    <w:rsid w:val="00892AA2"/>
    <w:rsid w:val="00896DBD"/>
    <w:rsid w:val="008A1F22"/>
    <w:rsid w:val="008B076E"/>
    <w:rsid w:val="008B7380"/>
    <w:rsid w:val="008C128A"/>
    <w:rsid w:val="008C143E"/>
    <w:rsid w:val="008C5D30"/>
    <w:rsid w:val="008C6A45"/>
    <w:rsid w:val="008C7990"/>
    <w:rsid w:val="008D223B"/>
    <w:rsid w:val="008E3F4B"/>
    <w:rsid w:val="008F126D"/>
    <w:rsid w:val="008F670A"/>
    <w:rsid w:val="008F6F14"/>
    <w:rsid w:val="008F73F8"/>
    <w:rsid w:val="00901869"/>
    <w:rsid w:val="00901F5E"/>
    <w:rsid w:val="009047AE"/>
    <w:rsid w:val="009102DC"/>
    <w:rsid w:val="00910BFC"/>
    <w:rsid w:val="00914372"/>
    <w:rsid w:val="0092592B"/>
    <w:rsid w:val="00930E9F"/>
    <w:rsid w:val="00933F1B"/>
    <w:rsid w:val="0093450A"/>
    <w:rsid w:val="00942015"/>
    <w:rsid w:val="00945CF8"/>
    <w:rsid w:val="00947EAC"/>
    <w:rsid w:val="00953400"/>
    <w:rsid w:val="00962236"/>
    <w:rsid w:val="00967F61"/>
    <w:rsid w:val="009700CC"/>
    <w:rsid w:val="00981F56"/>
    <w:rsid w:val="0098405E"/>
    <w:rsid w:val="0098630C"/>
    <w:rsid w:val="00987104"/>
    <w:rsid w:val="00987E92"/>
    <w:rsid w:val="009A02FE"/>
    <w:rsid w:val="009A5792"/>
    <w:rsid w:val="009A592A"/>
    <w:rsid w:val="009A5DCB"/>
    <w:rsid w:val="009B3895"/>
    <w:rsid w:val="009B3E6A"/>
    <w:rsid w:val="009B7EA2"/>
    <w:rsid w:val="009C0980"/>
    <w:rsid w:val="009C72A1"/>
    <w:rsid w:val="009D1E67"/>
    <w:rsid w:val="009D4274"/>
    <w:rsid w:val="009D4A03"/>
    <w:rsid w:val="009D74C2"/>
    <w:rsid w:val="00A01F7E"/>
    <w:rsid w:val="00A035BD"/>
    <w:rsid w:val="00A06675"/>
    <w:rsid w:val="00A16AD0"/>
    <w:rsid w:val="00A24E7C"/>
    <w:rsid w:val="00A32024"/>
    <w:rsid w:val="00A32240"/>
    <w:rsid w:val="00A414F6"/>
    <w:rsid w:val="00A446D1"/>
    <w:rsid w:val="00A5270F"/>
    <w:rsid w:val="00A60AF2"/>
    <w:rsid w:val="00A60F5E"/>
    <w:rsid w:val="00A61295"/>
    <w:rsid w:val="00A67332"/>
    <w:rsid w:val="00A67F64"/>
    <w:rsid w:val="00A80546"/>
    <w:rsid w:val="00A86582"/>
    <w:rsid w:val="00A92499"/>
    <w:rsid w:val="00A94E39"/>
    <w:rsid w:val="00AB591E"/>
    <w:rsid w:val="00AC0D47"/>
    <w:rsid w:val="00AC3C49"/>
    <w:rsid w:val="00AD509A"/>
    <w:rsid w:val="00AD71FF"/>
    <w:rsid w:val="00AD7279"/>
    <w:rsid w:val="00AE10A7"/>
    <w:rsid w:val="00AF0850"/>
    <w:rsid w:val="00B019FE"/>
    <w:rsid w:val="00B034BD"/>
    <w:rsid w:val="00B14EE6"/>
    <w:rsid w:val="00B235B7"/>
    <w:rsid w:val="00B24917"/>
    <w:rsid w:val="00B30248"/>
    <w:rsid w:val="00B3107E"/>
    <w:rsid w:val="00B31B04"/>
    <w:rsid w:val="00B31BFC"/>
    <w:rsid w:val="00B41001"/>
    <w:rsid w:val="00B431B2"/>
    <w:rsid w:val="00B44453"/>
    <w:rsid w:val="00B445EA"/>
    <w:rsid w:val="00B62866"/>
    <w:rsid w:val="00B63096"/>
    <w:rsid w:val="00B70419"/>
    <w:rsid w:val="00B74AF2"/>
    <w:rsid w:val="00B81B03"/>
    <w:rsid w:val="00B83EC8"/>
    <w:rsid w:val="00B85B5C"/>
    <w:rsid w:val="00B86C51"/>
    <w:rsid w:val="00B878CC"/>
    <w:rsid w:val="00B944C7"/>
    <w:rsid w:val="00B977FA"/>
    <w:rsid w:val="00BA14B8"/>
    <w:rsid w:val="00BA2494"/>
    <w:rsid w:val="00BA29D1"/>
    <w:rsid w:val="00BA4B0A"/>
    <w:rsid w:val="00BC5290"/>
    <w:rsid w:val="00BD37CC"/>
    <w:rsid w:val="00BD45F3"/>
    <w:rsid w:val="00BD5894"/>
    <w:rsid w:val="00BE2553"/>
    <w:rsid w:val="00BE45E4"/>
    <w:rsid w:val="00BF0E69"/>
    <w:rsid w:val="00BF46C2"/>
    <w:rsid w:val="00C005EC"/>
    <w:rsid w:val="00C017A0"/>
    <w:rsid w:val="00C05401"/>
    <w:rsid w:val="00C14CE1"/>
    <w:rsid w:val="00C1541D"/>
    <w:rsid w:val="00C17649"/>
    <w:rsid w:val="00C21474"/>
    <w:rsid w:val="00C247D3"/>
    <w:rsid w:val="00C30B3E"/>
    <w:rsid w:val="00C35367"/>
    <w:rsid w:val="00C35A77"/>
    <w:rsid w:val="00C3658F"/>
    <w:rsid w:val="00C37FEE"/>
    <w:rsid w:val="00C44BD5"/>
    <w:rsid w:val="00C450B0"/>
    <w:rsid w:val="00C5221A"/>
    <w:rsid w:val="00C5539F"/>
    <w:rsid w:val="00C616E3"/>
    <w:rsid w:val="00C640C0"/>
    <w:rsid w:val="00C8132F"/>
    <w:rsid w:val="00C82B70"/>
    <w:rsid w:val="00C82EC4"/>
    <w:rsid w:val="00C85304"/>
    <w:rsid w:val="00C9026D"/>
    <w:rsid w:val="00CA0F0D"/>
    <w:rsid w:val="00CA40E6"/>
    <w:rsid w:val="00CA559B"/>
    <w:rsid w:val="00CB1F21"/>
    <w:rsid w:val="00CB50E6"/>
    <w:rsid w:val="00CC5B84"/>
    <w:rsid w:val="00CC5B87"/>
    <w:rsid w:val="00CC7DE8"/>
    <w:rsid w:val="00CD0A92"/>
    <w:rsid w:val="00CD0D82"/>
    <w:rsid w:val="00CD4BC1"/>
    <w:rsid w:val="00CD75C9"/>
    <w:rsid w:val="00CF4888"/>
    <w:rsid w:val="00D001A7"/>
    <w:rsid w:val="00D0228F"/>
    <w:rsid w:val="00D12769"/>
    <w:rsid w:val="00D2021F"/>
    <w:rsid w:val="00D207FB"/>
    <w:rsid w:val="00D21082"/>
    <w:rsid w:val="00D2410A"/>
    <w:rsid w:val="00D25F2B"/>
    <w:rsid w:val="00D268C4"/>
    <w:rsid w:val="00D30259"/>
    <w:rsid w:val="00D34678"/>
    <w:rsid w:val="00D368D2"/>
    <w:rsid w:val="00D450AA"/>
    <w:rsid w:val="00D507A3"/>
    <w:rsid w:val="00D50869"/>
    <w:rsid w:val="00D70CBA"/>
    <w:rsid w:val="00D818D2"/>
    <w:rsid w:val="00D85845"/>
    <w:rsid w:val="00D91E1F"/>
    <w:rsid w:val="00D922E5"/>
    <w:rsid w:val="00D94E78"/>
    <w:rsid w:val="00D97E84"/>
    <w:rsid w:val="00DA3CF5"/>
    <w:rsid w:val="00DB1487"/>
    <w:rsid w:val="00DB1EF5"/>
    <w:rsid w:val="00DB2899"/>
    <w:rsid w:val="00DB319E"/>
    <w:rsid w:val="00DB4B43"/>
    <w:rsid w:val="00DD0340"/>
    <w:rsid w:val="00DD113E"/>
    <w:rsid w:val="00DD5AD2"/>
    <w:rsid w:val="00DE3931"/>
    <w:rsid w:val="00DE5783"/>
    <w:rsid w:val="00DF2050"/>
    <w:rsid w:val="00DF393B"/>
    <w:rsid w:val="00DF5A3E"/>
    <w:rsid w:val="00DF5BCA"/>
    <w:rsid w:val="00E06E29"/>
    <w:rsid w:val="00E2425E"/>
    <w:rsid w:val="00E303CA"/>
    <w:rsid w:val="00E40306"/>
    <w:rsid w:val="00E40C95"/>
    <w:rsid w:val="00E40FE8"/>
    <w:rsid w:val="00E4351A"/>
    <w:rsid w:val="00E43EB4"/>
    <w:rsid w:val="00E53D9D"/>
    <w:rsid w:val="00E604DB"/>
    <w:rsid w:val="00E61FD5"/>
    <w:rsid w:val="00E62540"/>
    <w:rsid w:val="00E67248"/>
    <w:rsid w:val="00E72CDB"/>
    <w:rsid w:val="00E72EA8"/>
    <w:rsid w:val="00E73DC0"/>
    <w:rsid w:val="00E9289D"/>
    <w:rsid w:val="00E94330"/>
    <w:rsid w:val="00E95849"/>
    <w:rsid w:val="00E96C09"/>
    <w:rsid w:val="00EA0032"/>
    <w:rsid w:val="00EA17F8"/>
    <w:rsid w:val="00EB497F"/>
    <w:rsid w:val="00EC123B"/>
    <w:rsid w:val="00EC1BBD"/>
    <w:rsid w:val="00ED0939"/>
    <w:rsid w:val="00ED0DA3"/>
    <w:rsid w:val="00EE3300"/>
    <w:rsid w:val="00EE35FC"/>
    <w:rsid w:val="00EE6722"/>
    <w:rsid w:val="00EF4AF3"/>
    <w:rsid w:val="00EF5031"/>
    <w:rsid w:val="00F0212F"/>
    <w:rsid w:val="00F04FD8"/>
    <w:rsid w:val="00F04FE9"/>
    <w:rsid w:val="00F23590"/>
    <w:rsid w:val="00F23A21"/>
    <w:rsid w:val="00F246A5"/>
    <w:rsid w:val="00F249C2"/>
    <w:rsid w:val="00F279E9"/>
    <w:rsid w:val="00F27E6A"/>
    <w:rsid w:val="00F40EB0"/>
    <w:rsid w:val="00F412CE"/>
    <w:rsid w:val="00F46F88"/>
    <w:rsid w:val="00F510DB"/>
    <w:rsid w:val="00F527CA"/>
    <w:rsid w:val="00F56BA5"/>
    <w:rsid w:val="00F60826"/>
    <w:rsid w:val="00F610BB"/>
    <w:rsid w:val="00F62ED5"/>
    <w:rsid w:val="00F63D4F"/>
    <w:rsid w:val="00F70922"/>
    <w:rsid w:val="00F70DFA"/>
    <w:rsid w:val="00F712B9"/>
    <w:rsid w:val="00F81433"/>
    <w:rsid w:val="00F92A62"/>
    <w:rsid w:val="00F946B5"/>
    <w:rsid w:val="00FA028F"/>
    <w:rsid w:val="00FA1533"/>
    <w:rsid w:val="00FA2336"/>
    <w:rsid w:val="00FB3A51"/>
    <w:rsid w:val="00FB60DB"/>
    <w:rsid w:val="00FB6819"/>
    <w:rsid w:val="00FC1BF9"/>
    <w:rsid w:val="00FC455C"/>
    <w:rsid w:val="00FC6423"/>
    <w:rsid w:val="00FD3483"/>
    <w:rsid w:val="00FE3A2D"/>
    <w:rsid w:val="00FE68D6"/>
    <w:rsid w:val="00FF1B0B"/>
    <w:rsid w:val="163D2FAD"/>
    <w:rsid w:val="25B5F0B1"/>
    <w:rsid w:val="35CEEE03"/>
    <w:rsid w:val="3EF43CE6"/>
    <w:rsid w:val="3FBD7371"/>
    <w:rsid w:val="47FD87DF"/>
    <w:rsid w:val="5F3FFE89"/>
    <w:rsid w:val="6BD07803"/>
    <w:rsid w:val="77FE56B0"/>
    <w:rsid w:val="7A78D8C7"/>
    <w:rsid w:val="7B7F7186"/>
    <w:rsid w:val="7E762FA6"/>
    <w:rsid w:val="7FDBE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C2757"/>
  <w15:docId w15:val="{AD6CDAF4-1273-9240-B560-2B8134CF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kern w:val="2"/>
      <w:sz w:val="24"/>
      <w:szCs w:val="24"/>
      <w:lang w:val="zh-CN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Title">
    <w:name w:val="Title"/>
    <w:basedOn w:val="Normal"/>
    <w:pPr>
      <w:keepNext/>
      <w:widowControl/>
      <w:spacing w:lineRule="exact" w:line="672" w:after="120"/>
      <w:ind w:firstLine="0"/>
    </w:pPr>
    <w:rPr>
      <w:rFonts w:ascii="Times New Roman" w:hAnsi="Times New Roman" w:cs="Times New Roman" w:eastAsia="黑体"/>
      <w:b/>
      <w:color w:val="000000"/>
      <w:sz w:val="48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ReportSubtitle">
    <w:name w:val="ReportSubtitle"/>
    <w:basedOn w:val="Normal"/>
    <w:pPr>
      <w:keepNext/>
      <w:widowControl/>
      <w:spacing w:lineRule="exact" w:line="504" w:after="120"/>
      <w:ind w:firstLine="0"/>
    </w:pPr>
    <w:rPr>
      <w:rFonts w:ascii="Times New Roman" w:hAnsi="Times New Roman" w:cs="Times New Roman" w:eastAsia="黑体"/>
      <w:b w:val="0"/>
      <w:color w:val="000000"/>
      <w:sz w:val="36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ReportAuthor">
    <w:name w:val="ReportAuthor"/>
    <w:basedOn w:val="Normal"/>
    <w:pPr>
      <w:keepNext/>
      <w:widowControl/>
      <w:spacing w:lineRule="exact" w:line="400" w:after="120"/>
      <w:ind w:firstLine="0"/>
    </w:pPr>
    <w:rPr>
      <w:rFonts w:ascii="Times New Roman" w:hAnsi="Times New Roman" w:cs="Times New Roman" w:eastAsia="宋体"/>
      <w:b w:val="0"/>
      <w:color w:val="000000"/>
      <w:sz w:val="28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ReportBody">
    <w:name w:val="ReportBody"/>
    <w:basedOn w:val="Normal"/>
    <w:pPr>
      <w:keepNext w:val="0"/>
      <w:widowControl/>
      <w:spacing w:lineRule="exact" w:line="400" w:after="120"/>
      <w:ind w:firstLine="480"/>
    </w:pPr>
    <w:rPr>
      <w:rFonts w:ascii="Times New Roman" w:hAnsi="Times New Roman" w:cs="Times New Roman" w:eastAsia="宋体"/>
      <w:b w:val="0"/>
      <w:color w:val="000000"/>
      <w:sz w:val="24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ReportHeading">
    <w:name w:val="ReportHeading"/>
    <w:basedOn w:val="Normal"/>
    <w:pPr>
      <w:keepNext/>
      <w:widowControl/>
      <w:spacing w:lineRule="exact" w:line="400" w:after="120" w:before="200"/>
      <w:ind w:firstLine="0"/>
    </w:pPr>
    <w:rPr>
      <w:rFonts w:ascii="Times New Roman" w:hAnsi="Times New Roman" w:cs="Times New Roman" w:eastAsia="黑体"/>
      <w:b/>
      <w:color w:val="000000"/>
      <w:sz w:val="28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ReportSubheading">
    <w:name w:val="ReportSubheading"/>
    <w:basedOn w:val="Normal"/>
    <w:pPr>
      <w:keepNext/>
      <w:widowControl/>
      <w:spacing w:lineRule="exact" w:line="400" w:after="120" w:before="120"/>
      <w:ind w:firstLine="0"/>
    </w:pPr>
    <w:rPr>
      <w:rFonts w:ascii="Times New Roman" w:hAnsi="Times New Roman" w:cs="Times New Roman" w:eastAsia="黑体"/>
      <w:b/>
      <w:color w:val="000000"/>
      <w:sz w:val="24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ReportCaption">
    <w:name w:val="ReportCaption"/>
    <w:basedOn w:val="Normal"/>
    <w:pPr>
      <w:keepNext w:val="0"/>
      <w:widowControl/>
      <w:spacing w:lineRule="exact" w:line="320" w:after="120"/>
      <w:ind w:firstLine="0"/>
    </w:pPr>
    <w:rPr>
      <w:rFonts w:ascii="Times New Roman" w:hAnsi="Times New Roman" w:cs="Times New Roman" w:eastAsia="宋体"/>
      <w:b w:val="0"/>
      <w:color w:val="000000"/>
      <w:sz w:val="22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ReportTable">
    <w:name w:val="ReportTable"/>
    <w:basedOn w:val="Normal"/>
    <w:pPr>
      <w:keepNext w:val="0"/>
      <w:widowControl/>
      <w:spacing w:lineRule="exact" w:line="320" w:after="40"/>
      <w:ind w:firstLine="0"/>
    </w:pPr>
    <w:rPr>
      <w:rFonts w:ascii="Times New Roman" w:hAnsi="Times New Roman" w:cs="Times New Roman" w:eastAsia="宋体"/>
      <w:b w:val="0"/>
      <w:color w:val="000000"/>
      <w:sz w:val="21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ReportList">
    <w:name w:val="ReportList"/>
    <w:basedOn w:val="Normal"/>
    <w:pPr>
      <w:keepNext w:val="0"/>
      <w:widowControl/>
      <w:spacing w:lineRule="exact" w:line="400" w:after="120"/>
      <w:ind w:firstLine="0"/>
    </w:pPr>
    <w:rPr>
      <w:rFonts w:ascii="Times New Roman" w:hAnsi="Times New Roman" w:cs="Times New Roman" w:eastAsia="宋体"/>
      <w:b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xmlns="http://schemas.openxmlformats.org/package/2006/relationships" Id="rId7" Type="http://schemas.openxmlformats.org/officeDocument/2006/relationships/image" Target="media/image1.png"/><Relationship xmlns="http://schemas.openxmlformats.org/package/2006/relationships" Id="rId8" Type="http://schemas.openxmlformats.org/officeDocument/2006/relationships/image" Target="media/image2.png"/><Relationship xmlns="http://schemas.openxmlformats.org/package/2006/relationships" Id="rId9" Type="http://schemas.openxmlformats.org/officeDocument/2006/relationships/image" Target="media/image3.png"/><Relationship xmlns="http://schemas.openxmlformats.org/package/2006/relationships" Id="rId10" Type="http://schemas.openxmlformats.org/officeDocument/2006/relationships/image" Target="media/image4.png"/><Relationship xmlns="http://schemas.openxmlformats.org/package/2006/relationships" Id="rId11" Type="http://schemas.openxmlformats.org/officeDocument/2006/relationships/image" Target="media/image5.png"/><Relationship xmlns="http://schemas.openxmlformats.org/package/2006/relationships" Id="rId12" Type="http://schemas.openxmlformats.org/officeDocument/2006/relationships/image" Target="media/image6.png"/><Relationship xmlns="http://schemas.openxmlformats.org/package/2006/relationships" Id="rId13" Type="http://schemas.openxmlformats.org/officeDocument/2006/relationships/image" Target="media/image7.png"/><Relationship xmlns="http://schemas.openxmlformats.org/package/2006/relationships" Id="rId14" Type="http://schemas.openxmlformats.org/officeDocument/2006/relationships/image" Target="media/image8.png"/><Relationship xmlns="http://schemas.openxmlformats.org/package/2006/relationships" Id="rId15" Type="http://schemas.openxmlformats.org/officeDocument/2006/relationships/image" Target="media/image9.png"/><Relationship xmlns="http://schemas.openxmlformats.org/package/2006/relationships" Id="rId16" Type="http://schemas.openxmlformats.org/officeDocument/2006/relationships/image" Target="media/image10.png"/><Relationship xmlns="http://schemas.openxmlformats.org/package/2006/relationships" Id="rId17" Type="http://schemas.openxmlformats.org/officeDocument/2006/relationships/image" Target="media/image11.png"/><Relationship xmlns="http://schemas.openxmlformats.org/package/2006/relationships" Id="rId18" Type="http://schemas.openxmlformats.org/officeDocument/2006/relationships/image" Target="media/image12.png"/><Relationship xmlns="http://schemas.openxmlformats.org/package/2006/relationships" Id="rId19" Type="http://schemas.openxmlformats.org/officeDocument/2006/relationships/image" Target="media/image13.png"/><Relationship xmlns="http://schemas.openxmlformats.org/package/2006/relationships" Id="rId20" Type="http://schemas.openxmlformats.org/officeDocument/2006/relationships/image" Target="media/image14.png"/><Relationship xmlns="http://schemas.openxmlformats.org/package/2006/relationships" Id="rId21" Type="http://schemas.openxmlformats.org/officeDocument/2006/relationships/image" Target="media/image15.png"/><Relationship xmlns="http://schemas.openxmlformats.org/package/2006/relationships" Id="rId22" Type="http://schemas.openxmlformats.org/officeDocument/2006/relationships/image" Target="media/image16.png"/><Relationship xmlns="http://schemas.openxmlformats.org/package/2006/relationships" Id="rId23" Type="http://schemas.openxmlformats.org/officeDocument/2006/relationships/image" Target="media/image17.png"/><Relationship xmlns="http://schemas.openxmlformats.org/package/2006/relationships" Id="rId24" Type="http://schemas.openxmlformats.org/officeDocument/2006/relationships/image" Target="media/image18.png"/><Relationship xmlns="http://schemas.openxmlformats.org/package/2006/relationships" Id="rId25" Type="http://schemas.openxmlformats.org/officeDocument/2006/relationships/image" Target="media/image19.png"/><Relationship xmlns="http://schemas.openxmlformats.org/package/2006/relationships" Id="rId26" Type="http://schemas.openxmlformats.org/officeDocument/2006/relationships/image" Target="media/image20.png"/><Relationship xmlns="http://schemas.openxmlformats.org/package/2006/relationships" Id="rId27" Type="http://schemas.openxmlformats.org/officeDocument/2006/relationships/image" Target="media/image21.png"/><Relationship xmlns="http://schemas.openxmlformats.org/package/2006/relationships" Id="rId28" Type="http://schemas.openxmlformats.org/officeDocument/2006/relationships/image" Target="media/image22.png"/><Relationship xmlns="http://schemas.openxmlformats.org/package/2006/relationships" Id="rId29" Type="http://schemas.openxmlformats.org/officeDocument/2006/relationships/image" Target="media/image23.png"/><Relationship xmlns="http://schemas.openxmlformats.org/package/2006/relationships" Id="rId30" Type="http://schemas.openxmlformats.org/officeDocument/2006/relationships/image" Target="media/image24.png"/><Relationship xmlns="http://schemas.openxmlformats.org/package/2006/relationships" Id="rId31" Type="http://schemas.openxmlformats.org/officeDocument/2006/relationships/image" Target="media/image25.png"/><Relationship xmlns="http://schemas.openxmlformats.org/package/2006/relationships" Id="rId32" Type="http://schemas.openxmlformats.org/officeDocument/2006/relationships/image" Target="media/image26.png"/><Relationship xmlns="http://schemas.openxmlformats.org/package/2006/relationships" Id="rId33" Type="http://schemas.openxmlformats.org/officeDocument/2006/relationships/image" Target="media/image27.png"/><Relationship xmlns="http://schemas.openxmlformats.org/package/2006/relationships" Id="rId34" Type="http://schemas.openxmlformats.org/officeDocument/2006/relationships/image" Target="media/image28.png"/><Relationship xmlns="http://schemas.openxmlformats.org/package/2006/relationships" Id="rId35" Type="http://schemas.openxmlformats.org/officeDocument/2006/relationships/image" Target="media/image29.png"/><Relationship xmlns="http://schemas.openxmlformats.org/package/2006/relationships" Id="rId36" Type="http://schemas.openxmlformats.org/officeDocument/2006/relationships/image" Target="media/image30.png"/><Relationship xmlns="http://schemas.openxmlformats.org/package/2006/relationships" Id="rId37" Type="http://schemas.openxmlformats.org/officeDocument/2006/relationships/image" Target="media/image31.png"/><Relationship xmlns="http://schemas.openxmlformats.org/package/2006/relationships" Id="rId38" Type="http://schemas.openxmlformats.org/officeDocument/2006/relationships/image" Target="media/image32.png"/><Relationship xmlns="http://schemas.openxmlformats.org/package/2006/relationships" Id="rId39" Type="http://schemas.openxmlformats.org/officeDocument/2006/relationships/image" Target="media/image33.png"/><Relationship xmlns="http://schemas.openxmlformats.org/package/2006/relationships" Id="rId40" Type="http://schemas.openxmlformats.org/officeDocument/2006/relationships/image" Target="media/image34.png"/><Relationship xmlns="http://schemas.openxmlformats.org/package/2006/relationships" Id="rId41" Type="http://schemas.openxmlformats.org/officeDocument/2006/relationships/image" Target="media/image35.png"/><Relationship xmlns="http://schemas.openxmlformats.org/package/2006/relationships" Id="rId42" Type="http://schemas.openxmlformats.org/officeDocument/2006/relationships/image" Target="media/image36.png"/><Relationship xmlns="http://schemas.openxmlformats.org/package/2006/relationships" Id="rId43" Type="http://schemas.openxmlformats.org/officeDocument/2006/relationships/image" Target="media/image37.png"/><Relationship xmlns="http://schemas.openxmlformats.org/package/2006/relationships" Id="rId44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210</Words>
  <Characters>1197</Characters>
  <Application>Microsoft Office Word</Application>
  <DocSecurity>0</DocSecurity>
  <Lines>9</Lines>
  <Paragraphs>2</Paragraphs>
  <ScaleCrop>false</ScaleCrop>
  <Company>Peking University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Yixin Zhuang</dc:creator>
  <cp:lastModifiedBy>Yixin Zhuang</cp:lastModifiedBy>
  <cp:revision>7</cp:revision>
  <dcterms:created xsi:type="dcterms:W3CDTF">2024-09-30T11:18:00Z</dcterms:created>
  <dcterms:modified xsi:type="dcterms:W3CDTF">2025-09-25T13:24:00Z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E0C6B860B731831A579D16677A33E0A8_42</vt:lpwstr>
  </property>
</Properties>
</file>