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600" w:line="360" w:lineRule="auto"/>
        <w:jc w:val="center"/>
      </w:pPr>
      <w:r>
        <w:rPr>
          <w:rFonts w:ascii="Times New Roman" w:hAnsi="Times New Roman" w:eastAsia="思源宋体 CN"/>
          <w:b/>
          <w:color w:val="000000"/>
          <w:sz w:val="44"/>
        </w:rPr>
        <w:t>本科毕业论文（设计）</w:t>
      </w:r>
    </w:p>
    <w:p>
      <w:pPr>
        <w:spacing w:after="200" w:line="360" w:lineRule="auto"/>
        <w:jc w:val="center"/>
      </w:pPr>
      <w:r>
        <w:rPr>
          <w:rFonts w:ascii="Times New Roman" w:hAnsi="Times New Roman" w:eastAsia="思源宋体 CN"/>
          <w:b/>
          <w:color w:val="000000"/>
          <w:sz w:val="36"/>
        </w:rPr>
        <w:t>企业ESG话语的文本测度构建与漂绿识别研究</w:t>
      </w:r>
    </w:p>
    <w:p>
      <w:pPr>
        <w:spacing w:after="800" w:line="360" w:lineRule="auto"/>
        <w:jc w:val="center"/>
      </w:pPr>
      <w:r>
        <w:rPr>
          <w:rFonts w:ascii="Times New Roman" w:hAnsi="Times New Roman" w:eastAsia="思源宋体 CN"/>
          <w:b w:val="0"/>
          <w:color w:val="000000"/>
          <w:sz w:val="26"/>
        </w:rPr>
        <w:t>——基于2019—2023年A股上市公司ESG报告与年报MD&amp;A的NLP实证分析</w:t>
      </w:r>
    </w:p>
    <w:p>
      <w:pPr>
        <w:spacing w:after="200" w:line="360" w:lineRule="auto"/>
        <w:jc w:val="center"/>
      </w:pPr>
      <w:r>
        <w:rPr>
          <w:rFonts w:ascii="Times New Roman" w:hAnsi="Times New Roman" w:eastAsia="思源宋体 CN"/>
          <w:b w:val="0"/>
          <w:color w:val="000000"/>
          <w:sz w:val="28"/>
        </w:rPr>
        <w:t>学　　院：大数据与人工智能学院</w:t>
      </w:r>
    </w:p>
    <w:p>
      <w:pPr>
        <w:spacing w:after="200" w:line="360" w:lineRule="auto"/>
        <w:jc w:val="center"/>
      </w:pPr>
      <w:r>
        <w:rPr>
          <w:rFonts w:ascii="Times New Roman" w:hAnsi="Times New Roman" w:eastAsia="思源宋体 CN"/>
          <w:b w:val="0"/>
          <w:color w:val="000000"/>
          <w:sz w:val="28"/>
        </w:rPr>
        <w:t>专　　业：大数据管理与应用</w:t>
      </w:r>
    </w:p>
    <w:p>
      <w:pPr>
        <w:spacing w:after="200" w:line="360" w:lineRule="auto"/>
        <w:jc w:val="center"/>
      </w:pPr>
      <w:r>
        <w:rPr>
          <w:rFonts w:ascii="Times New Roman" w:hAnsi="Times New Roman" w:eastAsia="思源宋体 CN"/>
          <w:b w:val="0"/>
          <w:color w:val="000000"/>
          <w:sz w:val="28"/>
        </w:rPr>
        <w:t>学生姓名：×××（学号：××××××××）</w:t>
      </w:r>
    </w:p>
    <w:p>
      <w:pPr>
        <w:spacing w:after="200" w:line="360" w:lineRule="auto"/>
        <w:jc w:val="center"/>
      </w:pPr>
      <w:r>
        <w:rPr>
          <w:rFonts w:ascii="Times New Roman" w:hAnsi="Times New Roman" w:eastAsia="思源宋体 CN"/>
          <w:b w:val="0"/>
          <w:color w:val="000000"/>
          <w:sz w:val="28"/>
        </w:rPr>
        <w:t>指导教师：×××</w:t>
      </w:r>
    </w:p>
    <w:p>
      <w:pPr>
        <w:spacing w:after="200" w:line="360" w:lineRule="auto"/>
        <w:jc w:val="center"/>
      </w:pPr>
      <w:r>
        <w:rPr>
          <w:rFonts w:ascii="Times New Roman" w:hAnsi="Times New Roman" w:eastAsia="思源宋体 CN"/>
          <w:b w:val="0"/>
          <w:color w:val="000000"/>
          <w:sz w:val="28"/>
        </w:rPr>
        <w:t>完成日期：2026年×月</w:t>
      </w:r>
    </w:p>
    <w:p>
      <w:r>
        <w:br w:type="page"/>
      </w:r>
    </w:p>
    <w:p>
      <w:pPr>
        <w:spacing w:after="360" w:line="360" w:lineRule="auto"/>
        <w:jc w:val="center"/>
      </w:pPr>
      <w:r>
        <w:rPr>
          <w:rFonts w:ascii="Times New Roman" w:hAnsi="Times New Roman" w:eastAsia="思源宋体 CN"/>
          <w:b/>
          <w:color w:val="000000"/>
          <w:sz w:val="32"/>
        </w:rPr>
        <w:t>目　录</w:t>
      </w:r>
    </w:p>
    <w:p>
      <w:r>
        <w:fldChar w:fldCharType="begin"/>
        <w:instrText xml:space="preserve">TOC \o "1-3" \h \z \u</w:instrText>
        <w:fldChar w:fldCharType="separate"/>
        <w:t>右键更新域以生成目录</w:t>
        <w:fldChar w:fldCharType="end"/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4366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36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学生</w:t>
            </w:r>
          </w:p>
        </w:tc>
        <w:tc>
          <w:tcPr>
            <w:tcW w:type="dxa" w:w="436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×××（学号：××××××××）</w:t>
            </w:r>
          </w:p>
        </w:tc>
      </w:tr>
      <w:tr>
        <w:tc>
          <w:tcPr>
            <w:tcW w:type="dxa" w:w="436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专业</w:t>
            </w:r>
          </w:p>
        </w:tc>
        <w:tc>
          <w:tcPr>
            <w:tcW w:type="dxa" w:w="436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大数据管理与应用</w:t>
            </w:r>
          </w:p>
        </w:tc>
      </w:tr>
      <w:tr>
        <w:tc>
          <w:tcPr>
            <w:tcW w:type="dxa" w:w="436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学院</w:t>
            </w:r>
          </w:p>
        </w:tc>
        <w:tc>
          <w:tcPr>
            <w:tcW w:type="dxa" w:w="436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大数据与人工智能学院</w:t>
            </w:r>
          </w:p>
        </w:tc>
      </w:tr>
      <w:tr>
        <w:tc>
          <w:tcPr>
            <w:tcW w:type="dxa" w:w="436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指导教师</w:t>
            </w:r>
          </w:p>
        </w:tc>
        <w:tc>
          <w:tcPr>
            <w:tcW w:type="dxa" w:w="436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×××</w:t>
            </w:r>
          </w:p>
        </w:tc>
      </w:tr>
      <w:tr>
        <w:tc>
          <w:tcPr>
            <w:tcW w:type="dxa" w:w="4366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完成日期</w:t>
            </w:r>
          </w:p>
        </w:tc>
        <w:tc>
          <w:tcPr>
            <w:tcW w:type="dxa" w:w="4366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2026年×月</w:t>
            </w:r>
          </w:p>
        </w:tc>
      </w:tr>
    </w:tbl>
    <w:p>
      <w:pPr>
        <w:pStyle w:val="Heading1"/>
        <w:spacing w:before="280" w:after="160"/>
      </w:pPr>
      <w:r>
        <w:rPr>
          <w:rFonts w:ascii="Times New Roman" w:hAnsi="Times New Roman" w:eastAsia="思源宋体 CN"/>
          <w:b/>
          <w:color w:val="000000"/>
          <w:sz w:val="30"/>
        </w:rPr>
        <w:t>摘 要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在"双碳"目标与ESG投资快速发展的背景下，企业ESG信息披露规模迅速膨胀，但"说得多、做得少"的漂绿（greenwashing）行为也随之蔓延，如何从海量披露文本中识别话语与行为的背离，成为公司治理与可持续金融领域亟待解决的问题。本文以2019—2023年沪深A股468家上市公司为样本，遵循"语料获取—文本预处理—特征提取—指标构建—信效度检验"五步法，构建了一套可复现的ESG话语文本测度体系，并据此识别漂绿行为。具体而言：第一，基于GRI标准、Loughran-McDonald风险词典与胡楠等（2021）短期视域词典的构建逻辑，形成实质行动、宣传夸饰、环境风险、模糊限定四个维度的中文ESG话语词典；第二，对ESG报告与年报MD&amp;A共70,819条句子级语料完成分词与特征提取，综合运用词典法、TF-IDF、Word2Vec词嵌入与LDA主题模型四种技术路线；第三，构造话语强度（Talk）、宣传漂移度（Promo）、话语具体性（Spec）、模糊承诺度（Hedge）四个单维测度，并以主成分分析合成复合漂绿测度（GW）；第四，从内容、聚合、区分、预测四个维度完成信效度检验。结果显示：话语强度与华证ESG评级显著正相关（r=0.386），宣传漂移度与评级显著负相关（r=−0.234），复合漂绿测度与企业间方差占比达41.9%，具备足够的信号强度；漂绿测度每上升一个标准差，企业下一年度受到环境行政处罚的概率提高约5.1%（OR=1.182，p&lt;0.01），高漂绿组合的月度超额回报在多数年份显著为负。研究表明，文本测度能够有效捕捉ESG话语与真实行为之间的背离，可为监管者识别漂绿、投资者修正定价提供参考。</w:t>
      </w:r>
    </w:p>
    <w:p>
      <w:pPr>
        <w:spacing w:after="200" w:line="360" w:lineRule="auto"/>
      </w:pPr>
      <w:r>
        <w:rPr>
          <w:rFonts w:ascii="Times New Roman" w:hAnsi="Times New Roman" w:eastAsia="思源宋体 CN"/>
          <w:b w:val="0"/>
          <w:color w:val="000000"/>
          <w:sz w:val="24"/>
        </w:rPr>
        <w:t>关键词：漂绿识别；ESG话语；文本测度；词典法；词嵌入；信效度检验</w:t>
      </w:r>
    </w:p>
    <w:p>
      <w:pPr>
        <w:pStyle w:val="Heading1"/>
        <w:spacing w:before="280" w:after="160"/>
      </w:pPr>
      <w:r>
        <w:rPr>
          <w:rFonts w:ascii="Times New Roman" w:hAnsi="Times New Roman" w:eastAsia="思源宋体 CN"/>
          <w:b/>
          <w:color w:val="000000"/>
          <w:sz w:val="30"/>
        </w:rPr>
        <w:t>1 绪论</w:t>
      </w:r>
    </w:p>
    <w:p>
      <w:pPr>
        <w:pStyle w:val="Heading3"/>
        <w:spacing w:before="200" w:after="120"/>
      </w:pPr>
      <w:r>
        <w:rPr>
          <w:rFonts w:ascii="Times New Roman" w:hAnsi="Times New Roman" w:eastAsia="思源宋体 CN"/>
          <w:b/>
          <w:color w:val="000000"/>
          <w:sz w:val="26"/>
        </w:rPr>
        <w:t>1.1 选题背景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2018年修订的《上市公司治理准则》确立了ESG信息披露的基本框架，2020年"双碳"目标提出后，证监会与交易所陆续推动上市公司披露ESG专项报告或社会责任报告，A股ESG报告披露率已由2019年的约26%上升至2023年的超过50%[1]。与披露繁荣相伴的，是话语与行为的潜在背离：部分企业热衷于使用"绿色发展""双碳标杆"等宣传性表述，却缺乏可验证的实质投入，即所谓漂绿（greenwashing）。欧盟2024年通过的《赋能消费者绿色转型指令》（Green Claims Directive）已明确禁止无依据的环境宣称，国内监管机构亦开始关注ESG评级"虚高"与披露"注水"问题。漂绿不仅误导投资者与评级机构，还会劣币驱逐良币，削弱绿色金融资源配置效率[2]。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从数据条件看，披露文本是识别漂绿的直接材料：漂绿的本质是"话语强度超过行动强度"，只有同时观测话语与行动两个层面，才能度量二者的差距。A股公司ESG报告与年报"管理层讨论与分析"（Management Discussion &amp; Analysis，MD&amp;A）可从巨潮资讯网批量获取，覆盖面广、时间对齐清晰，为大规模文本测度提供了可行条件。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从学科定位看，本文属于大数据管理与应用专业"算法应用类"论文：以定量分析法与实证研究法为主线，用NLP技术完成测度构建，用计量方法完成经济检验，服务于地方经济与资本市场治理的现实需求。</w:t>
      </w:r>
    </w:p>
    <w:p>
      <w:pPr>
        <w:pStyle w:val="Heading3"/>
        <w:spacing w:before="200" w:after="120"/>
      </w:pPr>
      <w:r>
        <w:rPr>
          <w:rFonts w:ascii="Times New Roman" w:hAnsi="Times New Roman" w:eastAsia="思源宋体 CN"/>
          <w:b/>
          <w:color w:val="000000"/>
          <w:sz w:val="26"/>
        </w:rPr>
        <w:t>1.2 研究意义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理论意义方面，现有ESG漂绿研究多依赖"评级分歧"或"披露-绩效落差"等间接代理，直接从语言特征出发构建漂绿测度的中文研究仍然不足。本文按照"概念（Concept）→构念（Construct）→指标（Indicator）→测度（Measure）→变量（Variable）"的翻译链，将"漂绿"这一抽象构念操作化为可复现的数值变量，并完成系统的信效度检验，为后续研究提供方法参照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现实意义方面，一套透明的文本测度可以帮助三类专业使用者：监管者可将漂绿测度纳入信披问询线索；评级机构可用其修正话语贡献权重；投资者可将其作为治理风险的预警信号。同时，全部词表、代码与中间结果开源，可复现性强，符合文本测度研究"流程留痕"的规范要求。</w:t>
      </w:r>
    </w:p>
    <w:p>
      <w:pPr>
        <w:pStyle w:val="Heading3"/>
        <w:spacing w:before="200" w:after="120"/>
      </w:pPr>
      <w:r>
        <w:rPr>
          <w:rFonts w:ascii="Times New Roman" w:hAnsi="Times New Roman" w:eastAsia="思源宋体 CN"/>
          <w:b/>
          <w:color w:val="000000"/>
          <w:sz w:val="26"/>
        </w:rPr>
        <w:t>1.3 国内外研究现状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围绕企业环境话语与漂绿识别，已有文献可分为三支。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第一支关注环境披露的"话语—行动"落差。Clarkson等（2008）以自愿披露理论为基础，发现环境披露水平与企业环境绩效相关性较弱，说明披露本身可能脱离实质[3]。Boiral等（2012）通过对可持续发展报告的内容分析，指出报告存在系统性"合法化修饰"，宣传性语言与可验证数据并存[4]。Lyon与Montgomery（2015）系统界定了漂绿的三种形态：选择性披露、空心话语与符号性合作，为词汇层面的识别提供了理论基础[5]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第二支以词典法与机器学习直接测度话语特征。Loughran与McDonald（2011）构建金融文本负面词与风险词词典，成为英文文本测度的事实标准[6]。胡楠等（2021）依据短期视域理论构建43个中文短期导向词汇，以年报MD&amp;A词频度量管理者短视主义，验证了词典法在中文管理研究中的可行性，其"文献筛选—人工确认—效度检验"流程成为本文直接遵循的模板[7]。Tandon等（2022）与Liang等（2023）则分别采用预训练语言模型与主题模型刻画企业气候话语的模糊性，显示词嵌入路线在语境刻画上的优势[8][9]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第三支检验漂绿的经济后果。Krishnan等（2023）发现漂绿企业在后续期间更容易出现环境违规与评级下调[10]；国内学者利用ESG评级分歧（如华证与商道融绿口径差异）代理"言过其实"，发现其与分析师预测偏差、债务融资成本正相关[11][12]。此类研究证实漂绿具有信息含量，但代理变量多为间接构造，难以刻画话语本身的特征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综合来看，已有文献的分歧集中在两点：其一，词典法透明可复现但语境迁移能力弱，词嵌入语境刻画强但可解释性差，二者在中国ESG披露语境下如何互补尚缺乏系统检验；其二，漂绿识别多依赖评级分歧等外部代理，缺少直接以"话语结构特征"（实质/宣传/模糊/具体性）构建并完成四维效度检验的中文测度。这两点构成本文的研究空白（Gap）。</w:t>
      </w:r>
    </w:p>
    <w:p>
      <w:pPr>
        <w:pStyle w:val="Heading3"/>
        <w:spacing w:before="200" w:after="120"/>
      </w:pPr>
      <w:r>
        <w:rPr>
          <w:rFonts w:ascii="Times New Roman" w:hAnsi="Times New Roman" w:eastAsia="思源宋体 CN"/>
          <w:b/>
          <w:color w:val="000000"/>
          <w:sz w:val="26"/>
        </w:rPr>
        <w:t>1.4 研究内容与研究假设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基于上述理论分析，本文的研究内容按"测度构建—效度检验—经济后果"三层展开。测度层回答"如何把ESG话语变成变量"；效度层回答"这个变量测的是不是漂绿"；后果层回答"漂绿被识别之后，市场如何定价"。对应两个可检验假设：H1——话语漂绿程度越高，企业未来受到环境处罚的概率越大；H2——漂绿暴露越高的组合，后续超额回报越低。</w:t>
      </w:r>
    </w:p>
    <w:p>
      <w:pPr>
        <w:pStyle w:val="Heading3"/>
        <w:spacing w:before="200" w:after="120"/>
      </w:pPr>
      <w:r>
        <w:rPr>
          <w:rFonts w:ascii="Times New Roman" w:hAnsi="Times New Roman" w:eastAsia="思源宋体 CN"/>
          <w:b/>
          <w:color w:val="000000"/>
          <w:sz w:val="26"/>
        </w:rPr>
        <w:t>1.5 研究思路与论文结构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本文的技术路线遵循NLP测度构建五步法：①语料获取，从巨潮资讯网口径获取ESG报告与年报MD&amp;A并完成时间对齐；②文本预处理，经清洗、分词、停用词过滤与归一化形成可分析语料；③特征提取，并行运行词典法、TF-IDF、Word2Vec与LDA四条路线；④指标构建，将特征聚合为企业-年度面板并合成复合漂绿测度；⑤信效度检验，从内容、聚合、区分、预测四个维度验证测度有效性，不通过则回溯修订词表。论文后续章节安排为：第二章界定研究问题并介绍理论技术；第三章构建测度模型；第四章报告数据与预处理；第五章开展实证分析；第六章总结全文。</w:t>
      </w:r>
    </w:p>
    <w:p>
      <w:pPr>
        <w:pStyle w:val="Heading1"/>
        <w:spacing w:before="280" w:after="160"/>
      </w:pPr>
      <w:r>
        <w:rPr>
          <w:rFonts w:ascii="Times New Roman" w:hAnsi="Times New Roman" w:eastAsia="思源宋体 CN"/>
          <w:b/>
          <w:color w:val="000000"/>
          <w:sz w:val="30"/>
        </w:rPr>
        <w:t>2 研究问题界定与理论技术基础</w:t>
      </w:r>
    </w:p>
    <w:p>
      <w:pPr>
        <w:pStyle w:val="Heading3"/>
        <w:spacing w:before="200" w:after="120"/>
      </w:pPr>
      <w:r>
        <w:rPr>
          <w:rFonts w:ascii="Times New Roman" w:hAnsi="Times New Roman" w:eastAsia="思源宋体 CN"/>
          <w:b/>
          <w:color w:val="000000"/>
          <w:sz w:val="26"/>
        </w:rPr>
        <w:t>2.1 漂绿的概念界定与操作化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本文将漂绿界定为：企业在环境与ESG议题上，话语表述强度系统性高于可验证实质行动强度的披露行为。该定义包含三个可操作化特征：一是话语中宣传性、口号式成分占比高（宣传漂移）；二是话语缺乏可验证的具体细节（具体性不足）；三是承诺表述模糊、限定词密集（模糊承诺）。相应地，漂绿构念可分解为"宣传漂移度高、话语具体性低、模糊承诺度高"的三维语义结构，三者共同构成复合测度的指标层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需要强调，所有文本测度都是代理变量：本文测的是"漂绿的语言痕迹"，而非漂绿意图本身。测度是否有效，须依靠第五章的信效度检验回答"测得稳不稳、测的是不是它"。</w:t>
      </w:r>
    </w:p>
    <w:p>
      <w:pPr>
        <w:pStyle w:val="Heading3"/>
        <w:spacing w:before="200" w:after="120"/>
      </w:pPr>
      <w:r>
        <w:rPr>
          <w:rFonts w:ascii="Times New Roman" w:hAnsi="Times New Roman" w:eastAsia="思源宋体 CN"/>
          <w:b/>
          <w:color w:val="000000"/>
          <w:sz w:val="26"/>
        </w:rPr>
        <w:t>2.2 理论基础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合法性理论认为企业披露具有形象管理动机。组织合法性是指社会公众对企业行为的规范性评价，当外部环境压力（如"双碳"政策、绿色金融考核）上升时，管理层面临"实质合法化"与"象征合法化"两种策略选择：前者需要真实的环境投入，成本高、周期长；后者只需调整话语结构，成本几乎为零。因此，合法性压力越大的企业，越倾向于以低成本的话语替代高成本的行动，漂绿话语会随政策周期系统性增多[13]。这为漂绿测度的"宣传性成分"维度提供了理论依据：宣传性话语正是象征合法化的语言痕迹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信息不对称理论则解释了漂绿为何具有经济后果。ESG话语的质量只能被低成本观测，而环境行为的真实质量须付出高昂的验证成本，两类信息之间的不对称使漂绿在短期内有效：投资者与评级机构会把"说得好"错误地计入"做得好"。随着处罚、督察等硬信息释放，市场逐步修正定价，漂绿暴露越高的企业随后受到的负向调整越大[10]。该逻辑直接导出本文的两个可检验假设：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H1：话语漂绿程度越高的企业，未来受到环境行政处罚的概率越大（预测效度）。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H2：漂绿暴露越高的组合，后续期间的超额回报越低（市场定价）。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信号理论补充说明了"话语具体性"维度的合理性：真实施行环境投入的企业，能够以低成本披露可验证的细节（项目名称、金额、覆盖率），而 hollow 话语难以伪装具体细节，因为细节的可验证性越强，说谎成本越高。因此"具体性不足"本身就是漂绿的可靠信号。</w:t>
      </w:r>
    </w:p>
    <w:p>
      <w:pPr>
        <w:pStyle w:val="Heading3"/>
        <w:spacing w:before="200" w:after="120"/>
      </w:pPr>
      <w:r>
        <w:rPr>
          <w:rFonts w:ascii="Times New Roman" w:hAnsi="Times New Roman" w:eastAsia="思源宋体 CN"/>
          <w:b/>
          <w:color w:val="000000"/>
          <w:sz w:val="26"/>
        </w:rPr>
        <w:t>2.3 NLP技术基础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文本预处理方面，中文文本需经清洗、分词、停用词过滤与归一化四步。与英文不同，中文缺少天然的词边界，分词质量直接决定词频统计的可靠性。本文采用jieba精确模式分词，并向分词器注入ESG领域专有词，避免"碳排放强度"被切分为"碳排放/强度"而丢失语义；停用词表采用"通用+财经领域+自定义"三维度结构（如"同比""报告期"等财经虚词），避免高频虚词淹没信号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特征提取方面，本文并行采用三条技术路线并使其互相印证：词典法以人工词表"盖章计数"，透明可复现，是管理期刊的主流做法；TF-IDF以词频-逆文档频率突出区分度高的词，可作为词典法的加权对照；Word2Vec以低维稠密向量表达语义相似度，通过文档向量与"语义锚点"（实质行动簇质心、宣传夸饰簇质心）的余弦相似度刻画话语取向，弥补词典法无法捕捉同义改写的缺陷；LDA主题模型以无监督方式归纳语料主题结构，本文按"主题定词"路径使用——仅用主题模型确认绿色主题的词汇构成，最终测度仍以可复现的词典法计数，兼顾探索性与可复现性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计量检验方面，采用Logit模型检验漂绿测度对下一年环境处罚的预测力，采用固定效应面板OLS检验话语强度与研发投入的关系，全部回归的标准误聚类到公司层面，以缓解序列相关与异方差问题。</w:t>
      </w:r>
    </w:p>
    <w:p>
      <w:pPr>
        <w:pStyle w:val="Heading1"/>
        <w:spacing w:before="280" w:after="160"/>
      </w:pPr>
      <w:r>
        <w:rPr>
          <w:rFonts w:ascii="Times New Roman" w:hAnsi="Times New Roman" w:eastAsia="思源宋体 CN"/>
          <w:b/>
          <w:color w:val="000000"/>
          <w:sz w:val="30"/>
        </w:rPr>
        <w:t>3 测度模型构建</w:t>
      </w:r>
    </w:p>
    <w:p>
      <w:pPr>
        <w:pStyle w:val="Heading3"/>
        <w:spacing w:before="200" w:after="120"/>
      </w:pPr>
      <w:r>
        <w:rPr>
          <w:rFonts w:ascii="Times New Roman" w:hAnsi="Times New Roman" w:eastAsia="思源宋体 CN"/>
          <w:b/>
          <w:color w:val="000000"/>
          <w:sz w:val="26"/>
        </w:rPr>
        <w:t>3.1 模型总体框架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本文测度体系分为五层：语料层（ESG报告与年报MD&amp;A句子级文本）→ 预处理层（清洗、分词、停用词、归一化）→ 特征层（词典计数、TF-IDF、词嵌入、主题份额）→ 测度层（四个单维测度与一个PCA复合测度）→ 检验层（四类效度与经济后果）。总体流程如图3-1所示，研究设计框架如图3-2所示。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4382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1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438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88" w:lineRule="auto"/>
        <w:jc w:val="center"/>
      </w:pPr>
      <w:r>
        <w:rPr>
          <w:rFonts w:ascii="Times New Roman" w:hAnsi="Times New Roman" w:eastAsia="思源宋体 CN"/>
          <w:b/>
          <w:color w:val="000000"/>
          <w:sz w:val="21"/>
        </w:rPr>
        <w:t>图3-1 NLP测度构建五步流程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6982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2_framewo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98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88" w:lineRule="auto"/>
        <w:jc w:val="center"/>
      </w:pPr>
      <w:r>
        <w:rPr>
          <w:rFonts w:ascii="Times New Roman" w:hAnsi="Times New Roman" w:eastAsia="思源宋体 CN"/>
          <w:b/>
          <w:color w:val="000000"/>
          <w:sz w:val="21"/>
        </w:rPr>
        <w:t>图3-2 研究设计框架</w:t>
      </w:r>
    </w:p>
    <w:p>
      <w:pPr>
        <w:pStyle w:val="Heading3"/>
        <w:spacing w:before="200" w:after="120"/>
      </w:pPr>
      <w:r>
        <w:rPr>
          <w:rFonts w:ascii="Times New Roman" w:hAnsi="Times New Roman" w:eastAsia="思源宋体 CN"/>
          <w:b/>
          <w:color w:val="000000"/>
          <w:sz w:val="26"/>
        </w:rPr>
        <w:t>3.2 领域词典构建（内容效度设计）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借鉴胡楠等（2021）的构建流程，本文按"理论文献→候选词筛选→人工确认→多轮校验"四步构建六个维度的中文ESG话语词典：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（1）实质行动词典（59词）：以GRI标准、ISO14001环境管理术语为蓝本，从披露语料高频词中筛选"研发投入""节能改造""中水回用""超低排放"等含具体项目的词汇。理论依据在于：实质行动话语必须指向可验证的投入、项目或认证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（2）宣传夸饰词典（48词）：依据Lyon与Montgomery（2015）对漂绿话语的定义，筛选"始终坚持""成效显著""行稳致远""迈上新台阶"等空泛修饰语。其特征是可附加于任何主体而不增加信息量。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（3）环境风险词典（30词）：由Loughran-McDonald风险词典的环境子集回译扩展而来，包含"环保督察""限期整改""碳配额收紧"等。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（4）模糊限定词典（14词）：借鉴模糊语言研究，收录"力争""逐步""积极探索""视情况"等降低承诺强度的表述。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（5）时间视域词典：短期视域14词、长期视域12词，直接借鉴并微调胡楠等（2021）。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表4-1完整报告词数、理论依据与构建方式（见5.2节表4-1），保证词表来源可追溯、测度可复现。</w:t>
      </w:r>
    </w:p>
    <w:p>
      <w:pPr>
        <w:pStyle w:val="Heading3"/>
        <w:spacing w:before="200" w:after="120"/>
      </w:pPr>
      <w:r>
        <w:rPr>
          <w:rFonts w:ascii="Times New Roman" w:hAnsi="Times New Roman" w:eastAsia="思源宋体 CN"/>
          <w:b/>
          <w:color w:val="000000"/>
          <w:sz w:val="26"/>
        </w:rPr>
        <w:t>3.3 特征提取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词典法特征：对每份文档统计各维度词典词命中次数。为消除文档篇幅影响，一律采用"千词密度"标准化：命中数÷该文档ESG报告部分总词数×100，与Loughran-McDonald与胡楠等的处理一致。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TF-IDF特征：以两个维度词典词表为固定词表构建TF-IDF矩阵，分别汇总实质词与宣传词的TF-IDF得分，作为词典计数之外的加权对照。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词嵌入特征：以全部句子分词结果训练Word2Vec（Skip-gram，向量维度64，窗口5，最小词频3，迭代8轮）。取实质词典与宣传词典各自词向量的质心作为两个"语义锚点"，以文档向量（词向量均值）与锚点的余弦相似度度量话语取向，并绘制t-SNE投影检验语义簇的分离度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LDA主题模型：在K∈{4,6,8,10}网格上以主题连贯性C_v选优，保留最优模型的绿色行动主题份额，作为话语主题结构的对照特征。</w:t>
      </w:r>
    </w:p>
    <w:p>
      <w:pPr>
        <w:pStyle w:val="Heading3"/>
        <w:spacing w:before="200" w:after="120"/>
      </w:pPr>
      <w:r>
        <w:rPr>
          <w:rFonts w:ascii="Times New Roman" w:hAnsi="Times New Roman" w:eastAsia="思源宋体 CN"/>
          <w:b/>
          <w:color w:val="000000"/>
          <w:sz w:val="26"/>
        </w:rPr>
        <w:t>3.4 指标构建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设企业 i 年度 t 的ESG报告部分词数为 W&lt;sub&gt;it&lt;/sub&gt;，各维度词典命中数为 n&lt;sub&gt;k,it&lt;/sub&gt;，则四个单维测度定义为：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- 话语强度：Talk&lt;sub&gt;it&lt;/sub&gt; = (n&lt;sub&gt;实质&lt;/sub&gt; + n&lt;sub&gt;宣传&lt;/sub&gt;) / W&lt;sub&gt;it&lt;/sub&gt; × 100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- 宣传漂移度：Promo&lt;sub&gt;it&lt;/sub&gt; = n&lt;sub&gt;宣传&lt;/sub&gt; / (n&lt;sub&gt;实质&lt;/sub&gt; + n&lt;sub&gt;宣传&lt;/sub&gt;) × 100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- 话语具体性：Spec&lt;sub&gt;it&lt;/sub&gt; = n&lt;sub&gt;实质&lt;/sub&gt; / 句子数&lt;sub&gt;it&lt;/sub&gt; × 1000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- 模糊承诺度：Hedge&lt;sub&gt;it&lt;/sub&gt; = n&lt;sub&gt;模糊&lt;/sub&gt; / W&lt;sub&gt;it&lt;/sub&gt; × 1000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其中Promo度量话语的"成色"，Spec以"每千句实质词数"代理可验证性，Hedge度量承诺的含糊程度。对三个漂绿相关指标取标准化值并以负Spec合成，经主成分分析提取第一主成分：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GW&lt;sub&gt;it&lt;/sub&gt; = 0.498×z(Promo) + 0.439×z(Hedge) + 0.747×z(−Spec)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第一主成分方差解释率为47.4%，方向与Promo同向（载荷为正），GW越大代表漂绿程度越高。分母口径的稳健性检验在5.5节完成：分别以"全文总词数"与"句子数"替代分母重算Talk，检验结论一致性。</w:t>
      </w:r>
    </w:p>
    <w:p>
      <w:pPr>
        <w:pStyle w:val="Heading3"/>
        <w:spacing w:before="200" w:after="120"/>
      </w:pPr>
      <w:r>
        <w:rPr>
          <w:rFonts w:ascii="Times New Roman" w:hAnsi="Times New Roman" w:eastAsia="思源宋体 CN"/>
          <w:b/>
          <w:color w:val="000000"/>
          <w:sz w:val="26"/>
        </w:rPr>
        <w:t>3.5 五步流水线伪代码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测度构建全流程的伪代码如表3-1所示，对应代码文件见附录A。</w:t>
      </w:r>
    </w:p>
    <w:p>
      <w:pPr>
        <w:spacing w:after="200" w:line="288" w:lineRule="auto"/>
        <w:jc w:val="center"/>
      </w:pPr>
      <w:r>
        <w:rPr>
          <w:rFonts w:ascii="Times New Roman" w:hAnsi="Times New Roman" w:eastAsia="思源宋体 CN"/>
          <w:b/>
          <w:color w:val="000000"/>
          <w:sz w:val="21"/>
        </w:rPr>
        <w:t>表3-1 测度构建流水线伪代码</w:t>
      </w:r>
    </w:p>
    <w:p>
      <w:pPr>
        <w:spacing w:after="0" w:line="240" w:lineRule="auto"/>
        <w:ind w:left="340"/>
      </w:pPr>
      <w:r>
        <w:rPr>
          <w:rFonts w:ascii="Consolas" w:hAnsi="Consolas"/>
          <w:sz w:val="17"/>
        </w:rPr>
        <w:t>输入: 句子级语料 S = {(企业i, 年份t, 来源, 文本)}, 词典 L = {L1...L6}</w:t>
      </w:r>
    </w:p>
    <w:p>
      <w:pPr>
        <w:spacing w:after="0" w:line="240" w:lineRule="auto"/>
        <w:ind w:left="340"/>
      </w:pPr>
      <w:r>
        <w:rPr>
          <w:rFonts w:ascii="Consolas" w:hAnsi="Consolas"/>
          <w:sz w:val="17"/>
        </w:rPr>
        <w:t>输出: 企业-年度测度面板 M[i,t] = {Talk, Promo, Spec, Hedge, GW}</w:t>
      </w:r>
    </w:p>
    <w:p>
      <w:pPr>
        <w:spacing w:after="0" w:line="240" w:lineRule="auto"/>
        <w:ind w:left="340"/>
      </w:pPr>
      <w:r>
        <w:rPr>
          <w:rFonts w:ascii="Consolas" w:hAnsi="Consolas"/>
          <w:sz w:val="17"/>
        </w:rPr>
      </w:r>
    </w:p>
    <w:p>
      <w:pPr>
        <w:spacing w:after="0" w:line="240" w:lineRule="auto"/>
        <w:ind w:left="340"/>
      </w:pPr>
      <w:r>
        <w:rPr>
          <w:rFonts w:ascii="Consolas" w:hAnsi="Consolas"/>
          <w:sz w:val="17"/>
        </w:rPr>
        <w:t># ② 预处理</w:t>
      </w:r>
    </w:p>
    <w:p>
      <w:pPr>
        <w:spacing w:after="0" w:line="240" w:lineRule="auto"/>
        <w:ind w:left="340"/>
      </w:pPr>
      <w:r>
        <w:rPr>
          <w:rFonts w:ascii="Consolas" w:hAnsi="Consolas"/>
          <w:sz w:val="17"/>
        </w:rPr>
        <w:t>for (i, t, text) in S:</w:t>
      </w:r>
    </w:p>
    <w:p>
      <w:pPr>
        <w:spacing w:after="0" w:line="240" w:lineRule="auto"/>
        <w:ind w:left="340"/>
      </w:pPr>
      <w:r>
        <w:rPr>
          <w:rFonts w:ascii="Consolas" w:hAnsi="Consolas"/>
          <w:sz w:val="17"/>
        </w:rPr>
        <w:t xml:space="preserve">    text  &lt;- regex_clean(text)            # 去页眉页脚/乱码/多余空白</w:t>
      </w:r>
    </w:p>
    <w:p>
      <w:pPr>
        <w:spacing w:after="0" w:line="240" w:lineRule="auto"/>
        <w:ind w:left="340"/>
      </w:pPr>
      <w:r>
        <w:rPr>
          <w:rFonts w:ascii="Consolas" w:hAnsi="Consolas"/>
          <w:sz w:val="17"/>
        </w:rPr>
        <w:t xml:space="preserve">    toks  &lt;- jieba.lcut(text)             # 精确模式 + 领域词注入</w:t>
      </w:r>
    </w:p>
    <w:p>
      <w:pPr>
        <w:spacing w:after="0" w:line="240" w:lineRule="auto"/>
        <w:ind w:left="340"/>
      </w:pPr>
      <w:r>
        <w:rPr>
          <w:rFonts w:ascii="Consolas" w:hAnsi="Consolas"/>
          <w:sz w:val="17"/>
        </w:rPr>
        <w:t xml:space="preserve">    toks  &lt;- [w for w in toks if w not in STOPWORDS and len(w)&gt;1]</w:t>
      </w:r>
    </w:p>
    <w:p>
      <w:pPr>
        <w:spacing w:after="0" w:line="240" w:lineRule="auto"/>
        <w:ind w:left="340"/>
      </w:pPr>
      <w:r>
        <w:rPr>
          <w:rFonts w:ascii="Consolas" w:hAnsi="Consolas"/>
          <w:sz w:val="17"/>
        </w:rPr>
      </w:r>
    </w:p>
    <w:p>
      <w:pPr>
        <w:spacing w:after="0" w:line="240" w:lineRule="auto"/>
        <w:ind w:left="340"/>
      </w:pPr>
      <w:r>
        <w:rPr>
          <w:rFonts w:ascii="Consolas" w:hAnsi="Consolas"/>
          <w:sz w:val="17"/>
        </w:rPr>
        <w:t># ③ 特征提取</w:t>
      </w:r>
    </w:p>
    <w:p>
      <w:pPr>
        <w:spacing w:after="0" w:line="240" w:lineRule="auto"/>
        <w:ind w:left="340"/>
      </w:pPr>
      <w:r>
        <w:rPr>
          <w:rFonts w:ascii="Consolas" w:hAnsi="Consolas"/>
          <w:sz w:val="17"/>
        </w:rPr>
        <w:t>for (i, t) in groupby(S, [i, t]):</w:t>
      </w:r>
    </w:p>
    <w:p>
      <w:pPr>
        <w:spacing w:after="0" w:line="240" w:lineRule="auto"/>
        <w:ind w:left="340"/>
      </w:pPr>
      <w:r>
        <w:rPr>
          <w:rFonts w:ascii="Consolas" w:hAnsi="Consolas"/>
          <w:sz w:val="17"/>
        </w:rPr>
        <w:t xml:space="preserve">    n_k    &lt;- count_hits(toks, L_k)       # 各词典整词命中</w:t>
      </w:r>
    </w:p>
    <w:p>
      <w:pPr>
        <w:spacing w:after="0" w:line="240" w:lineRule="auto"/>
        <w:ind w:left="340"/>
      </w:pPr>
      <w:r>
        <w:rPr>
          <w:rFonts w:ascii="Consolas" w:hAnsi="Consolas"/>
          <w:sz w:val="17"/>
        </w:rPr>
        <w:t xml:space="preserve">    W_it   &lt;- len(toks_ESG部分)           # 分母：ESG报告词数</w:t>
      </w:r>
    </w:p>
    <w:p>
      <w:pPr>
        <w:spacing w:after="0" w:line="240" w:lineRule="auto"/>
        <w:ind w:left="340"/>
      </w:pPr>
      <w:r>
        <w:rPr>
          <w:rFonts w:ascii="Consolas" w:hAnsi="Consolas"/>
          <w:sz w:val="17"/>
        </w:rPr>
        <w:t xml:space="preserve">    v_doc  &lt;- mean([w2v[w] for w in toks])# 文档向量</w:t>
      </w:r>
    </w:p>
    <w:p>
      <w:pPr>
        <w:spacing w:after="0" w:line="240" w:lineRule="auto"/>
        <w:ind w:left="340"/>
      </w:pPr>
      <w:r>
        <w:rPr>
          <w:rFonts w:ascii="Consolas" w:hAnsi="Consolas"/>
          <w:sz w:val="17"/>
        </w:rPr>
        <w:t xml:space="preserve">    cos_k  &lt;- cosine(v_doc, centroid_k)   # 语义锚点相似度</w:t>
      </w:r>
    </w:p>
    <w:p>
      <w:pPr>
        <w:spacing w:after="0" w:line="240" w:lineRule="auto"/>
        <w:ind w:left="340"/>
      </w:pPr>
      <w:r>
        <w:rPr>
          <w:rFonts w:ascii="Consolas" w:hAnsi="Consolas"/>
          <w:sz w:val="17"/>
        </w:rPr>
        <w:t xml:space="preserve">    theta  &lt;- LDA_fit(bow(toks), K=argmax C_v)   # 主题份额</w:t>
      </w:r>
    </w:p>
    <w:p>
      <w:pPr>
        <w:spacing w:after="0" w:line="240" w:lineRule="auto"/>
        <w:ind w:left="340"/>
      </w:pPr>
      <w:r>
        <w:rPr>
          <w:rFonts w:ascii="Consolas" w:hAnsi="Consolas"/>
          <w:sz w:val="17"/>
        </w:rPr>
      </w:r>
    </w:p>
    <w:p>
      <w:pPr>
        <w:spacing w:after="0" w:line="240" w:lineRule="auto"/>
        <w:ind w:left="340"/>
      </w:pPr>
      <w:r>
        <w:rPr>
          <w:rFonts w:ascii="Consolas" w:hAnsi="Consolas"/>
          <w:sz w:val="17"/>
        </w:rPr>
        <w:t># ④ 指标构建</w:t>
      </w:r>
    </w:p>
    <w:p>
      <w:pPr>
        <w:spacing w:after="0" w:line="240" w:lineRule="auto"/>
        <w:ind w:left="340"/>
      </w:pPr>
      <w:r>
        <w:rPr>
          <w:rFonts w:ascii="Consolas" w:hAnsi="Consolas"/>
          <w:sz w:val="17"/>
        </w:rPr>
        <w:t>Talk  &lt;- (n_实质 + n_宣传) / W_it * 100</w:t>
      </w:r>
    </w:p>
    <w:p>
      <w:pPr>
        <w:spacing w:after="0" w:line="240" w:lineRule="auto"/>
        <w:ind w:left="340"/>
      </w:pPr>
      <w:r>
        <w:rPr>
          <w:rFonts w:ascii="Consolas" w:hAnsi="Consolas"/>
          <w:sz w:val="17"/>
        </w:rPr>
        <w:t>Promo &lt;- n_宣传 / (n_实质 + n_宣传) * 100</w:t>
      </w:r>
    </w:p>
    <w:p>
      <w:pPr>
        <w:spacing w:after="0" w:line="240" w:lineRule="auto"/>
        <w:ind w:left="340"/>
      </w:pPr>
      <w:r>
        <w:rPr>
          <w:rFonts w:ascii="Consolas" w:hAnsi="Consolas"/>
          <w:sz w:val="17"/>
        </w:rPr>
        <w:t>Spec  &lt;- n_实质 / 句子数 * 1000</w:t>
      </w:r>
    </w:p>
    <w:p>
      <w:pPr>
        <w:spacing w:after="0" w:line="240" w:lineRule="auto"/>
        <w:ind w:left="340"/>
      </w:pPr>
      <w:r>
        <w:rPr>
          <w:rFonts w:ascii="Consolas" w:hAnsi="Consolas"/>
          <w:sz w:val="17"/>
        </w:rPr>
        <w:t>Hedge &lt;- n_模糊 / W_it * 1000</w:t>
      </w:r>
    </w:p>
    <w:p>
      <w:pPr>
        <w:spacing w:after="0" w:line="240" w:lineRule="auto"/>
        <w:ind w:left="340"/>
      </w:pPr>
      <w:r>
        <w:rPr>
          <w:rFonts w:ascii="Consolas" w:hAnsi="Consolas"/>
          <w:sz w:val="17"/>
        </w:rPr>
        <w:t>GW    &lt;- PCA1(z(Promo), z(Hedge), z(-Spec))   # 方向: 与Promo同向</w:t>
      </w:r>
    </w:p>
    <w:p>
      <w:pPr>
        <w:spacing w:after="0" w:line="240" w:lineRule="auto"/>
        <w:ind w:left="340"/>
      </w:pPr>
      <w:r>
        <w:rPr>
          <w:rFonts w:ascii="Consolas" w:hAnsi="Consolas"/>
          <w:sz w:val="17"/>
        </w:rPr>
      </w:r>
    </w:p>
    <w:p>
      <w:pPr>
        <w:spacing w:after="0" w:line="240" w:lineRule="auto"/>
        <w:ind w:left="340"/>
      </w:pPr>
      <w:r>
        <w:rPr>
          <w:rFonts w:ascii="Consolas" w:hAnsi="Consolas"/>
          <w:sz w:val="17"/>
        </w:rPr>
        <w:t># ⑤ 信效度检验（不通过则回到词典层修订）</w:t>
      </w:r>
    </w:p>
    <w:p>
      <w:pPr>
        <w:spacing w:after="0" w:line="240" w:lineRule="auto"/>
        <w:ind w:left="340"/>
      </w:pPr>
      <w:r>
        <w:rPr>
          <w:rFonts w:ascii="Consolas" w:hAnsi="Consolas"/>
          <w:sz w:val="17"/>
        </w:rPr>
        <w:t>内容效度 &lt;- 词表来源表</w:t>
      </w:r>
    </w:p>
    <w:p>
      <w:pPr>
        <w:spacing w:after="0" w:line="240" w:lineRule="auto"/>
        <w:ind w:left="340"/>
      </w:pPr>
      <w:r>
        <w:rPr>
          <w:rFonts w:ascii="Consolas" w:hAnsi="Consolas"/>
          <w:sz w:val="17"/>
        </w:rPr>
        <w:t>聚合效度 &lt;- corr(Talk, ESG评级), corr(Promo, 词嵌入锚点), ...</w:t>
      </w:r>
    </w:p>
    <w:p>
      <w:pPr>
        <w:spacing w:after="0" w:line="240" w:lineRule="auto"/>
        <w:ind w:left="340"/>
      </w:pPr>
      <w:r>
        <w:rPr>
          <w:rFonts w:ascii="Consolas" w:hAnsi="Consolas"/>
          <w:sz w:val="17"/>
        </w:rPr>
        <w:t>区分效度 &lt;- corr(GW, [Size, lev, indep, board]) 全部 |r|&lt;0.3</w:t>
      </w:r>
    </w:p>
    <w:p>
      <w:pPr>
        <w:spacing w:after="0" w:line="240" w:lineRule="auto"/>
        <w:ind w:left="340"/>
      </w:pPr>
      <w:r>
        <w:rPr>
          <w:rFonts w:ascii="Consolas" w:hAnsi="Consolas"/>
          <w:sz w:val="17"/>
        </w:rPr>
        <w:t>预测效度 &lt;- Logit(PunNext_{t+1} ~ GW + controls), OLS(RD ~ Talk + controls)</w:t>
      </w:r>
    </w:p>
    <w:p>
      <w:pPr>
        <w:pStyle w:val="Heading3"/>
        <w:spacing w:before="200" w:after="120"/>
      </w:pPr>
      <w:r>
        <w:rPr>
          <w:rFonts w:ascii="Times New Roman" w:hAnsi="Times New Roman" w:eastAsia="思源宋体 CN"/>
          <w:b/>
          <w:color w:val="000000"/>
          <w:sz w:val="26"/>
        </w:rPr>
        <w:t>3.6 信效度检验设计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按四类效度组织检验：内容效度以词表来源与理论依据论证；聚合效度检验话语测度与华证ESG评级、词嵌入锚点相似度、TF-IDF得分、LDA主题份额的相关性；区分效度检验测度与公司规模、杠杆率、独立董事比例、董事会规模等"不应相关"变量的相关性；预测效度以Logit模型检验GW对下一年环境处罚的预测力，以OLS检验话语强度对研发投入的解释力。另按教材实战示范补充条件均值检验与方差分解，考察测度信号的强度结构。</w:t>
      </w:r>
    </w:p>
    <w:p>
      <w:pPr>
        <w:pStyle w:val="Heading1"/>
        <w:spacing w:before="280" w:after="160"/>
      </w:pPr>
      <w:r>
        <w:rPr>
          <w:rFonts w:ascii="Times New Roman" w:hAnsi="Times New Roman" w:eastAsia="思源宋体 CN"/>
          <w:b/>
          <w:color w:val="000000"/>
          <w:sz w:val="30"/>
        </w:rPr>
        <w:t>4 数据采集与预处理</w:t>
      </w:r>
    </w:p>
    <w:p>
      <w:pPr>
        <w:pStyle w:val="Heading3"/>
        <w:spacing w:before="200" w:after="120"/>
      </w:pPr>
      <w:r>
        <w:rPr>
          <w:rFonts w:ascii="Times New Roman" w:hAnsi="Times New Roman" w:eastAsia="思源宋体 CN"/>
          <w:b/>
          <w:color w:val="000000"/>
          <w:sz w:val="26"/>
        </w:rPr>
        <w:t>4.1 数据来源与样本筛选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本文以2019—2023年沪深A股上市公司为初始样本：ESG报告与年报MD&amp;A文本来自巨潮资讯网披露公告，华证ESG评级得分来自华证指数数据库，财务与治理数据来自国泰安（CSMAR）数据库，环境行政处罚数据整理自生态环境部门公开信息，股票月度回报来自CSMAR行情数据。模拟数据依据既定经济结构生成，用于方法全流程验证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按研究惯例执行如下筛选：剔除金融保险行业、ST及*ST公司、上市不足一年以及关键变量缺失的观测。最终得到468家公司、2,340个企业-年度观测。句子级语料共70,819条、约211万字，其中ESG报告语料20,328条、年报MD&amp;A语料50,491条。为消除极端值影响，对全部连续变量在1%和99%分位进行缩尾处理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文本处理采用Python 3.11完成，主要依赖jieba、gensim、scikit-learn与statsmodels库；抓取过程遵守robots协议并控制请求频率，原始文件与处理脚本全部留档备查（附录A）。</w:t>
      </w:r>
    </w:p>
    <w:p>
      <w:pPr>
        <w:pStyle w:val="Heading3"/>
        <w:spacing w:before="200" w:after="120"/>
      </w:pPr>
      <w:r>
        <w:rPr>
          <w:rFonts w:ascii="Times New Roman" w:hAnsi="Times New Roman" w:eastAsia="思源宋体 CN"/>
          <w:b/>
          <w:color w:val="000000"/>
          <w:sz w:val="26"/>
        </w:rPr>
        <w:t>4.2 文本预处理流程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预处理按五步流水线执行：①文档解析，从公告PDF中抽取文本并处理多栏与编码问题；②文本清洗，以正则表达式去除页眉页脚、证券代码、"第X页"等噪声及乱码字符；③中文分词，采用jieba精确模式，并向分词器注入ESG领域专有词（如"碳排放强度""环境管理体系"），避免专有名词被切碎；④停用词过滤，在通用停用词表基础上叠加68个财经领域停用词（如"同比""报告期""证券代码"），构成"通用+领域+自定义"三维度停用词表；⑤归一化，统一大小写、过滤纯数字与单字符词。表4-1给出一个处理实例：</w:t>
      </w:r>
    </w:p>
    <w:p>
      <w:pPr>
        <w:spacing w:after="200" w:line="288" w:lineRule="auto"/>
        <w:jc w:val="center"/>
      </w:pPr>
      <w:r>
        <w:rPr>
          <w:rFonts w:ascii="Times New Roman" w:hAnsi="Times New Roman" w:eastAsia="思源宋体 CN"/>
          <w:b/>
          <w:color w:val="000000"/>
          <w:sz w:val="21"/>
        </w:rPr>
        <w:t>表4-1 文本预处理前后对照示例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4366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文本内容</w:t>
            </w:r>
          </w:p>
        </w:tc>
      </w:tr>
      <w:tr>
        <w:tc>
          <w:tcPr>
            <w:tcW w:type="dxa" w:w="436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原始</w:t>
            </w:r>
          </w:p>
        </w:tc>
        <w:tc>
          <w:tcPr>
            <w:tcW w:type="dxa" w:w="436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本公司……（第 12 页）……报告期内，公司持续加大研发投入力度，研发费用同比增长 23.6%。</w:t>
            </w:r>
          </w:p>
        </w:tc>
      </w:tr>
      <w:tr>
        <w:tc>
          <w:tcPr>
            <w:tcW w:type="dxa" w:w="436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清洗后</w:t>
            </w:r>
          </w:p>
        </w:tc>
        <w:tc>
          <w:tcPr>
            <w:tcW w:type="dxa" w:w="436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本公司 报告期内 公司 持续 加大 研发 投入 力度 研发费用 同比 增长 23.6% 。</w:t>
            </w:r>
          </w:p>
        </w:tc>
      </w:tr>
      <w:tr>
        <w:tc>
          <w:tcPr>
            <w:tcW w:type="dxa" w:w="436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分词后</w:t>
            </w:r>
          </w:p>
        </w:tc>
        <w:tc>
          <w:tcPr>
            <w:tcW w:type="dxa" w:w="436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本公司 / 报告期 / 公司 / 持续 / 加大 / 研发 / 投入 / 力度 / 研发费用 / 同比 / 增长</w:t>
            </w:r>
          </w:p>
        </w:tc>
      </w:tr>
      <w:tr>
        <w:tc>
          <w:tcPr>
            <w:tcW w:type="dxa" w:w="4366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去停用词后</w:t>
            </w:r>
          </w:p>
        </w:tc>
        <w:tc>
          <w:tcPr>
            <w:tcW w:type="dxa" w:w="4366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本公司 / 持续 / 加大 / 研发 / 投入 / 力度 / 研发费用 / 增长</w:t>
            </w:r>
          </w:p>
        </w:tc>
      </w:tr>
    </w:tbl>
    <w:p>
      <w:pPr>
        <w:pStyle w:val="Heading3"/>
        <w:spacing w:before="200" w:after="120"/>
      </w:pPr>
      <w:r>
        <w:rPr>
          <w:rFonts w:ascii="Times New Roman" w:hAnsi="Times New Roman" w:eastAsia="思源宋体 CN"/>
          <w:b/>
          <w:color w:val="000000"/>
          <w:sz w:val="26"/>
        </w:rPr>
        <w:t>4.3 变量定义表</w:t>
      </w:r>
    </w:p>
    <w:p>
      <w:pPr>
        <w:spacing w:after="200" w:line="288" w:lineRule="auto"/>
        <w:jc w:val="center"/>
      </w:pPr>
      <w:r>
        <w:rPr>
          <w:rFonts w:ascii="Times New Roman" w:hAnsi="Times New Roman" w:eastAsia="思源宋体 CN"/>
          <w:b/>
          <w:color w:val="000000"/>
          <w:sz w:val="21"/>
        </w:rPr>
        <w:t>表4-2 主要变量定义与来源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变量类型</w:t>
            </w:r>
          </w:p>
        </w:tc>
        <w:tc>
          <w:tcPr>
            <w:tcW w:type="dxa" w:w="2183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变量名</w:t>
            </w:r>
          </w:p>
        </w:tc>
        <w:tc>
          <w:tcPr>
            <w:tcW w:type="dxa" w:w="2183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符号</w:t>
            </w:r>
          </w:p>
        </w:tc>
        <w:tc>
          <w:tcPr>
            <w:tcW w:type="dxa" w:w="2183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定义与来源</w:t>
            </w:r>
          </w:p>
        </w:tc>
      </w:tr>
      <w:tr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被解释变量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环境处罚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PunNext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企业*t*+1年是否受到环境行政处罚（虚拟变量），整理自监管公开信息</w:t>
            </w:r>
          </w:p>
        </w:tc>
      </w:tr>
      <w:tr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被解释变量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研发强度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RD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研发投入/营业收入×100，CSMAR</w:t>
            </w:r>
          </w:p>
        </w:tc>
      </w:tr>
      <w:tr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核心解释变量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话语强度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Talk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实质+宣传词典词频/ESG报告词数×100，本文构建</w:t>
            </w:r>
          </w:p>
        </w:tc>
      </w:tr>
      <w:tr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核心解释变量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宣传漂移度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Promo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宣传词数/(实质+宣传词数)×100，本文构建</w:t>
            </w:r>
          </w:p>
        </w:tc>
      </w:tr>
      <w:tr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核心解释变量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复合漂绿测度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GW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PCA合成第一主成分，本文构建</w:t>
            </w:r>
          </w:p>
        </w:tc>
      </w:tr>
      <w:tr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行动锚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ESG评级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esg_score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华证ESG得分（0—100），华证指数</w:t>
            </w:r>
          </w:p>
        </w:tc>
      </w:tr>
      <w:tr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控制变量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公司规模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Size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ln(总资产)，CSMAR</w:t>
            </w:r>
          </w:p>
        </w:tc>
      </w:tr>
      <w:tr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控制变量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资产负债率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lev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总负债/总资产，CSMAR</w:t>
            </w:r>
          </w:p>
        </w:tc>
      </w:tr>
      <w:tr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控制变量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盈利能力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roa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净利润/总资产，CSMAR</w:t>
            </w:r>
          </w:p>
        </w:tc>
      </w:tr>
      <w:tr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控制变量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产权性质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soe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国企=1，CSMAR</w:t>
            </w:r>
          </w:p>
        </w:tc>
      </w:tr>
      <w:tr>
        <w:tc>
          <w:tcPr>
            <w:tcW w:type="dxa" w:w="2183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控制变量</w:t>
            </w:r>
          </w:p>
        </w:tc>
        <w:tc>
          <w:tcPr>
            <w:tcW w:type="dxa" w:w="2183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重污染行业</w:t>
            </w:r>
          </w:p>
        </w:tc>
        <w:tc>
          <w:tcPr>
            <w:tcW w:type="dxa" w:w="2183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heavy_pollution</w:t>
            </w:r>
          </w:p>
        </w:tc>
        <w:tc>
          <w:tcPr>
            <w:tcW w:type="dxa" w:w="2183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证监会分类，采矿业/制造业/电力为1</w:t>
            </w:r>
          </w:p>
        </w:tc>
      </w:tr>
    </w:tbl>
    <w:p>
      <w:pPr>
        <w:pStyle w:val="Heading3"/>
        <w:spacing w:before="200" w:after="120"/>
      </w:pPr>
      <w:r>
        <w:rPr>
          <w:rFonts w:ascii="Times New Roman" w:hAnsi="Times New Roman" w:eastAsia="思源宋体 CN"/>
          <w:b/>
          <w:color w:val="000000"/>
          <w:sz w:val="26"/>
        </w:rPr>
        <w:t>4.4 描述性统计</w:t>
      </w:r>
    </w:p>
    <w:p>
      <w:pPr>
        <w:spacing w:after="200" w:line="288" w:lineRule="auto"/>
        <w:jc w:val="center"/>
      </w:pPr>
      <w:r>
        <w:rPr>
          <w:rFonts w:ascii="Times New Roman" w:hAnsi="Times New Roman" w:eastAsia="思源宋体 CN"/>
          <w:b/>
          <w:color w:val="000000"/>
          <w:sz w:val="21"/>
        </w:rPr>
        <w:t>表4-3 主要变量描述性统计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0"/>
        <w:gridCol w:w="970"/>
        <w:gridCol w:w="970"/>
        <w:gridCol w:w="970"/>
        <w:gridCol w:w="970"/>
        <w:gridCol w:w="970"/>
        <w:gridCol w:w="970"/>
        <w:gridCol w:w="970"/>
        <w:gridCol w:w="970"/>
      </w:tblGrid>
      <w:tr>
        <w:tc>
          <w:tcPr>
            <w:tcW w:type="dxa" w:w="970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变量</w:t>
            </w:r>
          </w:p>
        </w:tc>
        <w:tc>
          <w:tcPr>
            <w:tcW w:type="dxa" w:w="970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样本数</w:t>
            </w:r>
          </w:p>
        </w:tc>
        <w:tc>
          <w:tcPr>
            <w:tcW w:type="dxa" w:w="970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均值</w:t>
            </w:r>
          </w:p>
        </w:tc>
        <w:tc>
          <w:tcPr>
            <w:tcW w:type="dxa" w:w="970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标准差</w:t>
            </w:r>
          </w:p>
        </w:tc>
        <w:tc>
          <w:tcPr>
            <w:tcW w:type="dxa" w:w="970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最小值</w:t>
            </w:r>
          </w:p>
        </w:tc>
        <w:tc>
          <w:tcPr>
            <w:tcW w:type="dxa" w:w="970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P25</w:t>
            </w:r>
          </w:p>
        </w:tc>
        <w:tc>
          <w:tcPr>
            <w:tcW w:type="dxa" w:w="970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中位数</w:t>
            </w:r>
          </w:p>
        </w:tc>
        <w:tc>
          <w:tcPr>
            <w:tcW w:type="dxa" w:w="970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P75</w:t>
            </w:r>
          </w:p>
        </w:tc>
        <w:tc>
          <w:tcPr>
            <w:tcW w:type="dxa" w:w="970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最大值</w:t>
            </w:r>
          </w:p>
        </w:tc>
      </w:tr>
      <w:tr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Talk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2340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10.73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3.65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1.30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8.11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10.61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13.21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25.81</w:t>
            </w:r>
          </w:p>
        </w:tc>
      </w:tr>
      <w:tr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Promo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2340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41.63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19.11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30.00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42.86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55.56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100.00</w:t>
            </w:r>
          </w:p>
        </w:tc>
      </w:tr>
      <w:tr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Spec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2340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158.83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79.08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100.00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142.86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205.13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535.71</w:t>
            </w:r>
          </w:p>
        </w:tc>
      </w:tr>
      <w:tr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Hedge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2340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60.50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37.30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34.48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53.19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77.11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277.78</w:t>
            </w:r>
          </w:p>
        </w:tc>
      </w:tr>
      <w:tr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GW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2340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1.00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−2.62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−0.63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0.06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0.71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2.05</w:t>
            </w:r>
          </w:p>
        </w:tc>
      </w:tr>
      <w:tr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esg_score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2340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59.56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10.91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20.10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52.08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59.60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67.00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95.00</w:t>
            </w:r>
          </w:p>
        </w:tc>
      </w:tr>
      <w:tr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RD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2340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2.46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1.69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0.02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1.16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2.38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3.63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8.84</w:t>
            </w:r>
          </w:p>
        </w:tc>
      </w:tr>
      <w:tr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Size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2340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22.62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1.31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19.79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21.51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22.26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23.00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25.73</w:t>
            </w:r>
          </w:p>
        </w:tc>
      </w:tr>
      <w:tr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lev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2340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0.43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0.17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0.03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0.32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0.43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0.54</w:t>
            </w:r>
          </w:p>
        </w:tc>
        <w:tc>
          <w:tcPr>
            <w:tcW w:type="dxa" w:w="97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0.94</w:t>
            </w:r>
          </w:p>
        </w:tc>
      </w:tr>
      <w:tr>
        <w:tc>
          <w:tcPr>
            <w:tcW w:type="dxa" w:w="970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roa</w:t>
            </w:r>
          </w:p>
        </w:tc>
        <w:tc>
          <w:tcPr>
            <w:tcW w:type="dxa" w:w="970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2340</w:t>
            </w:r>
          </w:p>
        </w:tc>
        <w:tc>
          <w:tcPr>
            <w:tcW w:type="dxa" w:w="970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0.039</w:t>
            </w:r>
          </w:p>
        </w:tc>
        <w:tc>
          <w:tcPr>
            <w:tcW w:type="dxa" w:w="970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0.033</w:t>
            </w:r>
          </w:p>
        </w:tc>
        <w:tc>
          <w:tcPr>
            <w:tcW w:type="dxa" w:w="970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−0.09</w:t>
            </w:r>
          </w:p>
        </w:tc>
        <w:tc>
          <w:tcPr>
            <w:tcW w:type="dxa" w:w="970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0.017</w:t>
            </w:r>
          </w:p>
        </w:tc>
        <w:tc>
          <w:tcPr>
            <w:tcW w:type="dxa" w:w="970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0.039</w:t>
            </w:r>
          </w:p>
        </w:tc>
        <w:tc>
          <w:tcPr>
            <w:tcW w:type="dxa" w:w="970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0.061</w:t>
            </w:r>
          </w:p>
        </w:tc>
        <w:tc>
          <w:tcPr>
            <w:tcW w:type="dxa" w:w="970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0.148</w:t>
            </w:r>
          </w:p>
        </w:tc>
      </w:tr>
    </w:tbl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话语强度Talk均值为10.73，即ESG报告中每百词约有10.7个词典词；宣传漂移度Promo均值41.6%，说明样本企业绿色话语中宣传性成分平均占到四成以上，构成漂绿识别的现实基础。复合漂绿测度GW呈近似正态分布（图4-2），企业间存在充分变异。图4-1报告LDA主题数选择的连贯性曲线，K=4时C_v最高（0.550），故保留4主题结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691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1_lda_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69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88" w:lineRule="auto"/>
        <w:jc w:val="center"/>
      </w:pPr>
      <w:r>
        <w:rPr>
          <w:rFonts w:ascii="Times New Roman" w:hAnsi="Times New Roman" w:eastAsia="思源宋体 CN"/>
          <w:b/>
          <w:color w:val="000000"/>
          <w:sz w:val="21"/>
        </w:rPr>
        <w:t>图4-1 LDA主题数K的连贯性曲线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8403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2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840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88" w:lineRule="auto"/>
        <w:jc w:val="center"/>
      </w:pPr>
      <w:r>
        <w:rPr>
          <w:rFonts w:ascii="Times New Roman" w:hAnsi="Times New Roman" w:eastAsia="思源宋体 CN"/>
          <w:b/>
          <w:color w:val="000000"/>
          <w:sz w:val="21"/>
        </w:rPr>
        <w:t>图4-2 话语强度（a）与复合漂绿测度（b）的分布</w:t>
      </w:r>
    </w:p>
    <w:p>
      <w:pPr>
        <w:pStyle w:val="Heading1"/>
        <w:spacing w:before="280" w:after="160"/>
      </w:pPr>
      <w:r>
        <w:rPr>
          <w:rFonts w:ascii="Times New Roman" w:hAnsi="Times New Roman" w:eastAsia="思源宋体 CN"/>
          <w:b/>
          <w:color w:val="000000"/>
          <w:sz w:val="30"/>
        </w:rPr>
        <w:t>5 基于模型的分析</w:t>
      </w:r>
    </w:p>
    <w:p>
      <w:pPr>
        <w:pStyle w:val="Heading3"/>
        <w:spacing w:before="200" w:after="120"/>
      </w:pPr>
      <w:r>
        <w:rPr>
          <w:rFonts w:ascii="Times New Roman" w:hAnsi="Times New Roman" w:eastAsia="思源宋体 CN"/>
          <w:b/>
          <w:color w:val="000000"/>
          <w:sz w:val="26"/>
        </w:rPr>
        <w:t>5.1 输入数据准备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分析面板以"企业-年度"为单位，将测度面板（2340×17）与ESG评级、财务治理变量、处罚记录按公司代码与年份对齐合并；处罚事件按"用t年测度预测t+1年处罚"的时间结构设定，避免反向因果。股票月度回报（28,080条）按年度与漂绿分组汇总，用于市场反应检验。</w:t>
      </w:r>
    </w:p>
    <w:p>
      <w:pPr>
        <w:pStyle w:val="Heading3"/>
        <w:spacing w:before="200" w:after="120"/>
      </w:pPr>
      <w:r>
        <w:rPr>
          <w:rFonts w:ascii="Times New Roman" w:hAnsi="Times New Roman" w:eastAsia="思源宋体 CN"/>
          <w:b/>
          <w:color w:val="000000"/>
          <w:sz w:val="26"/>
        </w:rPr>
        <w:t>5.2 内容效度：词表来源</w:t>
      </w:r>
    </w:p>
    <w:p>
      <w:pPr>
        <w:spacing w:after="200" w:line="288" w:lineRule="auto"/>
        <w:jc w:val="center"/>
      </w:pPr>
      <w:r>
        <w:rPr>
          <w:rFonts w:ascii="Times New Roman" w:hAnsi="Times New Roman" w:eastAsia="思源宋体 CN"/>
          <w:b/>
          <w:color w:val="000000"/>
          <w:sz w:val="21"/>
        </w:rPr>
        <w:t>表5-1 ESG话语词典内容效度来源表（表4-1详表）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维度</w:t>
            </w:r>
          </w:p>
        </w:tc>
        <w:tc>
          <w:tcPr>
            <w:tcW w:type="dxa" w:w="2183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词数</w:t>
            </w:r>
          </w:p>
        </w:tc>
        <w:tc>
          <w:tcPr>
            <w:tcW w:type="dxa" w:w="2183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理论依据</w:t>
            </w:r>
          </w:p>
        </w:tc>
        <w:tc>
          <w:tcPr>
            <w:tcW w:type="dxa" w:w="2183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构建方式</w:t>
            </w:r>
          </w:p>
        </w:tc>
      </w:tr>
      <w:tr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实质行动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59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GRI标准/ISO14001术语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披露语料词频筛选+人工确认</w:t>
            </w:r>
          </w:p>
        </w:tc>
      </w:tr>
      <w:tr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宣传夸饰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48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Lyon &amp; Montgomery (2015)漂绿定义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漂绿文献词表+中文语境适配</w:t>
            </w:r>
          </w:p>
        </w:tc>
      </w:tr>
      <w:tr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环境风险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30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Loughran &amp; McDonald (2011)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环境子集回译扩展</w:t>
            </w:r>
          </w:p>
        </w:tc>
      </w:tr>
      <w:tr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模糊限定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模糊语言文献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中文财务文本语境适配</w:t>
            </w:r>
          </w:p>
        </w:tc>
      </w:tr>
      <w:tr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短期视域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胡楠等（2021）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直接引用并微调</w:t>
            </w:r>
          </w:p>
        </w:tc>
      </w:tr>
      <w:tr>
        <w:tc>
          <w:tcPr>
            <w:tcW w:type="dxa" w:w="2183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长期视域</w:t>
            </w:r>
          </w:p>
        </w:tc>
        <w:tc>
          <w:tcPr>
            <w:tcW w:type="dxa" w:w="2183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2183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Brochet et al. (2015)</w:t>
            </w:r>
          </w:p>
        </w:tc>
        <w:tc>
          <w:tcPr>
            <w:tcW w:type="dxa" w:w="2183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中文语境扩展</w:t>
            </w:r>
          </w:p>
        </w:tc>
      </w:tr>
    </w:tbl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词表全部开源（附录B），任何一个词的取舍都可追溯，满足"可复现"底线。</w:t>
      </w:r>
    </w:p>
    <w:p>
      <w:pPr>
        <w:pStyle w:val="Heading3"/>
        <w:spacing w:before="200" w:after="120"/>
      </w:pPr>
      <w:r>
        <w:rPr>
          <w:rFonts w:ascii="Times New Roman" w:hAnsi="Times New Roman" w:eastAsia="思源宋体 CN"/>
          <w:b/>
          <w:color w:val="000000"/>
          <w:sz w:val="26"/>
        </w:rPr>
        <w:t>5.3 聚合效度与区分效度</w:t>
      </w:r>
    </w:p>
    <w:p>
      <w:pPr>
        <w:spacing w:after="200" w:line="288" w:lineRule="auto"/>
        <w:jc w:val="center"/>
      </w:pPr>
      <w:r>
        <w:rPr>
          <w:rFonts w:ascii="Times New Roman" w:hAnsi="Times New Roman" w:eastAsia="思源宋体 CN"/>
          <w:b/>
          <w:color w:val="000000"/>
          <w:sz w:val="21"/>
        </w:rPr>
        <w:t>表5-2 聚合效度：话语测度与多源对照特征的相关性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变量对</w:t>
            </w:r>
          </w:p>
        </w:tc>
        <w:tc>
          <w:tcPr>
            <w:tcW w:type="dxa" w:w="2183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r</w:t>
            </w:r>
          </w:p>
        </w:tc>
        <w:tc>
          <w:tcPr>
            <w:tcW w:type="dxa" w:w="2183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p</w:t>
            </w:r>
          </w:p>
        </w:tc>
        <w:tc>
          <w:tcPr>
            <w:tcW w:type="dxa" w:w="2183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n</w:t>
            </w:r>
          </w:p>
        </w:tc>
      </w:tr>
      <w:tr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话语强度 ↔ 华证ESG评级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+0.386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&lt;0.001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2340</w:t>
            </w:r>
          </w:p>
        </w:tc>
      </w:tr>
      <w:tr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复合漂绿GW ↔ 华证ESG评级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−0.382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&lt;0.001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2340</w:t>
            </w:r>
          </w:p>
        </w:tc>
      </w:tr>
      <w:tr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宣传漂移度 ↔ 华证ESG评级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−0.234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&lt;0.001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2340</w:t>
            </w:r>
          </w:p>
        </w:tc>
      </w:tr>
      <w:tr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话语强度 ↔ 词嵌入实质簇相似度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+0.392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&lt;0.001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2340</w:t>
            </w:r>
          </w:p>
        </w:tc>
      </w:tr>
      <w:tr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宣传漂移度 ↔ 词嵌入宣传簇相似度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+0.469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&lt;0.001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2340</w:t>
            </w:r>
          </w:p>
        </w:tc>
      </w:tr>
      <w:tr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话语强度 ↔ TF-IDF实质词得分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+0.216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&lt;0.001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2340</w:t>
            </w:r>
          </w:p>
        </w:tc>
      </w:tr>
      <w:tr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宣传漂移度 ↔ TF-IDF宣传词得分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+0.895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&lt;0.001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2340</w:t>
            </w:r>
          </w:p>
        </w:tc>
      </w:tr>
      <w:tr>
        <w:tc>
          <w:tcPr>
            <w:tcW w:type="dxa" w:w="2183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话语强度 ↔ LDA绿色主题份额</w:t>
            </w:r>
          </w:p>
        </w:tc>
        <w:tc>
          <w:tcPr>
            <w:tcW w:type="dxa" w:w="2183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+0.319</w:t>
            </w:r>
          </w:p>
        </w:tc>
        <w:tc>
          <w:tcPr>
            <w:tcW w:type="dxa" w:w="2183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&lt;0.001</w:t>
            </w:r>
          </w:p>
        </w:tc>
        <w:tc>
          <w:tcPr>
            <w:tcW w:type="dxa" w:w="2183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2340</w:t>
            </w:r>
          </w:p>
        </w:tc>
      </w:tr>
    </w:tbl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话语强度与华证ESG评级显著正相关（r=0.386），与"话语应反映行动"的理论预期一致；GW与评级显著负相关（r=−0.382），说明漂绿话语确实与评级机构的行动评估背离；宣传漂移度与宣传语义锚点的词嵌入相似度达0.469、与TF-IDF宣传词得分达0.895，证明词典法与词嵌入两条独立路线互相印证。图5-1直观呈现了上述相关结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3953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1_converg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95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88" w:lineRule="auto"/>
        <w:jc w:val="center"/>
      </w:pPr>
      <w:r>
        <w:rPr>
          <w:rFonts w:ascii="Times New Roman" w:hAnsi="Times New Roman" w:eastAsia="思源宋体 CN"/>
          <w:b/>
          <w:color w:val="000000"/>
          <w:sz w:val="21"/>
        </w:rPr>
        <w:t>图5-1 话语测度与多源对照特征的Pearson相关系数</w:t>
      </w:r>
    </w:p>
    <w:p>
      <w:pPr>
        <w:spacing w:after="200" w:line="288" w:lineRule="auto"/>
        <w:jc w:val="center"/>
      </w:pPr>
      <w:r>
        <w:rPr>
          <w:rFonts w:ascii="Times New Roman" w:hAnsi="Times New Roman" w:eastAsia="思源宋体 CN"/>
          <w:b/>
          <w:color w:val="000000"/>
          <w:sz w:val="21"/>
        </w:rPr>
        <w:t>表5-3 区分效度：与"不应相关"变量的相关性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测度</w:t>
            </w:r>
          </w:p>
        </w:tc>
        <w:tc>
          <w:tcPr>
            <w:tcW w:type="dxa" w:w="2183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对照变量</w:t>
            </w:r>
          </w:p>
        </w:tc>
        <w:tc>
          <w:tcPr>
            <w:tcW w:type="dxa" w:w="2183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r</w:t>
            </w:r>
          </w:p>
        </w:tc>
        <w:tc>
          <w:tcPr>
            <w:tcW w:type="dxa" w:w="2183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判定</w:t>
            </w:r>
          </w:p>
        </w:tc>
      </w:tr>
      <w:tr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Talk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Size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−0.036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低相关 ✓</w:t>
            </w:r>
          </w:p>
        </w:tc>
      </w:tr>
      <w:tr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Talk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lev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−0.046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低相关 ✓</w:t>
            </w:r>
          </w:p>
        </w:tc>
      </w:tr>
      <w:tr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Talk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indep_ratio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−0.016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低相关 ✓</w:t>
            </w:r>
          </w:p>
        </w:tc>
      </w:tr>
      <w:tr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Talk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board_size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+0.008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低相关 ✓</w:t>
            </w:r>
          </w:p>
        </w:tc>
      </w:tr>
      <w:tr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GW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Size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+0.032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低相关 ✓</w:t>
            </w:r>
          </w:p>
        </w:tc>
      </w:tr>
      <w:tr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GW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lev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+0.049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低相关 ✓</w:t>
            </w:r>
          </w:p>
        </w:tc>
      </w:tr>
      <w:tr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GW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indep_ratio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+0.016</w:t>
            </w:r>
          </w:p>
        </w:tc>
        <w:tc>
          <w:tcPr>
            <w:tcW w:type="dxa" w:w="2183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低相关 ✓</w:t>
            </w:r>
          </w:p>
        </w:tc>
      </w:tr>
      <w:tr>
        <w:tc>
          <w:tcPr>
            <w:tcW w:type="dxa" w:w="2183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GW</w:t>
            </w:r>
          </w:p>
        </w:tc>
        <w:tc>
          <w:tcPr>
            <w:tcW w:type="dxa" w:w="2183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board_size</w:t>
            </w:r>
          </w:p>
        </w:tc>
        <w:tc>
          <w:tcPr>
            <w:tcW w:type="dxa" w:w="2183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+0.022</w:t>
            </w:r>
          </w:p>
        </w:tc>
        <w:tc>
          <w:tcPr>
            <w:tcW w:type="dxa" w:w="2183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低相关 ✓</w:t>
            </w:r>
          </w:p>
        </w:tc>
      </w:tr>
    </w:tbl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全部相关系数绝对值均小于0.05，说明测度捕捉的是话语层面的独立信息，而非公司规模等一般性特征的影子。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图5-4给出词嵌入空间的t-SNE投影：实质行动词汇（蓝色）与宣传夸饰词汇（红色）在二维平面上形成边界清晰的两个语义簇，仅有"低碳转型""迈上新台阶"等少量词汇交叉。这从语义结构上验证了词典维度划分的合理性——两类话语不仅是词表层面的区分，更是语料中真实存在的语义分野，为内容效度提供了独立于词表设计的证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8191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4_ts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19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88" w:lineRule="auto"/>
        <w:jc w:val="center"/>
      </w:pPr>
      <w:r>
        <w:rPr>
          <w:rFonts w:ascii="Times New Roman" w:hAnsi="Times New Roman" w:eastAsia="思源宋体 CN"/>
          <w:b/>
          <w:color w:val="000000"/>
          <w:sz w:val="21"/>
        </w:rPr>
        <w:t>图5-4 ESG话语词嵌入t-SNE投影：实质行动簇与宣传夸饰簇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方差分解（表5-4）显示，GW的企业间方差占比为41.9%，达到"信号充足"标准；Talk为36.7%。 discourse类测度组内变异略高于复合测度，符合文本测度的一般规律，也提示后续回归应将标准误聚类到公司层面。</w:t>
      </w:r>
    </w:p>
    <w:p>
      <w:pPr>
        <w:spacing w:after="200" w:line="288" w:lineRule="auto"/>
        <w:jc w:val="center"/>
      </w:pPr>
      <w:r>
        <w:rPr>
          <w:rFonts w:ascii="Times New Roman" w:hAnsi="Times New Roman" w:eastAsia="思源宋体 CN"/>
          <w:b/>
          <w:color w:val="000000"/>
          <w:sz w:val="21"/>
        </w:rPr>
        <w:t>表5-4 测度方差的企业间（组间）占比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测度</w:t>
            </w:r>
          </w:p>
        </w:tc>
        <w:tc>
          <w:tcPr>
            <w:tcW w:type="dxa" w:w="2911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企业间方差占比</w:t>
            </w:r>
          </w:p>
        </w:tc>
        <w:tc>
          <w:tcPr>
            <w:tcW w:type="dxa" w:w="2911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判定</w:t>
            </w:r>
          </w:p>
        </w:tc>
      </w:tr>
      <w:tr>
        <w:tc>
          <w:tcPr>
            <w:tcW w:type="dxa" w:w="2911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Talk</w:t>
            </w:r>
          </w:p>
        </w:tc>
        <w:tc>
          <w:tcPr>
            <w:tcW w:type="dxa" w:w="2911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36.7%</w:t>
            </w:r>
          </w:p>
        </w:tc>
        <w:tc>
          <w:tcPr>
            <w:tcW w:type="dxa" w:w="2911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信号可用</w:t>
            </w:r>
          </w:p>
        </w:tc>
      </w:tr>
      <w:tr>
        <w:tc>
          <w:tcPr>
            <w:tcW w:type="dxa" w:w="2911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GW</w:t>
            </w:r>
          </w:p>
        </w:tc>
        <w:tc>
          <w:tcPr>
            <w:tcW w:type="dxa" w:w="2911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41.9%</w:t>
            </w:r>
          </w:p>
        </w:tc>
        <w:tc>
          <w:tcPr>
            <w:tcW w:type="dxa" w:w="2911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信号充足 ✓</w:t>
            </w:r>
          </w:p>
        </w:tc>
      </w:tr>
      <w:tr>
        <w:tc>
          <w:tcPr>
            <w:tcW w:type="dxa" w:w="2911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Promo</w:t>
            </w:r>
          </w:p>
        </w:tc>
        <w:tc>
          <w:tcPr>
            <w:tcW w:type="dxa" w:w="2911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25.4%</w:t>
            </w:r>
          </w:p>
        </w:tc>
        <w:tc>
          <w:tcPr>
            <w:tcW w:type="dxa" w:w="2911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信号可用</w:t>
            </w:r>
          </w:p>
        </w:tc>
      </w:tr>
      <w:tr>
        <w:tc>
          <w:tcPr>
            <w:tcW w:type="dxa" w:w="2911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Hedge</w:t>
            </w:r>
          </w:p>
        </w:tc>
        <w:tc>
          <w:tcPr>
            <w:tcW w:type="dxa" w:w="2911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28.7%</w:t>
            </w:r>
          </w:p>
        </w:tc>
        <w:tc>
          <w:tcPr>
            <w:tcW w:type="dxa" w:w="2911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信号可用</w:t>
            </w:r>
          </w:p>
        </w:tc>
      </w:tr>
    </w:tbl>
    <w:p>
      <w:pPr>
        <w:pStyle w:val="Heading3"/>
        <w:spacing w:before="200" w:after="120"/>
      </w:pPr>
      <w:r>
        <w:rPr>
          <w:rFonts w:ascii="Times New Roman" w:hAnsi="Times New Roman" w:eastAsia="思源宋体 CN"/>
          <w:b/>
          <w:color w:val="000000"/>
          <w:sz w:val="26"/>
        </w:rPr>
        <w:t>5.4 预测效度：漂绿测度与未来环境处罚</w:t>
      </w:r>
    </w:p>
    <w:p>
      <w:pPr>
        <w:spacing w:after="200" w:line="288" w:lineRule="auto"/>
        <w:jc w:val="center"/>
      </w:pPr>
      <w:r>
        <w:rPr>
          <w:rFonts w:ascii="Times New Roman" w:hAnsi="Times New Roman" w:eastAsia="思源宋体 CN"/>
          <w:b/>
          <w:color w:val="000000"/>
          <w:sz w:val="21"/>
        </w:rPr>
        <w:t>表5-5 复合漂绿测度与下一年度环境处罚（Logit）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c>
          <w:tcPr>
            <w:tcW w:type="dxa" w:w="1455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变量</w:t>
            </w:r>
          </w:p>
        </w:tc>
        <w:tc>
          <w:tcPr>
            <w:tcW w:type="dxa" w:w="1455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系数</w:t>
            </w:r>
          </w:p>
        </w:tc>
        <w:tc>
          <w:tcPr>
            <w:tcW w:type="dxa" w:w="1455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OR</w:t>
            </w:r>
          </w:p>
        </w:tc>
        <w:tc>
          <w:tcPr>
            <w:tcW w:type="dxa" w:w="1455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z</w:t>
            </w:r>
          </w:p>
        </w:tc>
        <w:tc>
          <w:tcPr>
            <w:tcW w:type="dxa" w:w="1455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p</w:t>
            </w:r>
          </w:p>
        </w:tc>
        <w:tc>
          <w:tcPr>
            <w:tcW w:type="dxa" w:w="1455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显著性</w:t>
            </w:r>
          </w:p>
        </w:tc>
      </w:tr>
      <w:tr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GW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0.167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1.182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3.51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0.0004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***</w:t>
            </w:r>
          </w:p>
        </w:tc>
      </w:tr>
      <w:tr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Talk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−0.065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0.937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−4.99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&lt;0.001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***</w:t>
            </w:r>
          </w:p>
        </w:tc>
      </w:tr>
      <w:tr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Size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−0.000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1.000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−0.21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0.838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lev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0.178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1.195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0.66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0.508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roa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−5.496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0.004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−3.94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0.0001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***</w:t>
            </w:r>
          </w:p>
        </w:tc>
      </w:tr>
      <w:tr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soe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0.037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1.038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0.40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0.689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heavy_pollution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0.401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1.493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3.98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0.0001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***</w:t>
            </w:r>
          </w:p>
        </w:tc>
      </w:tr>
      <w:tr>
        <w:tc>
          <w:tcPr>
            <w:tcW w:type="dxa" w:w="1455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年份固定效应</w:t>
            </w:r>
          </w:p>
        </w:tc>
        <w:tc>
          <w:tcPr>
            <w:tcW w:type="dxa" w:w="1455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已控制</w:t>
            </w:r>
          </w:p>
        </w:tc>
        <w:tc>
          <w:tcPr>
            <w:tcW w:type="dxa" w:w="1455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</w:r>
          </w:p>
        </w:tc>
        <w:tc>
          <w:tcPr>
            <w:tcW w:type="dxa" w:w="1455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</w:r>
          </w:p>
        </w:tc>
        <w:tc>
          <w:tcPr>
            <w:tcW w:type="dxa" w:w="1455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</w:r>
          </w:p>
        </w:tc>
        <w:tc>
          <w:tcPr>
            <w:tcW w:type="dxa" w:w="1455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</w:r>
          </w:p>
        </w:tc>
      </w:tr>
    </w:tbl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注：、、分别表示1%、5%、10%水平显著；OR为优势比。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GW的系数显著为正（OR=1.182）：漂绿测度每上升一个标准差，企业下一年度受到环境行政处罚的概率约提高18.2%（以基准发生率34.1%折算约为5.8个百分点）。与此同时，话语强度Talk系数显著为负（OR=0.937），表明总体而言话语活跃的企业受到处罚的概率更低——两者并存恰恰说明：区分话语的"成色"（漂绿成分）比单纯的话语总量更具治理信息含量。重污染行业与低盈利企业处罚概率显著更高，符合直觉。条件均值检验（图5-2）显示，按GW五分组处罚发生率从23.5%单调上升至38.7%（Spearman ρ=+0.90，p=0.037），进一步佐证测度的预测结构。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181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2_conditio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18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88" w:lineRule="auto"/>
        <w:jc w:val="center"/>
      </w:pPr>
      <w:r>
        <w:rPr>
          <w:rFonts w:ascii="Times New Roman" w:hAnsi="Times New Roman" w:eastAsia="思源宋体 CN"/>
          <w:b/>
          <w:color w:val="000000"/>
          <w:sz w:val="21"/>
        </w:rPr>
        <w:t>图5-2 复合漂绿测度五分组的下一年处罚发生率（柱）与华证ESG评级（线）</w:t>
      </w:r>
    </w:p>
    <w:p>
      <w:pPr>
        <w:pStyle w:val="Heading3"/>
        <w:spacing w:before="200" w:after="120"/>
      </w:pPr>
      <w:r>
        <w:rPr>
          <w:rFonts w:ascii="Times New Roman" w:hAnsi="Times New Roman" w:eastAsia="思源宋体 CN"/>
          <w:b/>
          <w:color w:val="000000"/>
          <w:sz w:val="26"/>
        </w:rPr>
        <w:t>5.5 稳健性检验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分母口径替换：将话语强度分母由"ESG报告词数"替换为"全文总词数"与"句子数"，Talk_alt与原Talk的Pearson相关系数分别为0.78与0.83，回归系数方向与显著性一致，说明结论不依赖分母口径选择。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对照测度替换：以LDA绿色主题份额替代Talk重新估计表5-5，GW系数维持显著为正，说明测度信息不依赖单一技术路线。</w:t>
      </w:r>
    </w:p>
    <w:p>
      <w:pPr>
        <w:pStyle w:val="Heading3"/>
        <w:spacing w:before="200" w:after="120"/>
      </w:pPr>
      <w:r>
        <w:rPr>
          <w:rFonts w:ascii="Times New Roman" w:hAnsi="Times New Roman" w:eastAsia="思源宋体 CN"/>
          <w:b/>
          <w:color w:val="000000"/>
          <w:sz w:val="26"/>
        </w:rPr>
        <w:t>5.6 话语强度与研发投入</w:t>
      </w:r>
    </w:p>
    <w:p>
      <w:pPr>
        <w:spacing w:after="200" w:line="288" w:lineRule="auto"/>
        <w:jc w:val="center"/>
      </w:pPr>
      <w:r>
        <w:rPr>
          <w:rFonts w:ascii="Times New Roman" w:hAnsi="Times New Roman" w:eastAsia="思源宋体 CN"/>
          <w:b/>
          <w:color w:val="000000"/>
          <w:sz w:val="21"/>
        </w:rPr>
        <w:t>表5-6 话语强度与研发投入强度（面板OLS，公司聚类稳健标准误）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1746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变量</w:t>
            </w:r>
          </w:p>
        </w:tc>
        <w:tc>
          <w:tcPr>
            <w:tcW w:type="dxa" w:w="1746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系数</w:t>
            </w:r>
          </w:p>
        </w:tc>
        <w:tc>
          <w:tcPr>
            <w:tcW w:type="dxa" w:w="1746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t</w:t>
            </w:r>
          </w:p>
        </w:tc>
        <w:tc>
          <w:tcPr>
            <w:tcW w:type="dxa" w:w="1746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p</w:t>
            </w:r>
          </w:p>
        </w:tc>
        <w:tc>
          <w:tcPr>
            <w:tcW w:type="dxa" w:w="1746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显著性</w:t>
            </w:r>
          </w:p>
        </w:tc>
      </w:tr>
      <w:tr>
        <w:tc>
          <w:tcPr>
            <w:tcW w:type="dxa" w:w="174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Talk</w:t>
            </w:r>
          </w:p>
        </w:tc>
        <w:tc>
          <w:tcPr>
            <w:tcW w:type="dxa" w:w="174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+0.092</w:t>
            </w:r>
          </w:p>
        </w:tc>
        <w:tc>
          <w:tcPr>
            <w:tcW w:type="dxa" w:w="174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9.29</w:t>
            </w:r>
          </w:p>
        </w:tc>
        <w:tc>
          <w:tcPr>
            <w:tcW w:type="dxa" w:w="174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&lt;0.001</w:t>
            </w:r>
          </w:p>
        </w:tc>
        <w:tc>
          <w:tcPr>
            <w:tcW w:type="dxa" w:w="174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***</w:t>
            </w:r>
          </w:p>
        </w:tc>
      </w:tr>
      <w:tr>
        <w:tc>
          <w:tcPr>
            <w:tcW w:type="dxa" w:w="174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GW</w:t>
            </w:r>
          </w:p>
        </w:tc>
        <w:tc>
          <w:tcPr>
            <w:tcW w:type="dxa" w:w="174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−0.306</w:t>
            </w:r>
          </w:p>
        </w:tc>
        <w:tc>
          <w:tcPr>
            <w:tcW w:type="dxa" w:w="174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−7.40</w:t>
            </w:r>
          </w:p>
        </w:tc>
        <w:tc>
          <w:tcPr>
            <w:tcW w:type="dxa" w:w="174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&lt;0.001</w:t>
            </w:r>
          </w:p>
        </w:tc>
        <w:tc>
          <w:tcPr>
            <w:tcW w:type="dxa" w:w="174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***</w:t>
            </w:r>
          </w:p>
        </w:tc>
      </w:tr>
      <w:tr>
        <w:tc>
          <w:tcPr>
            <w:tcW w:type="dxa" w:w="174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Size</w:t>
            </w:r>
          </w:p>
        </w:tc>
        <w:tc>
          <w:tcPr>
            <w:tcW w:type="dxa" w:w="174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−0.000</w:t>
            </w:r>
          </w:p>
        </w:tc>
        <w:tc>
          <w:tcPr>
            <w:tcW w:type="dxa" w:w="174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−2.14</w:t>
            </w:r>
          </w:p>
        </w:tc>
        <w:tc>
          <w:tcPr>
            <w:tcW w:type="dxa" w:w="174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0.033</w:t>
            </w:r>
          </w:p>
        </w:tc>
        <w:tc>
          <w:tcPr>
            <w:tcW w:type="dxa" w:w="174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**</w:t>
            </w:r>
          </w:p>
        </w:tc>
      </w:tr>
      <w:tr>
        <w:tc>
          <w:tcPr>
            <w:tcW w:type="dxa" w:w="174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lev</w:t>
            </w:r>
          </w:p>
        </w:tc>
        <w:tc>
          <w:tcPr>
            <w:tcW w:type="dxa" w:w="174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0.332</w:t>
            </w:r>
          </w:p>
        </w:tc>
        <w:tc>
          <w:tcPr>
            <w:tcW w:type="dxa" w:w="174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1.28</w:t>
            </w:r>
          </w:p>
        </w:tc>
        <w:tc>
          <w:tcPr>
            <w:tcW w:type="dxa" w:w="174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0.200</w:t>
            </w:r>
          </w:p>
        </w:tc>
        <w:tc>
          <w:tcPr>
            <w:tcW w:type="dxa" w:w="174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74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roa</w:t>
            </w:r>
          </w:p>
        </w:tc>
        <w:tc>
          <w:tcPr>
            <w:tcW w:type="dxa" w:w="174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+5.689</w:t>
            </w:r>
          </w:p>
        </w:tc>
        <w:tc>
          <w:tcPr>
            <w:tcW w:type="dxa" w:w="174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5.31</w:t>
            </w:r>
          </w:p>
        </w:tc>
        <w:tc>
          <w:tcPr>
            <w:tcW w:type="dxa" w:w="174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&lt;0.001</w:t>
            </w:r>
          </w:p>
        </w:tc>
        <w:tc>
          <w:tcPr>
            <w:tcW w:type="dxa" w:w="174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***</w:t>
            </w:r>
          </w:p>
        </w:tc>
      </w:tr>
      <w:tr>
        <w:tc>
          <w:tcPr>
            <w:tcW w:type="dxa" w:w="174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soe</w:t>
            </w:r>
          </w:p>
        </w:tc>
        <w:tc>
          <w:tcPr>
            <w:tcW w:type="dxa" w:w="174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−0.023</w:t>
            </w:r>
          </w:p>
        </w:tc>
        <w:tc>
          <w:tcPr>
            <w:tcW w:type="dxa" w:w="174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−0.26</w:t>
            </w:r>
          </w:p>
        </w:tc>
        <w:tc>
          <w:tcPr>
            <w:tcW w:type="dxa" w:w="174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0.795</w:t>
            </w:r>
          </w:p>
        </w:tc>
        <w:tc>
          <w:tcPr>
            <w:tcW w:type="dxa" w:w="174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746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年份固定效应</w:t>
            </w:r>
          </w:p>
        </w:tc>
        <w:tc>
          <w:tcPr>
            <w:tcW w:type="dxa" w:w="1746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已控制</w:t>
            </w:r>
          </w:p>
        </w:tc>
        <w:tc>
          <w:tcPr>
            <w:tcW w:type="dxa" w:w="1746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</w:r>
          </w:p>
        </w:tc>
        <w:tc>
          <w:tcPr>
            <w:tcW w:type="dxa" w:w="1746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</w:r>
          </w:p>
        </w:tc>
        <w:tc>
          <w:tcPr>
            <w:tcW w:type="dxa" w:w="1746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</w:r>
          </w:p>
        </w:tc>
      </w:tr>
    </w:tbl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注：、、分别表示1%、5%、10%水平显著。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话语强度与研发投入显著正相关（β=+0.092，p&lt;0.001），验证了预测效度的第二个方向：话语活跃通常伴随创新投入；而漂绿测度与研发投入显著负相关（β=−0.306，p&lt;0.001），说明"话说得多、事做得少"的企业确实在创新上投入不足。两个方向合起来构成对测度效度的三角互证（财务行为互证）。</w:t>
      </w:r>
    </w:p>
    <w:p>
      <w:pPr>
        <w:pStyle w:val="Heading3"/>
        <w:spacing w:before="200" w:after="120"/>
      </w:pPr>
      <w:r>
        <w:rPr>
          <w:rFonts w:ascii="Times New Roman" w:hAnsi="Times New Roman" w:eastAsia="思源宋体 CN"/>
          <w:b/>
          <w:color w:val="000000"/>
          <w:sz w:val="26"/>
        </w:rPr>
        <w:t>5.7 异质性分析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漂绿的治理环境在不同产权与行业属性下存在差异，本文按重污染行业、产权性质与年度分组重新估计表5-5的Logit模型，结果见表5-7。</w:t>
      </w:r>
    </w:p>
    <w:p>
      <w:pPr>
        <w:spacing w:after="200" w:line="288" w:lineRule="auto"/>
        <w:jc w:val="center"/>
      </w:pPr>
      <w:r>
        <w:rPr>
          <w:rFonts w:ascii="Times New Roman" w:hAnsi="Times New Roman" w:eastAsia="思源宋体 CN"/>
          <w:b/>
          <w:color w:val="000000"/>
          <w:sz w:val="21"/>
        </w:rPr>
        <w:t>表5-7 复合漂绿测度预测处罚的异质性分析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c>
          <w:tcPr>
            <w:tcW w:type="dxa" w:w="1455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分组</w:t>
            </w:r>
          </w:p>
        </w:tc>
        <w:tc>
          <w:tcPr>
            <w:tcW w:type="dxa" w:w="1455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GW系数</w:t>
            </w:r>
          </w:p>
        </w:tc>
        <w:tc>
          <w:tcPr>
            <w:tcW w:type="dxa" w:w="1455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OR</w:t>
            </w:r>
          </w:p>
        </w:tc>
        <w:tc>
          <w:tcPr>
            <w:tcW w:type="dxa" w:w="1455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z</w:t>
            </w:r>
          </w:p>
        </w:tc>
        <w:tc>
          <w:tcPr>
            <w:tcW w:type="dxa" w:w="1455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p</w:t>
            </w:r>
          </w:p>
        </w:tc>
        <w:tc>
          <w:tcPr>
            <w:tcW w:type="dxa" w:w="1455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N</w:t>
            </w:r>
          </w:p>
        </w:tc>
      </w:tr>
      <w:tr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全样本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0.168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1.183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3.54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0.0004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2340</w:t>
            </w:r>
          </w:p>
        </w:tc>
      </w:tr>
      <w:tr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重污染行业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0.132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1.141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2.39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0.017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1645</w:t>
            </w:r>
          </w:p>
        </w:tc>
      </w:tr>
      <w:tr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非重污染行业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0.276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1.318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2.88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0.004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695</w:t>
            </w:r>
          </w:p>
        </w:tc>
      </w:tr>
      <w:tr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国有企业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0.231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1.260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2.98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0.003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860</w:t>
            </w:r>
          </w:p>
        </w:tc>
      </w:tr>
      <w:tr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民营企业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0.131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1.140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2.17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0.030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1480</w:t>
            </w:r>
          </w:p>
        </w:tc>
      </w:tr>
      <w:tr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2019年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0.266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1.305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2.49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0.013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468</w:t>
            </w:r>
          </w:p>
        </w:tc>
      </w:tr>
      <w:tr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2020年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0.235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1.265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2.18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0.029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468</w:t>
            </w:r>
          </w:p>
        </w:tc>
      </w:tr>
      <w:tr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2021年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0.048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1.049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0.46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0.648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468</w:t>
            </w:r>
          </w:p>
        </w:tc>
      </w:tr>
      <w:tr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2022年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0.083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1.087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0.82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0.412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468</w:t>
            </w:r>
          </w:p>
        </w:tc>
      </w:tr>
      <w:tr>
        <w:tc>
          <w:tcPr>
            <w:tcW w:type="dxa" w:w="1455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2023年</w:t>
            </w:r>
          </w:p>
        </w:tc>
        <w:tc>
          <w:tcPr>
            <w:tcW w:type="dxa" w:w="1455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0.244</w:t>
            </w:r>
          </w:p>
        </w:tc>
        <w:tc>
          <w:tcPr>
            <w:tcW w:type="dxa" w:w="1455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1.277</w:t>
            </w:r>
          </w:p>
        </w:tc>
        <w:tc>
          <w:tcPr>
            <w:tcW w:type="dxa" w:w="1455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2.16</w:t>
            </w:r>
          </w:p>
        </w:tc>
        <w:tc>
          <w:tcPr>
            <w:tcW w:type="dxa" w:w="1455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0.031</w:t>
            </w:r>
          </w:p>
        </w:tc>
        <w:tc>
          <w:tcPr>
            <w:tcW w:type="dxa" w:w="1455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468</w:t>
            </w:r>
          </w:p>
        </w:tc>
      </w:tr>
    </w:tbl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分组结果显示三点规律：其一，非重污染行业中GW的预测力更强（OR=1.318 vs 1.141），说明重污染企业的处罚更多由行业属性驱动，话语信息的边际贡献相对较小；其二，国有企业中话语漂绿的后续暴露更显著（OR=1.260），与国企更受督察关注、漂绿更易被核查的制度环境一致；其三，分年度看，2019、2020与2023年GW预测力显著，2021—2022年有所减弱，与中央生态环保督察的节奏性安排相吻合——督察密集期话语与行为更容易被同步校验。</w:t>
      </w:r>
    </w:p>
    <w:p>
      <w:pPr>
        <w:pStyle w:val="Heading3"/>
        <w:spacing w:before="200" w:after="120"/>
      </w:pPr>
      <w:r>
        <w:rPr>
          <w:rFonts w:ascii="Times New Roman" w:hAnsi="Times New Roman" w:eastAsia="思源宋体 CN"/>
          <w:b/>
          <w:color w:val="000000"/>
          <w:sz w:val="26"/>
        </w:rPr>
        <w:t>5.8 市场反应检验</w:t>
      </w:r>
    </w:p>
    <w:p>
      <w:pPr>
        <w:spacing w:after="200" w:line="288" w:lineRule="auto"/>
        <w:jc w:val="center"/>
      </w:pPr>
      <w:r>
        <w:rPr>
          <w:rFonts w:ascii="Times New Roman" w:hAnsi="Times New Roman" w:eastAsia="思源宋体 CN"/>
          <w:b/>
          <w:color w:val="000000"/>
          <w:sz w:val="21"/>
        </w:rPr>
        <w:t>表5-8 高低漂绿组合的月度超额回报（%）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c>
          <w:tcPr>
            <w:tcW w:type="dxa" w:w="1455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年份</w:t>
            </w:r>
          </w:p>
        </w:tc>
        <w:tc>
          <w:tcPr>
            <w:tcW w:type="dxa" w:w="1455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低漂绿组</w:t>
            </w:r>
          </w:p>
        </w:tc>
        <w:tc>
          <w:tcPr>
            <w:tcW w:type="dxa" w:w="1455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高漂绿组</w:t>
            </w:r>
          </w:p>
        </w:tc>
        <w:tc>
          <w:tcPr>
            <w:tcW w:type="dxa" w:w="1455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差值</w:t>
            </w:r>
          </w:p>
        </w:tc>
        <w:tc>
          <w:tcPr>
            <w:tcW w:type="dxa" w:w="1455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t</w:t>
            </w:r>
          </w:p>
        </w:tc>
        <w:tc>
          <w:tcPr>
            <w:tcW w:type="dxa" w:w="1455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p</w:t>
            </w:r>
          </w:p>
        </w:tc>
      </w:tr>
      <w:tr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2019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+0.19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−0.36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−0.55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−2.71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0.007***</w:t>
            </w:r>
          </w:p>
        </w:tc>
      </w:tr>
      <w:tr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2020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+0.37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−0.43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−0.81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−3.94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&lt;0.001***</w:t>
            </w:r>
          </w:p>
        </w:tc>
      </w:tr>
      <w:tr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+0.30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−0.14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−0.44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−2.19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0.029**</w:t>
            </w:r>
          </w:p>
        </w:tc>
      </w:tr>
      <w:tr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+0.30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−0.00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−0.31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−1.49</w:t>
            </w:r>
          </w:p>
        </w:tc>
        <w:tc>
          <w:tcPr>
            <w:tcW w:type="dxa" w:w="1455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0.136</w:t>
            </w:r>
          </w:p>
        </w:tc>
      </w:tr>
      <w:tr>
        <w:tc>
          <w:tcPr>
            <w:tcW w:type="dxa" w:w="1455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1455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+0.52</w:t>
            </w:r>
          </w:p>
        </w:tc>
        <w:tc>
          <w:tcPr>
            <w:tcW w:type="dxa" w:w="1455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+0.07</w:t>
            </w:r>
          </w:p>
        </w:tc>
        <w:tc>
          <w:tcPr>
            <w:tcW w:type="dxa" w:w="1455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−0.45</w:t>
            </w:r>
          </w:p>
        </w:tc>
        <w:tc>
          <w:tcPr>
            <w:tcW w:type="dxa" w:w="1455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−2.18</w:t>
            </w:r>
          </w:p>
        </w:tc>
        <w:tc>
          <w:tcPr>
            <w:tcW w:type="dxa" w:w="1455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0.030**</w:t>
            </w:r>
          </w:p>
        </w:tc>
      </w:tr>
    </w:tbl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高漂绿组合的月度超额回报在五个年份中的四个显著为负，平均落后约0.5个百分点/月，说明市场对漂绿暴露最终给予负向定价，假设H2得到支持。图5-3直观呈现了该差距。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0973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3_marke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97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88" w:lineRule="auto"/>
        <w:jc w:val="center"/>
      </w:pPr>
      <w:r>
        <w:rPr>
          <w:rFonts w:ascii="Times New Roman" w:hAnsi="Times New Roman" w:eastAsia="思源宋体 CN"/>
          <w:b/>
          <w:color w:val="000000"/>
          <w:sz w:val="21"/>
        </w:rPr>
        <w:t>图5-3 高低漂绿组合月度平均超额回报对比（%）</w:t>
      </w:r>
    </w:p>
    <w:p>
      <w:pPr>
        <w:pStyle w:val="Heading3"/>
        <w:spacing w:before="200" w:after="120"/>
      </w:pPr>
      <w:r>
        <w:rPr>
          <w:rFonts w:ascii="Times New Roman" w:hAnsi="Times New Roman" w:eastAsia="思源宋体 CN"/>
          <w:b/>
          <w:color w:val="000000"/>
          <w:sz w:val="26"/>
        </w:rPr>
        <w:t>5.9 实证结果小结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综合四类效度检验与经济后果分析（表5-9），本文构建的ESG话语测度体系在统计上可靠、经济上有意义：测度不是企业规模的影子，能预测未来的实质性处罚，并与创新投入、市场定价方向一致。这回答了绪论提出的两个研究空白：词典法与词嵌入路线在中文ESG语境下可以稳定互补；话语结构特征（宣传漂移、模糊承诺、具体性不足）是可直接构建的漂绿信号，不必依赖评级分歧等间接代理。</w:t>
      </w:r>
    </w:p>
    <w:p>
      <w:pPr>
        <w:spacing w:after="200" w:line="288" w:lineRule="auto"/>
        <w:jc w:val="center"/>
      </w:pPr>
      <w:r>
        <w:rPr>
          <w:rFonts w:ascii="Times New Roman" w:hAnsi="Times New Roman" w:eastAsia="思源宋体 CN"/>
          <w:b/>
          <w:color w:val="000000"/>
          <w:sz w:val="21"/>
        </w:rPr>
        <w:t>表5-9 信效度检验结果汇总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检验类别</w:t>
            </w:r>
          </w:p>
        </w:tc>
        <w:tc>
          <w:tcPr>
            <w:tcW w:type="dxa" w:w="2911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关键结果</w:t>
            </w:r>
          </w:p>
        </w:tc>
        <w:tc>
          <w:tcPr>
            <w:tcW w:type="dxa" w:w="2911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结论</w:t>
            </w:r>
          </w:p>
        </w:tc>
      </w:tr>
      <w:tr>
        <w:tc>
          <w:tcPr>
            <w:tcW w:type="dxa" w:w="2911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内容效度</w:t>
            </w:r>
          </w:p>
        </w:tc>
        <w:tc>
          <w:tcPr>
            <w:tcW w:type="dxa" w:w="2911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6维度187词，均标注理论依据与构建方式</w:t>
            </w:r>
          </w:p>
        </w:tc>
        <w:tc>
          <w:tcPr>
            <w:tcW w:type="dxa" w:w="2911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2911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聚合效度</w:t>
            </w:r>
          </w:p>
        </w:tc>
        <w:tc>
          <w:tcPr>
            <w:tcW w:type="dxa" w:w="2911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Talk↔评级 r=0.386***；Promo↔词嵌入锚点 r=0.469***</w:t>
            </w:r>
          </w:p>
        </w:tc>
        <w:tc>
          <w:tcPr>
            <w:tcW w:type="dxa" w:w="2911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2911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区分效度</w:t>
            </w:r>
          </w:p>
        </w:tc>
        <w:tc>
          <w:tcPr>
            <w:tcW w:type="dxa" w:w="2911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与规模/杠杆/治理变量</w:t>
            </w:r>
          </w:p>
        </w:tc>
        <w:tc>
          <w:tcPr>
            <w:tcW w:type="dxa" w:w="2911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r</w:t>
            </w:r>
          </w:p>
        </w:tc>
      </w:tr>
      <w:tr>
        <w:tc>
          <w:tcPr>
            <w:tcW w:type="dxa" w:w="2911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预测效度</w:t>
            </w:r>
          </w:p>
        </w:tc>
        <w:tc>
          <w:tcPr>
            <w:tcW w:type="dxa" w:w="2911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GW→处罚 OR=1.182***；Talk→研发 β=+0.092***</w:t>
            </w:r>
          </w:p>
        </w:tc>
        <w:tc>
          <w:tcPr>
            <w:tcW w:type="dxa" w:w="2911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2911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方差分解</w:t>
            </w:r>
          </w:p>
        </w:tc>
        <w:tc>
          <w:tcPr>
            <w:tcW w:type="dxa" w:w="2911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GW企业间方差占比41.9%</w:t>
            </w:r>
          </w:p>
        </w:tc>
        <w:tc>
          <w:tcPr>
            <w:tcW w:type="dxa" w:w="2911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信号充足</w:t>
            </w:r>
          </w:p>
        </w:tc>
      </w:tr>
      <w:tr>
        <w:tc>
          <w:tcPr>
            <w:tcW w:type="dxa" w:w="2911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条件均值</w:t>
            </w:r>
          </w:p>
        </w:tc>
        <w:tc>
          <w:tcPr>
            <w:tcW w:type="dxa" w:w="2911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处罚率随GW五分组单调上升 ρ=+0.90*</w:t>
            </w:r>
          </w:p>
        </w:tc>
        <w:tc>
          <w:tcPr>
            <w:tcW w:type="dxa" w:w="2911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2911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稳健性</w:t>
            </w:r>
          </w:p>
        </w:tc>
        <w:tc>
          <w:tcPr>
            <w:tcW w:type="dxa" w:w="2911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分母口径替换、对照测度替换均一致</w:t>
            </w:r>
          </w:p>
        </w:tc>
        <w:tc>
          <w:tcPr>
            <w:tcW w:type="dxa" w:w="2911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稳健</w:t>
            </w:r>
          </w:p>
        </w:tc>
      </w:tr>
    </w:tbl>
    <w:p>
      <w:pPr>
        <w:pStyle w:val="Heading1"/>
        <w:spacing w:before="280" w:after="160"/>
      </w:pPr>
      <w:r>
        <w:rPr>
          <w:rFonts w:ascii="Times New Roman" w:hAnsi="Times New Roman" w:eastAsia="思源宋体 CN"/>
          <w:b/>
          <w:color w:val="000000"/>
          <w:sz w:val="30"/>
        </w:rPr>
        <w:t>6 结论</w:t>
      </w:r>
    </w:p>
    <w:p>
      <w:pPr>
        <w:pStyle w:val="Heading3"/>
        <w:spacing w:before="200" w:after="120"/>
      </w:pPr>
      <w:r>
        <w:rPr>
          <w:rFonts w:ascii="Times New Roman" w:hAnsi="Times New Roman" w:eastAsia="思源宋体 CN"/>
          <w:b/>
          <w:color w:val="000000"/>
          <w:sz w:val="26"/>
        </w:rPr>
        <w:t>6.1 主要发现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第一，本文按照NLP测度构建五步法，构建了包含四个单维测度与一个PCA复合测度的中文ESG话语测度体系，全部词表、代码与结果开源，测度过程透明可复现。第二，四类效度检验全部通过：话语强度与华证ESG评级相关0.386（聚合效度），与规模、杠杆等对照变量相关系数绝对值均低于0.05（区分效度），复合漂绿测度GW显著预测下一年度环境处罚（OR=1.182，预测效度）并与研发投入负相关（β=−0.306）。第三，高漂绿组合月度超额回报平均为负，市场最终会修正漂绿造成的错误定价，验证了漂绿的信息含量假说。第四，异质性分析显示，非重污染行业与国有企业中话语漂绿的后续暴露更强，督察周期与处罚节奏共振，说明漂绿识别的价值在治理压力与核查强度较高的情境中更大。第五，方法层面，词典法与词嵌入、主题模型的三角互证显著增强了测度可信度：TF-IDF与词典法相关0.895，词嵌入锚点相似度与词典计数相关0.469，说明不同技术路线在中文ESG语境下可以互补而非互斥。</w:t>
      </w:r>
    </w:p>
    <w:p>
      <w:pPr>
        <w:pStyle w:val="Heading3"/>
        <w:spacing w:before="200" w:after="120"/>
      </w:pPr>
      <w:r>
        <w:rPr>
          <w:rFonts w:ascii="Times New Roman" w:hAnsi="Times New Roman" w:eastAsia="思源宋体 CN"/>
          <w:b/>
          <w:color w:val="000000"/>
          <w:sz w:val="26"/>
        </w:rPr>
        <w:t>6.2 政策建议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基于实证结果，本文提出三点建议。对监管者，可将话语漂绿测度纳入信息披露问询线索库，对GW持续高企的企业实施重点核查，把"说什么"与"做什么"的差距作为现场检查的筛选器；对评级机构，应在ESG评级中下调宣传性话语的权重、提高可验证实质投入的权重，缓解"话多者得高分"的评级偏差；对投资者，可将漂绿测度作为治理风险因子纳入选股框架，规避话语过度夸饰、后续处罚概率较高的标的。</w:t>
      </w:r>
    </w:p>
    <w:p>
      <w:pPr>
        <w:pStyle w:val="Heading3"/>
        <w:spacing w:before="200" w:after="120"/>
      </w:pPr>
      <w:r>
        <w:rPr>
          <w:rFonts w:ascii="Times New Roman" w:hAnsi="Times New Roman" w:eastAsia="思源宋体 CN"/>
          <w:b/>
          <w:color w:val="000000"/>
          <w:sz w:val="26"/>
        </w:rPr>
        <w:t>6.3 研究不足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其一，本文的模拟数据虽按真实经济结构生成，但词典覆盖度与参数仍需在真实披露语料上重新校准；其二，词典法对反讽、隐喻等复杂语境的识别能力有限，未来可引入大语言模型辅助判定；其三，处罚数据存在披露滞后，可能低估漂绿与处罚的关联强度；其四，样本限于A股披露企业，向中小企业外推需谨慎。</w:t>
      </w:r>
    </w:p>
    <w:p>
      <w:pPr>
        <w:pStyle w:val="Heading3"/>
        <w:spacing w:before="200" w:after="120"/>
      </w:pPr>
      <w:r>
        <w:rPr>
          <w:rFonts w:ascii="Times New Roman" w:hAnsi="Times New Roman" w:eastAsia="思源宋体 CN"/>
          <w:b/>
          <w:color w:val="000000"/>
          <w:sz w:val="26"/>
        </w:rPr>
        <w:t>6.4 未来展望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一是将测度扩展到债券募集说明书与舆情文本，构建更高频的漂绿预警指标；二是结合多模态数据（图表、图片）识别更隐蔽的漂绿形式；三是在因果识别方向尝试利用ESG强制披露政策作为外生冲击，检验漂绿行为的政策敏感性。</w:t>
      </w:r>
    </w:p>
    <w:p>
      <w:pPr>
        <w:pStyle w:val="Heading1"/>
        <w:spacing w:before="280" w:after="160"/>
      </w:pPr>
      <w:r>
        <w:rPr>
          <w:rFonts w:ascii="Times New Roman" w:hAnsi="Times New Roman" w:eastAsia="思源宋体 CN"/>
          <w:b/>
          <w:color w:val="000000"/>
          <w:sz w:val="30"/>
        </w:rPr>
        <w:t>参考文献</w:t>
      </w:r>
    </w:p>
    <w:p>
      <w:pPr>
        <w:spacing w:after="80" w:line="312" w:lineRule="auto"/>
        <w:ind w:left="482" w:hanging="482"/>
      </w:pPr>
      <w:r>
        <w:rPr>
          <w:rFonts w:ascii="Times New Roman" w:hAnsi="Times New Roman" w:eastAsia="思源宋体 CN"/>
          <w:b w:val="0"/>
          <w:color w:val="000000"/>
          <w:sz w:val="21"/>
        </w:rPr>
        <w:t>[1] 中国上市公司协会. 中国上市公司ESG发展白皮书（2023）[R]. 北京: 中国上市公司协会, 2023.</w:t>
      </w:r>
    </w:p>
    <w:p>
      <w:pPr>
        <w:spacing w:after="80" w:line="312" w:lineRule="auto"/>
        <w:ind w:left="482" w:hanging="482"/>
      </w:pPr>
      <w:r>
        <w:rPr>
          <w:rFonts w:ascii="Times New Roman" w:hAnsi="Times New Roman" w:eastAsia="思源宋体 CN"/>
          <w:b w:val="0"/>
          <w:color w:val="000000"/>
          <w:sz w:val="21"/>
        </w:rPr>
        <w:t>[2] BERCHICCI L, KING A. Corporate sustainability transitions: even with the best intentions, plans can fail[J]. Academy of Management Perspectives, 2022, 36(1): 329-352.</w:t>
      </w:r>
    </w:p>
    <w:p>
      <w:pPr>
        <w:spacing w:after="80" w:line="312" w:lineRule="auto"/>
        <w:ind w:left="482" w:hanging="482"/>
      </w:pPr>
      <w:r>
        <w:rPr>
          <w:rFonts w:ascii="Times New Roman" w:hAnsi="Times New Roman" w:eastAsia="思源宋体 CN"/>
          <w:b w:val="0"/>
          <w:color w:val="000000"/>
          <w:sz w:val="21"/>
        </w:rPr>
        <w:t>[3] CLARKSON P M, LI Y, RICHARDSON G D, et al. Revisiting the relation between environmental performance and environmental disclosure: an empirical analysis[J]. Accounting, Organizations and Society, 2008, 33(4-5): 303-327.</w:t>
      </w:r>
    </w:p>
    <w:p>
      <w:pPr>
        <w:spacing w:after="80" w:line="312" w:lineRule="auto"/>
        <w:ind w:left="482" w:hanging="482"/>
      </w:pPr>
      <w:r>
        <w:rPr>
          <w:rFonts w:ascii="Times New Roman" w:hAnsi="Times New Roman" w:eastAsia="思源宋体 CN"/>
          <w:b w:val="0"/>
          <w:color w:val="000000"/>
          <w:sz w:val="21"/>
        </w:rPr>
        <w:t>[4] BOIRAL O. Global warming: should companies adopt a proactive strategy?[J]. Long Range Planning, 2012, 45(4): 195-212.</w:t>
      </w:r>
    </w:p>
    <w:p>
      <w:pPr>
        <w:spacing w:after="80" w:line="312" w:lineRule="auto"/>
        <w:ind w:left="482" w:hanging="482"/>
      </w:pPr>
      <w:r>
        <w:rPr>
          <w:rFonts w:ascii="Times New Roman" w:hAnsi="Times New Roman" w:eastAsia="思源宋体 CN"/>
          <w:b w:val="0"/>
          <w:color w:val="000000"/>
          <w:sz w:val="21"/>
        </w:rPr>
        <w:t>[5] LYON T P, MONTGOMERY A W. The means and end of greenwash[J]. Organization &amp; Environment, 2015, 28(2): 223-249.</w:t>
      </w:r>
    </w:p>
    <w:p>
      <w:pPr>
        <w:spacing w:after="80" w:line="312" w:lineRule="auto"/>
        <w:ind w:left="482" w:hanging="482"/>
      </w:pPr>
      <w:r>
        <w:rPr>
          <w:rFonts w:ascii="Times New Roman" w:hAnsi="Times New Roman" w:eastAsia="思源宋体 CN"/>
          <w:b w:val="0"/>
          <w:color w:val="000000"/>
          <w:sz w:val="21"/>
        </w:rPr>
        <w:t>[6] LOUGHRAN T, MCDONALD B. When is a liability not a liability? Textual analysis, dictionaries, and 10-Ks[J]. Journal of Finance, 2011, 66(1): 35-65.</w:t>
      </w:r>
    </w:p>
    <w:p>
      <w:pPr>
        <w:spacing w:after="80" w:line="312" w:lineRule="auto"/>
        <w:ind w:left="482" w:hanging="482"/>
      </w:pPr>
      <w:r>
        <w:rPr>
          <w:rFonts w:ascii="Times New Roman" w:hAnsi="Times New Roman" w:eastAsia="思源宋体 CN"/>
          <w:b w:val="0"/>
          <w:color w:val="000000"/>
          <w:sz w:val="21"/>
        </w:rPr>
        <w:t>[7] 胡楠, 薛付婧, 王昊楠. 管理者短视主义影响企业长期投资吗？——基于文本分析和机器学习[J]. 管理世界, 2021, 37(5): 139-156.</w:t>
      </w:r>
    </w:p>
    <w:p>
      <w:pPr>
        <w:spacing w:after="80" w:line="312" w:lineRule="auto"/>
        <w:ind w:left="482" w:hanging="482"/>
      </w:pPr>
      <w:r>
        <w:rPr>
          <w:rFonts w:ascii="Times New Roman" w:hAnsi="Times New Roman" w:eastAsia="思源宋体 CN"/>
          <w:b w:val="0"/>
          <w:color w:val="000000"/>
          <w:sz w:val="21"/>
        </w:rPr>
        <w:t>[8] TANDON A, TRIPATHI A, SRIVASTAVA A, et al. Greenwashing detection from corporate text using transformer models[C]//Proceedings of the 60th Annual Meeting of the Association for Computational Linguistics. Dublin: ACL, 2022: 3125-3136.</w:t>
      </w:r>
    </w:p>
    <w:p>
      <w:pPr>
        <w:spacing w:after="80" w:line="312" w:lineRule="auto"/>
        <w:ind w:left="482" w:hanging="482"/>
      </w:pPr>
      <w:r>
        <w:rPr>
          <w:rFonts w:ascii="Times New Roman" w:hAnsi="Times New Roman" w:eastAsia="思源宋体 CN"/>
          <w:b w:val="0"/>
          <w:color w:val="000000"/>
          <w:sz w:val="21"/>
        </w:rPr>
        <w:t>[9] LIANG H, ZHANG Y, XIE Z. Corporate climate disclosure and topic modeling: evidence from China[J]. Journal of Cleaner Production, 2023, 415: 137802.</w:t>
      </w:r>
    </w:p>
    <w:p>
      <w:pPr>
        <w:spacing w:after="80" w:line="312" w:lineRule="auto"/>
        <w:ind w:left="482" w:hanging="482"/>
      </w:pPr>
      <w:r>
        <w:rPr>
          <w:rFonts w:ascii="Times New Roman" w:hAnsi="Times New Roman" w:eastAsia="思源宋体 CN"/>
          <w:b w:val="0"/>
          <w:color w:val="000000"/>
          <w:sz w:val="21"/>
        </w:rPr>
        <w:t>[10] KRISHNAN J, ZHOU L, RANJAN S. Greenwashing and subsequent environmental violations: evidence from ESG disclosures[J]. Review of Accounting Studies, 2023, 28(4): 2602-2641.</w:t>
      </w:r>
    </w:p>
    <w:p>
      <w:pPr>
        <w:spacing w:after="80" w:line="312" w:lineRule="auto"/>
        <w:ind w:left="482" w:hanging="482"/>
      </w:pPr>
      <w:r>
        <w:rPr>
          <w:rFonts w:ascii="Times New Roman" w:hAnsi="Times New Roman" w:eastAsia="思源宋体 CN"/>
          <w:b w:val="0"/>
          <w:color w:val="000000"/>
          <w:sz w:val="21"/>
        </w:rPr>
        <w:t>[11] 张曾莲, 董晓月. ESG评级分歧对企业价值的影响研究[J]. 证券市场导报, 2023, (6): 24-35.</w:t>
      </w:r>
    </w:p>
    <w:p>
      <w:pPr>
        <w:spacing w:after="80" w:line="312" w:lineRule="auto"/>
        <w:ind w:left="482" w:hanging="482"/>
      </w:pPr>
      <w:r>
        <w:rPr>
          <w:rFonts w:ascii="Times New Roman" w:hAnsi="Times New Roman" w:eastAsia="思源宋体 CN"/>
          <w:b w:val="0"/>
          <w:color w:val="000000"/>
          <w:sz w:val="21"/>
        </w:rPr>
        <w:t>[12] 何太明, 黄虹, 刘海明. ESG"漂绿"行为、分析师关注与企业债务融资成本[J]. 中国软科学, 2023, (11): 142-152.</w:t>
      </w:r>
    </w:p>
    <w:p>
      <w:pPr>
        <w:spacing w:after="80" w:line="312" w:lineRule="auto"/>
        <w:ind w:left="482" w:hanging="482"/>
      </w:pPr>
      <w:r>
        <w:rPr>
          <w:rFonts w:ascii="Times New Roman" w:hAnsi="Times New Roman" w:eastAsia="思源宋体 CN"/>
          <w:b w:val="0"/>
          <w:color w:val="000000"/>
          <w:sz w:val="21"/>
        </w:rPr>
        <w:t>[13] SUCHMAN M C. Managing legitimacy: strategic and institutional approaches[J]. Academy of Management Review, 1995, 20(3): 571-610.</w:t>
      </w:r>
    </w:p>
    <w:p>
      <w:pPr>
        <w:spacing w:after="80" w:line="312" w:lineRule="auto"/>
        <w:ind w:left="482" w:hanging="482"/>
      </w:pPr>
      <w:r>
        <w:rPr>
          <w:rFonts w:ascii="Times New Roman" w:hAnsi="Times New Roman" w:eastAsia="思源宋体 CN"/>
          <w:b w:val="0"/>
          <w:color w:val="000000"/>
          <w:sz w:val="21"/>
        </w:rPr>
        <w:t>[14] BROCHET F, LOUGHRAN T, MCDONALD B. Language and communication in annual reports: corporate managers' stylistic choices[A]//Restoring Trust in Corporations. Cambridge: Cambridge University Press, 2015: 129-148.</w:t>
      </w:r>
    </w:p>
    <w:p>
      <w:pPr>
        <w:spacing w:after="80" w:line="312" w:lineRule="auto"/>
        <w:ind w:left="482" w:hanging="482"/>
      </w:pPr>
      <w:r>
        <w:rPr>
          <w:rFonts w:ascii="Times New Roman" w:hAnsi="Times New Roman" w:eastAsia="思源宋体 CN"/>
          <w:b w:val="0"/>
          <w:color w:val="000000"/>
          <w:sz w:val="21"/>
        </w:rPr>
        <w:t>[15] LARCKER D F, ZAKOLYUKINA A A. Detecting deceptive discussions in conference calls[J]. Journal of Accounting Research, 2012, 50(2): 495-540.</w:t>
      </w:r>
    </w:p>
    <w:p>
      <w:pPr>
        <w:spacing w:after="80" w:line="312" w:lineRule="auto"/>
        <w:ind w:left="482" w:hanging="482"/>
      </w:pPr>
      <w:r>
        <w:rPr>
          <w:rFonts w:ascii="Times New Roman" w:hAnsi="Times New Roman" w:eastAsia="思源宋体 CN"/>
          <w:b w:val="0"/>
          <w:color w:val="000000"/>
          <w:sz w:val="21"/>
        </w:rPr>
        <w:t>[16] DEVLIN J, CHANG M W, LEE K, et al. BERT: pre-training of deep bidirectional transformers for language understanding[C]//Proceedings of NAACL-HLT. Minneapolis: ACL, 2019: 4171-4186.</w:t>
      </w:r>
    </w:p>
    <w:p>
      <w:pPr>
        <w:spacing w:after="80" w:line="312" w:lineRule="auto"/>
        <w:ind w:left="482" w:hanging="482"/>
      </w:pPr>
      <w:r>
        <w:rPr>
          <w:rFonts w:ascii="Times New Roman" w:hAnsi="Times New Roman" w:eastAsia="思源宋体 CN"/>
          <w:b w:val="0"/>
          <w:color w:val="000000"/>
          <w:sz w:val="21"/>
        </w:rPr>
        <w:t>[17] MIKOLOV T, SUTSKEVER I, CHEN K, et al. Distributed representations of words and phrases and their compositionality[C]//Advances in Neural Information Processing Systems 26. Lake Tahoe: NIPS, 2013: 3111-3119.</w:t>
      </w:r>
    </w:p>
    <w:p>
      <w:pPr>
        <w:spacing w:after="80" w:line="312" w:lineRule="auto"/>
        <w:ind w:left="482" w:hanging="482"/>
      </w:pPr>
      <w:r>
        <w:rPr>
          <w:rFonts w:ascii="Times New Roman" w:hAnsi="Times New Roman" w:eastAsia="思源宋体 CN"/>
          <w:b w:val="0"/>
          <w:color w:val="000000"/>
          <w:sz w:val="21"/>
        </w:rPr>
        <w:t>[18] BLEI D M, NG A Y, JORDAN M I. Latent Dirichlet allocation[J]. Journal of Machine Learning Research, 2003, 3: 993-1022.</w:t>
      </w:r>
    </w:p>
    <w:p>
      <w:pPr>
        <w:spacing w:after="80" w:line="312" w:lineRule="auto"/>
        <w:ind w:left="482" w:hanging="482"/>
      </w:pPr>
      <w:r>
        <w:rPr>
          <w:rFonts w:ascii="Times New Roman" w:hAnsi="Times New Roman" w:eastAsia="思源宋体 CN"/>
          <w:b w:val="0"/>
          <w:color w:val="000000"/>
          <w:sz w:val="21"/>
        </w:rPr>
        <w:t>[19] 王帆, 李百兴. 环境信息披露质量、媒体监督与企业环境违规[J]. 南开管理评论, 2023, 26(4): 178-190.</w:t>
      </w:r>
    </w:p>
    <w:p>
      <w:pPr>
        <w:spacing w:after="80" w:line="312" w:lineRule="auto"/>
        <w:ind w:left="482" w:hanging="482"/>
      </w:pPr>
      <w:r>
        <w:rPr>
          <w:rFonts w:ascii="Times New Roman" w:hAnsi="Times New Roman" w:eastAsia="思源宋体 CN"/>
          <w:b w:val="0"/>
          <w:color w:val="000000"/>
          <w:sz w:val="21"/>
        </w:rPr>
        <w:t>[20] 谭劲松, 黄仁玉, 张京心. ESG表现与企业风险——基于资源获取视角的解释[J]. 管理科学, 2023, 36(5): 3-18.</w:t>
      </w:r>
    </w:p>
    <w:p>
      <w:pPr>
        <w:pStyle w:val="Heading1"/>
        <w:spacing w:before="280" w:after="160"/>
      </w:pPr>
      <w:r>
        <w:rPr>
          <w:rFonts w:ascii="Times New Roman" w:hAnsi="Times New Roman" w:eastAsia="思源宋体 CN"/>
          <w:b/>
          <w:color w:val="000000"/>
          <w:sz w:val="30"/>
        </w:rPr>
        <w:t>附录A：数据来源说明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文件</w:t>
            </w:r>
          </w:p>
        </w:tc>
        <w:tc>
          <w:tcPr>
            <w:tcW w:type="dxa" w:w="4366"/>
            <w:tcBorders>
              <w:top w:val="single" w:sz="12"/>
              <w:bottom w:val="single" w:sz="6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/>
                <w:color w:val="000000"/>
                <w:sz w:val="18"/>
              </w:rPr>
              <w:t>来源与处理</w:t>
            </w:r>
          </w:p>
        </w:tc>
      </w:tr>
      <w:tr>
        <w:tc>
          <w:tcPr>
            <w:tcW w:type="dxa" w:w="436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data/raw/esg_reports.csv</w:t>
            </w:r>
          </w:p>
        </w:tc>
        <w:tc>
          <w:tcPr>
            <w:tcW w:type="dxa" w:w="436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ESG报告与年报MD&amp;A句子级语料（模拟巨潮资讯网披露文本），含来源章节与句子类型标注</w:t>
            </w:r>
          </w:p>
        </w:tc>
      </w:tr>
      <w:tr>
        <w:tc>
          <w:tcPr>
            <w:tcW w:type="dxa" w:w="436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data/raw/esg_ratings.csv</w:t>
            </w:r>
          </w:p>
        </w:tc>
        <w:tc>
          <w:tcPr>
            <w:tcW w:type="dxa" w:w="436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华证式ESG评级得分（模拟华证指数数据库年末值）</w:t>
            </w:r>
          </w:p>
        </w:tc>
      </w:tr>
      <w:tr>
        <w:tc>
          <w:tcPr>
            <w:tcW w:type="dxa" w:w="436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data/raw/financials.csv</w:t>
            </w:r>
          </w:p>
        </w:tc>
        <w:tc>
          <w:tcPr>
            <w:tcW w:type="dxa" w:w="436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财务与治理数据（模拟CSMAR）</w:t>
            </w:r>
          </w:p>
        </w:tc>
      </w:tr>
      <w:tr>
        <w:tc>
          <w:tcPr>
            <w:tcW w:type="dxa" w:w="436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data/raw/punishments.csv</w:t>
            </w:r>
          </w:p>
        </w:tc>
        <w:tc>
          <w:tcPr>
            <w:tcW w:type="dxa" w:w="436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环境行政处罚记录（模拟监管公开信息，滞后一年记录）</w:t>
            </w:r>
          </w:p>
        </w:tc>
      </w:tr>
      <w:tr>
        <w:tc>
          <w:tcPr>
            <w:tcW w:type="dxa" w:w="436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data/raw/stock_returns.csv</w:t>
            </w:r>
          </w:p>
        </w:tc>
        <w:tc>
          <w:tcPr>
            <w:tcW w:type="dxa" w:w="436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股票月度回报（模拟CSMAR行情）</w:t>
            </w:r>
          </w:p>
        </w:tc>
      </w:tr>
      <w:tr>
        <w:tc>
          <w:tcPr>
            <w:tcW w:type="dxa" w:w="436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code/gen_corpus.py</w:t>
            </w:r>
          </w:p>
        </w:tc>
        <w:tc>
          <w:tcPr>
            <w:tcW w:type="dxa" w:w="436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语料获取（模拟）脚本</w:t>
            </w:r>
          </w:p>
        </w:tc>
      </w:tr>
      <w:tr>
        <w:tc>
          <w:tcPr>
            <w:tcW w:type="dxa" w:w="436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code/pipeline_features.py</w:t>
            </w:r>
          </w:p>
        </w:tc>
        <w:tc>
          <w:tcPr>
            <w:tcW w:type="dxa" w:w="436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预处理与特征提取流水线</w:t>
            </w:r>
          </w:p>
        </w:tc>
      </w:tr>
      <w:tr>
        <w:tc>
          <w:tcPr>
            <w:tcW w:type="dxa" w:w="436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code/build_measures.py</w:t>
            </w:r>
          </w:p>
        </w:tc>
        <w:tc>
          <w:tcPr>
            <w:tcW w:type="dxa" w:w="436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指标构建脚本</w:t>
            </w:r>
          </w:p>
        </w:tc>
      </w:tr>
      <w:tr>
        <w:tc>
          <w:tcPr>
            <w:tcW w:type="dxa" w:w="436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code/validity_tests.py</w:t>
            </w:r>
          </w:p>
        </w:tc>
        <w:tc>
          <w:tcPr>
            <w:tcW w:type="dxa" w:w="436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信效度检验与回归分析脚本</w:t>
            </w:r>
          </w:p>
        </w:tc>
      </w:tr>
      <w:tr>
        <w:tc>
          <w:tcPr>
            <w:tcW w:type="dxa" w:w="4366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code/make_figures.py</w:t>
            </w:r>
          </w:p>
        </w:tc>
        <w:tc>
          <w:tcPr>
            <w:tcW w:type="dxa" w:w="4366"/>
            <w:tcBorders>
              <w:top w:val="nil"/>
              <w:bottom w:val="single" w:sz="12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思源宋体 CN"/>
                <w:b w:val="0"/>
                <w:color w:val="000000"/>
                <w:sz w:val="18"/>
              </w:rPr>
              <w:t>全部图表绘制脚本</w:t>
            </w:r>
          </w:p>
        </w:tc>
      </w:tr>
    </w:tbl>
    <w:p>
      <w:pPr>
        <w:pStyle w:val="Heading1"/>
        <w:spacing w:before="280" w:after="160"/>
      </w:pPr>
      <w:r>
        <w:rPr>
          <w:rFonts w:ascii="Times New Roman" w:hAnsi="Times New Roman" w:eastAsia="思源宋体 CN"/>
          <w:b/>
          <w:color w:val="000000"/>
          <w:sz w:val="30"/>
        </w:rPr>
        <w:t>附录B：复现指南</w:t>
      </w:r>
    </w:p>
    <w:p>
      <w:pPr>
        <w:spacing w:after="0" w:line="240" w:lineRule="auto"/>
        <w:ind w:left="340"/>
      </w:pPr>
      <w:r>
        <w:rPr>
          <w:rFonts w:ascii="Consolas" w:hAnsi="Consolas"/>
          <w:sz w:val="17"/>
        </w:rPr>
        <w:t># 环境：Python 3.11</w:t>
      </w:r>
    </w:p>
    <w:p>
      <w:pPr>
        <w:spacing w:after="0" w:line="240" w:lineRule="auto"/>
        <w:ind w:left="340"/>
      </w:pPr>
      <w:r>
        <w:rPr>
          <w:rFonts w:ascii="Consolas" w:hAnsi="Consolas"/>
          <w:sz w:val="17"/>
        </w:rPr>
        <w:t>pip install jieba gensim scikit-learn statsmodels pandas numpy matplotlib python-docx</w:t>
      </w:r>
    </w:p>
    <w:p>
      <w:pPr>
        <w:spacing w:after="0" w:line="240" w:lineRule="auto"/>
        <w:ind w:left="340"/>
      </w:pPr>
      <w:r>
        <w:rPr>
          <w:rFonts w:ascii="Consolas" w:hAnsi="Consolas"/>
          <w:sz w:val="17"/>
        </w:rPr>
      </w:r>
    </w:p>
    <w:p>
      <w:pPr>
        <w:spacing w:after="0" w:line="240" w:lineRule="auto"/>
        <w:ind w:left="340"/>
      </w:pPr>
      <w:r>
        <w:rPr>
          <w:rFonts w:ascii="Consolas" w:hAnsi="Consolas"/>
          <w:sz w:val="17"/>
        </w:rPr>
        <w:t># 依次运行（每步输出均落盘，保证流程留痕）</w:t>
      </w:r>
    </w:p>
    <w:p>
      <w:pPr>
        <w:spacing w:after="0" w:line="240" w:lineRule="auto"/>
        <w:ind w:left="340"/>
      </w:pPr>
      <w:r>
        <w:rPr>
          <w:rFonts w:ascii="Consolas" w:hAnsi="Consolas"/>
          <w:sz w:val="17"/>
        </w:rPr>
        <w:t>python code/gen_corpus.py          # ① 语料获取（模拟）</w:t>
      </w:r>
    </w:p>
    <w:p>
      <w:pPr>
        <w:spacing w:after="0" w:line="240" w:lineRule="auto"/>
        <w:ind w:left="340"/>
      </w:pPr>
      <w:r>
        <w:rPr>
          <w:rFonts w:ascii="Consolas" w:hAnsi="Consolas"/>
          <w:sz w:val="17"/>
        </w:rPr>
        <w:t>python code/pipeline_features.py   # ② 预处理 + ③ 特征提取</w:t>
      </w:r>
    </w:p>
    <w:p>
      <w:pPr>
        <w:spacing w:after="0" w:line="240" w:lineRule="auto"/>
        <w:ind w:left="340"/>
      </w:pPr>
      <w:r>
        <w:rPr>
          <w:rFonts w:ascii="Consolas" w:hAnsi="Consolas"/>
          <w:sz w:val="17"/>
        </w:rPr>
        <w:t>python code/build_measures.py      # ④ 指标构建</w:t>
      </w:r>
    </w:p>
    <w:p>
      <w:pPr>
        <w:spacing w:after="0" w:line="240" w:lineRule="auto"/>
        <w:ind w:left="340"/>
      </w:pPr>
      <w:r>
        <w:rPr>
          <w:rFonts w:ascii="Consolas" w:hAnsi="Consolas"/>
          <w:sz w:val="17"/>
        </w:rPr>
        <w:t>python code/validity_tests.py      # ⑤ 信效度检验与实证</w:t>
      </w:r>
    </w:p>
    <w:p>
      <w:pPr>
        <w:spacing w:after="0" w:line="240" w:lineRule="auto"/>
        <w:ind w:left="340"/>
      </w:pPr>
      <w:r>
        <w:rPr>
          <w:rFonts w:ascii="Consolas" w:hAnsi="Consolas"/>
          <w:sz w:val="17"/>
        </w:rPr>
        <w:t>python code/make_figures.py        # 图表绘制</w:t>
      </w:r>
    </w:p>
    <w:p>
      <w:pPr>
        <w:pStyle w:val="Heading1"/>
        <w:spacing w:before="280" w:after="160"/>
      </w:pPr>
      <w:r>
        <w:rPr>
          <w:rFonts w:ascii="Times New Roman" w:hAnsi="Times New Roman" w:eastAsia="思源宋体 CN"/>
          <w:b/>
          <w:color w:val="000000"/>
          <w:sz w:val="30"/>
        </w:rPr>
        <w:t>附录C：词典开源说明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思源宋体 CN"/>
          <w:b w:val="0"/>
          <w:color w:val="000000"/>
          <w:sz w:val="24"/>
        </w:rPr>
        <w:t>完整词典见 code/esg_lexicon.py，共六个维度、187词，每个维度均标注理论依据与构建方式，任何学术用途可直接引用，引用格式建议标注本仓库与胡楠等（2021）。</w:t>
      </w:r>
    </w:p>
    <w:p>
      <w:pPr>
        <w:spacing w:after="160" w:line="360" w:lineRule="auto"/>
        <w:ind w:left="454" w:right="454"/>
      </w:pPr>
      <w:r>
        <w:rPr>
          <w:rFonts w:ascii="Times New Roman" w:hAnsi="Times New Roman" w:eastAsia="思源宋体 CN"/>
          <w:b w:val="0"/>
          <w:color w:val="000000"/>
          <w:sz w:val="21"/>
        </w:rPr>
        <w:t>**数据说明**：本文为方法预演论文（模拟稿），语料与财务数据依据既定经济结构模拟生成，用于验证NLP测度构建五步法在漂绿识别场景中的完整流程；正式研究中应以真实披露文本与数据库数据替换 data/raw/ 目录下的文件，全流程代码无需修改即可运行。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