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color w:val="0C4A38"/>
          <w:sz w:val="40"/>
        </w:rPr>
        <w:t>竞品对比话术表</w:t>
      </w:r>
    </w:p>
    <w:p>
      <w:pPr>
        <w:jc w:val="center"/>
      </w:pPr>
      <w:r>
        <w:rPr>
          <w:color w:val="5A6962"/>
          <w:sz w:val="20"/>
        </w:rPr>
        <w:t>新人销售必背资料｜南京华用电气</w:t>
      </w:r>
    </w:p>
    <w:p>
      <w:r>
        <w:rPr>
          <w:sz w:val="18"/>
        </w:rPr>
        <w:t>使用原则：先确认客户实际工况、控制电压、接点和认证要求，再做针对性比较。不得贬低竞品，不得承诺未经样册或技术确认的参数。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701"/>
        <w:gridCol w:w="1417"/>
        <w:gridCol w:w="1417"/>
        <w:gridCol w:w="1417"/>
        <w:gridCol w:w="1587"/>
        <w:gridCol w:w="2268"/>
      </w:tblGrid>
      <w:tr>
        <w:tc>
          <w:tcPr>
            <w:tcW w:type="dxa" w:w="1506"/>
            <w:shd w:fill="0C4A3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对比维度</w:t>
            </w:r>
          </w:p>
        </w:tc>
        <w:tc>
          <w:tcPr>
            <w:tcW w:type="dxa" w:w="1506"/>
            <w:shd w:fill="0C4A3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南京华用</w:t>
            </w:r>
          </w:p>
        </w:tc>
        <w:tc>
          <w:tcPr>
            <w:tcW w:type="dxa" w:w="1506"/>
            <w:shd w:fill="0C4A3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欧姆龙</w:t>
            </w:r>
          </w:p>
        </w:tc>
        <w:tc>
          <w:tcPr>
            <w:tcW w:type="dxa" w:w="1506"/>
            <w:shd w:fill="0C4A3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施耐德</w:t>
            </w:r>
          </w:p>
        </w:tc>
        <w:tc>
          <w:tcPr>
            <w:tcW w:type="dxa" w:w="1506"/>
            <w:shd w:fill="0C4A3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魏德米勒</w:t>
            </w:r>
          </w:p>
        </w:tc>
        <w:tc>
          <w:tcPr>
            <w:tcW w:type="dxa" w:w="1506"/>
            <w:shd w:fill="0C4A3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南京协澳</w:t>
            </w:r>
          </w:p>
        </w:tc>
        <w:tc>
          <w:tcPr>
            <w:tcW w:type="dxa" w:w="1506"/>
            <w:shd w:fill="0C4A3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推荐话术</w:t>
            </w:r>
          </w:p>
        </w:tc>
      </w:tr>
      <w:tr>
        <w:tc>
          <w:tcPr>
            <w:tcW w:type="dxa" w:w="1134"/>
            <w:shd w:fill="E5F0EA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23F30"/>
                <w:sz w:val="16"/>
              </w:rPr>
              <w:t>产品定位</w:t>
            </w:r>
          </w:p>
        </w:tc>
        <w:tc>
          <w:tcPr>
            <w:tcW w:type="dxa" w:w="1701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工业、电力二次回路继电器及配套元件，覆盖中间、时间、控制保护、温控、报警、电源切换</w:t>
            </w:r>
          </w:p>
        </w:tc>
        <w:tc>
          <w:tcPr>
            <w:tcW w:type="dxa" w:w="1417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工业自动化通用继电器和控制元件</w:t>
            </w:r>
          </w:p>
        </w:tc>
        <w:tc>
          <w:tcPr>
            <w:tcW w:type="dxa" w:w="1417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工控及配电自动化综合品牌</w:t>
            </w:r>
          </w:p>
        </w:tc>
        <w:tc>
          <w:tcPr>
            <w:tcW w:type="dxa" w:w="1417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工业联接、自动化及接口产品</w:t>
            </w:r>
          </w:p>
        </w:tc>
        <w:tc>
          <w:tcPr>
            <w:tcW w:type="dxa" w:w="1587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国产继电器及电力二次元件，需按具体系列核实</w:t>
            </w:r>
          </w:p>
        </w:tc>
        <w:tc>
          <w:tcPr>
            <w:tcW w:type="dxa" w:w="2268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“我们先不按品牌硬比，先按回路功能和安装条件核对；华用更适合需要明确规格、交期和技术配合的项目。”</w:t>
            </w:r>
          </w:p>
        </w:tc>
      </w:tr>
      <w:tr>
        <w:tc>
          <w:tcPr>
            <w:tcW w:type="dxa" w:w="1134"/>
            <w:shd w:fill="E5F0EA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23F30"/>
                <w:sz w:val="16"/>
              </w:rPr>
              <w:t>选型适配</w:t>
            </w:r>
          </w:p>
        </w:tc>
        <w:tc>
          <w:tcPr>
            <w:tcW w:type="dxa" w:w="1701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可按型号、接线图、BOM、样品做对应核对；支持电力二次回路特殊功能</w:t>
            </w:r>
          </w:p>
        </w:tc>
        <w:tc>
          <w:tcPr>
            <w:tcW w:type="dxa" w:w="1417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通用系列丰富，标准化程度高</w:t>
            </w:r>
          </w:p>
        </w:tc>
        <w:tc>
          <w:tcPr>
            <w:tcW w:type="dxa" w:w="1417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产品线完整，项目规范影响较大</w:t>
            </w:r>
          </w:p>
        </w:tc>
        <w:tc>
          <w:tcPr>
            <w:tcW w:type="dxa" w:w="1417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接口和系统配套能力强</w:t>
            </w:r>
          </w:p>
        </w:tc>
        <w:tc>
          <w:tcPr>
            <w:tcW w:type="dxa" w:w="1587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需按具体型号、接口和图纸确认</w:t>
            </w:r>
          </w:p>
        </w:tc>
        <w:tc>
          <w:tcPr>
            <w:tcW w:type="dxa" w:w="2268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“如果贵司已有成熟型号，我们可以按原型号和接线关系做替代核对，先确认能否直接替换。”</w:t>
            </w:r>
          </w:p>
        </w:tc>
      </w:tr>
      <w:tr>
        <w:tc>
          <w:tcPr>
            <w:tcW w:type="dxa" w:w="1134"/>
            <w:shd w:fill="E5F0EA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23F30"/>
                <w:sz w:val="16"/>
              </w:rPr>
              <w:t>电力二次功能</w:t>
            </w:r>
          </w:p>
        </w:tc>
        <w:tc>
          <w:tcPr>
            <w:tcW w:type="dxa" w:w="1701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覆盖抗干扰、非全相、防跳、闭锁、断路器控制/回路监视、辅助电源切换等产品方向</w:t>
            </w:r>
          </w:p>
        </w:tc>
        <w:tc>
          <w:tcPr>
            <w:tcW w:type="dxa" w:w="1417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需按具体系列确认，不能把通用继电器等同于保护功能</w:t>
            </w:r>
          </w:p>
        </w:tc>
        <w:tc>
          <w:tcPr>
            <w:tcW w:type="dxa" w:w="1417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需按具体系列和项目规范确认</w:t>
            </w:r>
          </w:p>
        </w:tc>
        <w:tc>
          <w:tcPr>
            <w:tcW w:type="dxa" w:w="1417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需按具体系列确认</w:t>
            </w:r>
          </w:p>
        </w:tc>
        <w:tc>
          <w:tcPr>
            <w:tcW w:type="dxa" w:w="1587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需区分通用继电器与电力二次专用功能</w:t>
            </w:r>
          </w:p>
        </w:tc>
        <w:tc>
          <w:tcPr>
            <w:tcW w:type="dxa" w:w="2268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“电力二次回路不能只看触点数量，防跳、闭锁、回路监视等功能要逐项确认。”</w:t>
            </w:r>
          </w:p>
        </w:tc>
      </w:tr>
      <w:tr>
        <w:tc>
          <w:tcPr>
            <w:tcW w:type="dxa" w:w="1134"/>
            <w:shd w:fill="E5F0EA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23F30"/>
                <w:sz w:val="16"/>
              </w:rPr>
              <w:t>时间继电器</w:t>
            </w:r>
          </w:p>
        </w:tc>
        <w:tc>
          <w:tcPr>
            <w:tcW w:type="dxa" w:w="1701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RT：上电/掉电/脉冲展宽；RT-NP：无源上电延时；RT-E-NP：无源带显示；RT-X：循环动作</w:t>
            </w:r>
          </w:p>
        </w:tc>
        <w:tc>
          <w:tcPr>
            <w:tcW w:type="dxa" w:w="1417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通常有多种时间继电器系列</w:t>
            </w:r>
          </w:p>
        </w:tc>
        <w:tc>
          <w:tcPr>
            <w:tcW w:type="dxa" w:w="1417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通常有多种时间继电器系列</w:t>
            </w:r>
          </w:p>
        </w:tc>
        <w:tc>
          <w:tcPr>
            <w:tcW w:type="dxa" w:w="1417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有接口和自动化配套产品</w:t>
            </w:r>
          </w:p>
        </w:tc>
        <w:tc>
          <w:tcPr>
            <w:tcW w:type="dxa" w:w="1587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需按具体系列核对延时模式和供电方式</w:t>
            </w:r>
          </w:p>
        </w:tc>
        <w:tc>
          <w:tcPr>
            <w:tcW w:type="dxa" w:w="2268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“先把延时模式、辅助电源和负载性质对齐，再比较价格和交期。”</w:t>
            </w:r>
          </w:p>
        </w:tc>
      </w:tr>
      <w:tr>
        <w:tc>
          <w:tcPr>
            <w:tcW w:type="dxa" w:w="1134"/>
            <w:shd w:fill="E5F0EA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23F30"/>
                <w:sz w:val="16"/>
              </w:rPr>
              <w:t>交期与服务</w:t>
            </w:r>
          </w:p>
        </w:tc>
        <w:tc>
          <w:tcPr>
            <w:tcW w:type="dxa" w:w="1701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国内技术、生产和销售协同，可做样品、小批量和项目响应；具体交期按型号确认</w:t>
            </w:r>
          </w:p>
        </w:tc>
        <w:tc>
          <w:tcPr>
            <w:tcW w:type="dxa" w:w="1417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渠道体系成熟，具体交期受库存和渠道影响</w:t>
            </w:r>
          </w:p>
        </w:tc>
        <w:tc>
          <w:tcPr>
            <w:tcW w:type="dxa" w:w="1417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供应体系成熟，项目型号可能受准入限制</w:t>
            </w:r>
          </w:p>
        </w:tc>
        <w:tc>
          <w:tcPr>
            <w:tcW w:type="dxa" w:w="1417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国际品牌体系，具体交期按渠道和型号确认</w:t>
            </w:r>
          </w:p>
        </w:tc>
        <w:tc>
          <w:tcPr>
            <w:tcW w:type="dxa" w:w="1587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以具体库存、排产和服务范围为准</w:t>
            </w:r>
          </w:p>
        </w:tc>
        <w:tc>
          <w:tcPr>
            <w:tcW w:type="dxa" w:w="2268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“我们可以先用样品或小批验证降低切换风险，交期以确认型号和数量为准。”</w:t>
            </w:r>
          </w:p>
        </w:tc>
      </w:tr>
      <w:tr>
        <w:tc>
          <w:tcPr>
            <w:tcW w:type="dxa" w:w="1134"/>
            <w:shd w:fill="E5F0EA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23F30"/>
                <w:sz w:val="16"/>
              </w:rPr>
              <w:t>价格</w:t>
            </w:r>
          </w:p>
        </w:tc>
        <w:tc>
          <w:tcPr>
            <w:tcW w:type="dxa" w:w="1701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以规格、数量、认证和交期核价，不以低价替代技术确认</w:t>
            </w:r>
          </w:p>
        </w:tc>
        <w:tc>
          <w:tcPr>
            <w:tcW w:type="dxa" w:w="1417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品牌和渠道价格体系明显</w:t>
            </w:r>
          </w:p>
        </w:tc>
        <w:tc>
          <w:tcPr>
            <w:tcW w:type="dxa" w:w="1417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项目及渠道因素较多</w:t>
            </w:r>
          </w:p>
        </w:tc>
        <w:tc>
          <w:tcPr>
            <w:tcW w:type="dxa" w:w="1417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品牌及配套体系因素较多</w:t>
            </w:r>
          </w:p>
        </w:tc>
        <w:tc>
          <w:tcPr>
            <w:tcW w:type="dxa" w:w="1587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需在同规格、同认证和同服务条件下比较</w:t>
            </w:r>
          </w:p>
        </w:tc>
        <w:tc>
          <w:tcPr>
            <w:tcW w:type="dxa" w:w="2268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“不建议只比单价，建议把全生命周期成本、交期、替换风险一起比较。”</w:t>
            </w:r>
          </w:p>
        </w:tc>
      </w:tr>
      <w:tr>
        <w:tc>
          <w:tcPr>
            <w:tcW w:type="dxa" w:w="1134"/>
            <w:shd w:fill="E5F0EA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23F30"/>
                <w:sz w:val="16"/>
              </w:rPr>
              <w:t>国产化/备选</w:t>
            </w:r>
          </w:p>
        </w:tc>
        <w:tc>
          <w:tcPr>
            <w:tcW w:type="dxa" w:w="1701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可作为国产化验证、补充供应、急单和替代验证对象</w:t>
            </w:r>
          </w:p>
        </w:tc>
        <w:tc>
          <w:tcPr>
            <w:tcW w:type="dxa" w:w="1417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原有品牌使用惯性强</w:t>
            </w:r>
          </w:p>
        </w:tc>
        <w:tc>
          <w:tcPr>
            <w:tcW w:type="dxa" w:w="1417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项目指定和准入要求需核实</w:t>
            </w:r>
          </w:p>
        </w:tc>
        <w:tc>
          <w:tcPr>
            <w:tcW w:type="dxa" w:w="1417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常作为国际品牌配套</w:t>
            </w:r>
          </w:p>
        </w:tc>
        <w:tc>
          <w:tcPr>
            <w:tcW w:type="dxa" w:w="1587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同属国产供应选择，准入和型号边界需逐项核实</w:t>
            </w:r>
          </w:p>
        </w:tc>
        <w:tc>
          <w:tcPr>
            <w:tcW w:type="dxa" w:w="2268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“如果项目允许备选，我们可以从一只样品开始，按图纸和现场参数验证，不影响现有主供应。”</w:t>
            </w:r>
          </w:p>
        </w:tc>
      </w:tr>
      <w:tr>
        <w:tc>
          <w:tcPr>
            <w:tcW w:type="dxa" w:w="1134"/>
            <w:shd w:fill="E5F0EA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23F30"/>
                <w:sz w:val="16"/>
              </w:rPr>
              <w:t>典型切入口</w:t>
            </w:r>
          </w:p>
        </w:tc>
        <w:tc>
          <w:tcPr>
            <w:tcW w:type="dxa" w:w="1701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现有品牌缺货、交期紧、需国产化、规格特殊、二次回路故障替换</w:t>
            </w:r>
          </w:p>
        </w:tc>
        <w:tc>
          <w:tcPr>
            <w:tcW w:type="dxa" w:w="1417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客户已有标准化库存</w:t>
            </w:r>
          </w:p>
        </w:tc>
        <w:tc>
          <w:tcPr>
            <w:tcW w:type="dxa" w:w="1417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项目指定或系统配套</w:t>
            </w:r>
          </w:p>
        </w:tc>
        <w:tc>
          <w:tcPr>
            <w:tcW w:type="dxa" w:w="1417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接口、端子和系统配套</w:t>
            </w:r>
          </w:p>
        </w:tc>
        <w:tc>
          <w:tcPr>
            <w:tcW w:type="dxa" w:w="1587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国产化替代、交期、规格和技术服务对比</w:t>
            </w:r>
          </w:p>
        </w:tc>
        <w:tc>
          <w:tcPr>
            <w:tcW w:type="dxa" w:w="2268"/>
            <w:vAlign w:val="center"/>
            <w:tcBorders>
              <w:top w:val="single" w:sz="5" w:color="B7C8BF"/>
              <w:left w:val="single" w:sz="5" w:color="B7C8BF"/>
              <w:bottom w:val="single" w:sz="5" w:color="B7C8BF"/>
              <w:right w:val="single" w:sz="5" w:color="B7C8BF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020"/>
                <w:sz w:val="15"/>
              </w:rPr>
              <w:t>“贵司目前最容易卡在交期、指定品牌，还是现场替换？不同问题对应不同方案。”</w:t>
            </w:r>
          </w:p>
        </w:tc>
      </w:tr>
    </w:tbl>
    <w:p/>
    <w:p>
      <w:r>
        <w:rPr>
          <w:b/>
          <w:color w:val="0C4A38"/>
          <w:sz w:val="26"/>
        </w:rPr>
        <w:t>南京华用与主要竞品的详细对比</w:t>
      </w:r>
    </w:p>
    <w:p>
      <w:pPr>
        <w:ind w:left="227"/>
      </w:pPr>
      <w:r>
        <w:rPr>
          <w:sz w:val="18"/>
        </w:rPr>
        <w:t>**客户常见认知**：欧姆龙在自动化柜、实验设备和可拔插继电器中品牌认知高，客户往往已有底座和库存。</w:t>
      </w:r>
    </w:p>
    <w:p>
      <w:pPr>
        <w:ind w:left="227"/>
      </w:pPr>
      <w:r>
        <w:rPr>
          <w:sz w:val="18"/>
        </w:rPr>
        <w:t>**华用切入点**：不要直接说“替代欧姆龙”，而是先拿到欧姆龙具体型号、底座、线圈电压、触点形式和负载类型，做一对一核对。</w:t>
      </w:r>
    </w:p>
    <w:p>
      <w:pPr>
        <w:ind w:left="227"/>
      </w:pPr>
      <w:r>
        <w:rPr>
          <w:sz w:val="18"/>
        </w:rPr>
        <w:t>**华用差异**：华用同时覆盖电力二次回路专用功能，能从抗干扰、防跳、闭锁、回路监视、温控和电源切换等组合需求切入；在国产化、缺货和交期紧时可做样品验证。</w:t>
      </w:r>
    </w:p>
    <w:p>
      <w:pPr>
        <w:ind w:left="227"/>
      </w:pPr>
      <w:r>
        <w:rPr>
          <w:sz w:val="18"/>
        </w:rPr>
        <w:t>**风险边界**：欧姆龙原有底座、PLC接口和客户库存体系可能形成粘性，未完成插脚、尺寸和接线核对前不能承诺直接插拔替换。</w:t>
      </w:r>
    </w:p>
    <w:p>
      <w:pPr>
        <w:ind w:left="227"/>
      </w:pPr>
      <w:r>
        <w:rPr>
          <w:sz w:val="18"/>
        </w:rPr>
        <w:t>**现场问法**：“现在用的是欧姆龙哪个完整型号？是设备自带，还是贵司自己选型？如果遇到缺货，贵司更看重底座兼容、交期还是价格？”</w:t>
      </w:r>
    </w:p>
    <w:p>
      <w:pPr>
        <w:ind w:left="227"/>
      </w:pPr>
      <w:r>
        <w:rPr>
          <w:sz w:val="18"/>
        </w:rPr>
        <w:t>**客户常见认知**：施耐德常与低压配电、控制柜和项目规范绑定，品牌指定和渠道体系可能影响采购。</w:t>
      </w:r>
    </w:p>
    <w:p>
      <w:pPr>
        <w:ind w:left="227"/>
      </w:pPr>
      <w:r>
        <w:rPr>
          <w:sz w:val="18"/>
        </w:rPr>
        <w:t>**华用切入点**：先确认施耐德是招标文件强制指定，还是客户习惯品牌；若只是参考品牌，可从备选供应、国产化验证和交期响应切入。</w:t>
      </w:r>
    </w:p>
    <w:p>
      <w:pPr>
        <w:ind w:left="227"/>
      </w:pPr>
      <w:r>
        <w:rPr>
          <w:sz w:val="18"/>
        </w:rPr>
        <w:t>**华用差异**：华用可围绕二次控制回路做功能级核对，不只比较通用中间继电器，还能核对断路器控制、回路监视、辅助电源切换和温控报警。</w:t>
      </w:r>
    </w:p>
    <w:p>
      <w:pPr>
        <w:ind w:left="227"/>
      </w:pPr>
      <w:r>
        <w:rPr>
          <w:sz w:val="18"/>
        </w:rPr>
        <w:t>**风险边界**：项目准入、型式试验、认证和供应商名录优先级高于价格，必须先确认能否进入BOM或替代清单。</w:t>
      </w:r>
    </w:p>
    <w:p>
      <w:pPr>
        <w:ind w:left="227"/>
      </w:pPr>
      <w:r>
        <w:rPr>
          <w:sz w:val="18"/>
        </w:rPr>
        <w:t>**现场问法**：“施耐德是技术规范指定，还是历史采购习惯？项目允许第二品牌或国产化备选吗？谁负责最终BOM确认？”</w:t>
      </w:r>
    </w:p>
    <w:p>
      <w:pPr>
        <w:ind w:left="227"/>
      </w:pPr>
      <w:r>
        <w:rPr>
          <w:sz w:val="18"/>
        </w:rPr>
        <w:t>**客户常见认知**：魏德米勒在工业联接、接口和自动化配套中优势明显，客户关注端子、底座、尺寸和系统一致性。</w:t>
      </w:r>
    </w:p>
    <w:p>
      <w:pPr>
        <w:ind w:left="227"/>
      </w:pPr>
      <w:r>
        <w:rPr>
          <w:sz w:val="18"/>
        </w:rPr>
        <w:t>**华用切入点**：从配套插座、接口适配、交期补充和国产化验证切入，先核对继电器本体与插座的插脚、端子定义、安装方式和承载条件。</w:t>
      </w:r>
    </w:p>
    <w:p>
      <w:pPr>
        <w:ind w:left="227"/>
      </w:pPr>
      <w:r>
        <w:rPr>
          <w:sz w:val="18"/>
        </w:rPr>
        <w:t>**华用差异**：华用可提供继电器配套插座及电力二次回路相关产品，并由销售、技术和生产协同处理样品、小批和项目交付。</w:t>
      </w:r>
    </w:p>
    <w:p>
      <w:pPr>
        <w:ind w:left="227"/>
      </w:pPr>
      <w:r>
        <w:rPr>
          <w:sz w:val="18"/>
        </w:rPr>
        <w:t>**风险边界**：不能把“外形相近”说成“接口通用”，需要样品、图纸或BOM验证；国际品牌的项目准入和质量文件要求也要提前确认。</w:t>
      </w:r>
    </w:p>
    <w:p>
      <w:pPr>
        <w:ind w:left="227"/>
      </w:pPr>
      <w:r>
        <w:rPr>
          <w:sz w:val="18"/>
        </w:rPr>
        <w:t>**现场问法**：“贵司当前卡点是接口适配、交期还是国产化验证？能否提供现用型号和底座照片，我们先做结构与接线核对？”</w:t>
      </w:r>
    </w:p>
    <w:p>
      <w:pPr>
        <w:ind w:left="227"/>
      </w:pPr>
      <w:r>
        <w:rPr>
          <w:sz w:val="18"/>
        </w:rPr>
        <w:t>**客户常见认知**：同属国产继电器及电力二次元件供应选择，客户可能会直接比较价格和交期。</w:t>
      </w:r>
    </w:p>
    <w:p>
      <w:pPr>
        <w:ind w:left="227"/>
      </w:pPr>
      <w:r>
        <w:rPr>
          <w:sz w:val="18"/>
        </w:rPr>
        <w:t>**华用切入点**：把比较从单价拉回到功能完整性、型号覆盖、技术响应、样品验证、批次一致性和售后闭环。</w:t>
      </w:r>
    </w:p>
    <w:p>
      <w:pPr>
        <w:ind w:left="227"/>
      </w:pPr>
      <w:r>
        <w:rPr>
          <w:sz w:val="18"/>
        </w:rPr>
        <w:t>**华用差异**：华用产品资料覆盖中间、时间、控制保护、回路监视、温控、报警和电源切换多个方向，适合按客户回路逐项核对，减少“通用继电器代替专用功能”的风险。</w:t>
      </w:r>
    </w:p>
    <w:p>
      <w:pPr>
        <w:ind w:left="227"/>
      </w:pPr>
      <w:r>
        <w:rPr>
          <w:sz w:val="18"/>
        </w:rPr>
        <w:t>**风险边界**：不得在没有双方样册、检测资料和型号对照的情况下评价协澳具体参数优劣；所有结论以同规格、同认证、同交期条件下的验证为准。</w:t>
      </w:r>
    </w:p>
    <w:p>
      <w:pPr>
        <w:ind w:left="227"/>
      </w:pPr>
      <w:r>
        <w:rPr>
          <w:sz w:val="18"/>
        </w:rPr>
        <w:t>**现场问法**：“除了采购单价，贵司更在意哪一项：型号覆盖、交期、现场替换、技术响应还是批次稳定？我们可以按同一份BOM逐项比较。”</w:t>
      </w:r>
    </w:p>
    <w:p>
      <w:r>
        <w:rPr>
          <w:b/>
          <w:color w:val="0C4A38"/>
          <w:sz w:val="26"/>
        </w:rPr>
        <w:t>五步对比流程</w:t>
      </w:r>
    </w:p>
    <w:p>
      <w:pPr>
        <w:ind w:left="227"/>
      </w:pPr>
      <w:r>
        <w:rPr>
          <w:sz w:val="18"/>
        </w:rPr>
        <w:t>1. 先问应用：继电器装在哪类柜体或设备，承担什么逻辑？</w:t>
      </w:r>
    </w:p>
    <w:p>
      <w:pPr>
        <w:ind w:left="227"/>
      </w:pPr>
      <w:r>
        <w:rPr>
          <w:sz w:val="18"/>
        </w:rPr>
        <w:t>2. 再问参数：线圈/控制电压、触点形式、负载、安装方式、环境条件。</w:t>
      </w:r>
    </w:p>
    <w:p>
      <w:pPr>
        <w:ind w:left="227"/>
      </w:pPr>
      <w:r>
        <w:rPr>
          <w:sz w:val="18"/>
        </w:rPr>
        <w:t>3. 再问采购：谁有 BOM 和品牌确认权，是否有供应商名录或客户指定？</w:t>
      </w:r>
    </w:p>
    <w:p>
      <w:pPr>
        <w:ind w:left="227"/>
      </w:pPr>
      <w:r>
        <w:rPr>
          <w:sz w:val="18"/>
        </w:rPr>
        <w:t>4. 提供证据：样册页、型号对照、接线图、样品和交期说明。</w:t>
      </w:r>
    </w:p>
    <w:p>
      <w:pPr>
        <w:ind w:left="227"/>
      </w:pPr>
      <w:r>
        <w:rPr>
          <w:sz w:val="18"/>
        </w:rPr>
        <w:t>5. 明确边界：未经技术确认，不说“完全兼容”“百分百替代”“一定更便宜”。</w:t>
      </w:r>
    </w:p>
    <w:p>
      <w:r>
        <w:rPr>
          <w:b/>
          <w:color w:val="0C4A38"/>
          <w:sz w:val="26"/>
        </w:rPr>
        <w:t>禁用表达</w:t>
      </w:r>
    </w:p>
    <w:p>
      <w:pPr>
        <w:ind w:left="227"/>
      </w:pPr>
      <w:r>
        <w:rPr>
          <w:sz w:val="18"/>
        </w:rPr>
        <w:t>“竞品质量都不行。”</w:t>
      </w:r>
    </w:p>
    <w:p>
      <w:pPr>
        <w:ind w:left="227"/>
      </w:pPr>
      <w:r>
        <w:rPr>
          <w:sz w:val="18"/>
        </w:rPr>
        <w:t>“我们肯定比他们便宜。”</w:t>
      </w:r>
    </w:p>
    <w:p>
      <w:pPr>
        <w:ind w:left="227"/>
      </w:pPr>
      <w:r>
        <w:rPr>
          <w:sz w:val="18"/>
        </w:rPr>
        <w:t>“外形一样就能直接替换。”</w:t>
      </w:r>
    </w:p>
    <w:p>
      <w:pPr>
        <w:ind w:left="227"/>
      </w:pPr>
      <w:r>
        <w:rPr>
          <w:sz w:val="18"/>
        </w:rPr>
        <w:t>“所有微机保护项目都用得到继电器。”</w:t>
      </w:r>
    </w:p>
    <w:sectPr w:rsidR="00FC693F" w:rsidRPr="0006063C" w:rsidSect="00034616">
      <w:pgSz w:w="12240" w:h="15840"/>
      <w:pgMar w:top="907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竞品对比话术表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