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6AC2D" w14:textId="77777777" w:rsidR="00EB7080" w:rsidRDefault="00000000">
      <w:pPr>
        <w:spacing w:before="2200" w:after="200"/>
        <w:jc w:val="center"/>
      </w:pPr>
      <w:r>
        <w:rPr>
          <w:rFonts w:cs="맑은 고딕"/>
          <w:b/>
          <w:bCs/>
          <w:color w:val="1F4E79"/>
          <w:sz w:val="44"/>
          <w:szCs w:val="44"/>
        </w:rPr>
        <w:t>가칭 「기본권교육지원법」 제정안</w:t>
      </w:r>
    </w:p>
    <w:p w14:paraId="257813F7" w14:textId="77777777" w:rsidR="00EB7080" w:rsidRDefault="00000000">
      <w:pPr>
        <w:spacing w:after="200"/>
        <w:jc w:val="center"/>
      </w:pPr>
      <w:r>
        <w:rPr>
          <w:rFonts w:cs="맑은 고딕"/>
          <w:b/>
          <w:bCs/>
          <w:sz w:val="30"/>
          <w:szCs w:val="30"/>
        </w:rPr>
        <w:t>시민 초안 대비 조문 수정안 (대조표)</w:t>
      </w:r>
    </w:p>
    <w:p w14:paraId="0AA2A780" w14:textId="77777777" w:rsidR="00EB7080" w:rsidRDefault="00000000">
      <w:pPr>
        <w:spacing w:after="120"/>
        <w:jc w:val="center"/>
      </w:pPr>
      <w:r>
        <w:rPr>
          <w:rFonts w:cs="맑은 고딕"/>
          <w:color w:val="555555"/>
          <w:sz w:val="22"/>
          <w:szCs w:val="22"/>
        </w:rPr>
        <w:t>기본권 학습터(fundamentalrights.kr) 시민 초안 검토 — 민주주의 박람회 조직위 교육 기능 연계</w:t>
      </w:r>
    </w:p>
    <w:p w14:paraId="1D0098E4" w14:textId="77777777" w:rsidR="00EB7080" w:rsidRDefault="00000000">
      <w:pPr>
        <w:spacing w:before="1600" w:after="80"/>
        <w:jc w:val="center"/>
      </w:pPr>
      <w:r>
        <w:rPr>
          <w:rFonts w:cs="맑은 고딕"/>
          <w:sz w:val="22"/>
          <w:szCs w:val="22"/>
        </w:rPr>
        <w:t>2026. 9. 4. (검토용 초안)</w:t>
      </w:r>
    </w:p>
    <w:p w14:paraId="3AF62FEE" w14:textId="77777777" w:rsidR="00EB7080" w:rsidRDefault="00000000">
      <w:pPr>
        <w:spacing w:before="600"/>
        <w:jc w:val="center"/>
      </w:pPr>
      <w:r>
        <w:rPr>
          <w:rFonts w:cs="맑은 고딕"/>
          <w:color w:val="888888"/>
          <w:sz w:val="17"/>
          <w:szCs w:val="17"/>
        </w:rPr>
        <w:t>※ 본 대조표는 입법 논의를 위한 참고자료입니다. 법제처 심사 기준의 완성 조문이 아니며, 제출 전 변호사·국회 입법조사처 감수가 필요합니다.</w:t>
      </w:r>
    </w:p>
    <w:p w14:paraId="119993C8" w14:textId="77777777" w:rsidR="00EB7080" w:rsidRDefault="00000000">
      <w:r>
        <w:br w:type="page"/>
      </w:r>
    </w:p>
    <w:p w14:paraId="4BC71CB9" w14:textId="77777777" w:rsidR="00EB7080" w:rsidRDefault="00000000">
      <w:pPr>
        <w:pStyle w:val="1"/>
      </w:pPr>
      <w:r>
        <w:rPr>
          <w:rFonts w:cs="맑은 고딕"/>
        </w:rPr>
        <w:lastRenderedPageBreak/>
        <w:t>1. 검토 총평</w:t>
      </w:r>
    </w:p>
    <w:p w14:paraId="30A5C079" w14:textId="77777777" w:rsidR="00EB7080" w:rsidRDefault="00000000">
      <w:pPr>
        <w:spacing w:after="120" w:line="320" w:lineRule="auto"/>
      </w:pPr>
      <w:r>
        <w:rPr>
          <w:rFonts w:cs="맑은 고딕"/>
        </w:rPr>
        <w:t>시민 초안은 30년간 민주시민교육법·인권교육법이 좌초한 원인(중립성 공방)을 정확히 짚고, 내용 기준을 헌법 조문에 두는 우회로와 보이텔스바흐 합의의 조문화(제4조)로 대응했습니다. 기존 법정의무교육과의 통합 운영, 평생교육법 위에 얹는 설계도 현실적입니다. 수정안은 이 골격을 유지하면서 다음 여섯 가지를 보강합니다.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700"/>
        <w:gridCol w:w="3900"/>
      </w:tblGrid>
      <w:tr w:rsidR="00EB7080" w14:paraId="0CF317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59E9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b/>
                <w:bCs/>
                <w:color w:val="FFFFFF"/>
                <w:sz w:val="17"/>
                <w:szCs w:val="17"/>
              </w:rPr>
              <w:t>쟁점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1453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b/>
                <w:bCs/>
                <w:color w:val="FFFFFF"/>
                <w:sz w:val="17"/>
                <w:szCs w:val="17"/>
              </w:rPr>
              <w:t>초안의 약점</w:t>
            </w:r>
          </w:p>
        </w:tc>
        <w:tc>
          <w:tcPr>
            <w:tcW w:w="39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394AB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b/>
                <w:bCs/>
                <w:color w:val="FFFFFF"/>
                <w:sz w:val="17"/>
                <w:szCs w:val="17"/>
              </w:rPr>
              <w:t>수정 방향</w:t>
            </w:r>
          </w:p>
        </w:tc>
      </w:tr>
      <w:tr w:rsidR="00EB7080" w14:paraId="0D8B192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99A5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① 균형 보증 장치</w:t>
            </w:r>
          </w:p>
        </w:tc>
        <w:tc>
          <w:tcPr>
            <w:tcW w:w="3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2B35B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제8조 "특정 정파에 편중되지 아니하도록"은 선언에 그침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A762E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독일 bpb 감독위원회 방식: 국회 교섭단체 의석 비례 추천을 법률 요건으로 하고, 어느 정당 추천도 과반 불가. 학술자문위 신설</w:t>
            </w:r>
          </w:p>
        </w:tc>
      </w:tr>
      <w:tr w:rsidR="00EB7080" w14:paraId="2617785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FEA92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소관</w:t>
            </w:r>
          </w:p>
        </w:tc>
        <w:tc>
          <w:tcPr>
            <w:tcW w:w="3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E6B16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교육부장관 소속 위원회는 공직·직업·평생 영역(제11·13·14조)을 통할할 권한이 없음</w:t>
            </w:r>
          </w:p>
        </w:tc>
        <w:tc>
          <w:tcPr>
            <w:tcW w:w="39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2F9942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국무총리 소속 위원회로 격상, 학교 부문은 교육부·교육감이 시행</w:t>
            </w:r>
          </w:p>
        </w:tc>
      </w:tr>
      <w:tr w:rsidR="00EB7080" w14:paraId="2D6C3AB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F9CE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③ 제11조 강제성의 위치</w:t>
            </w:r>
          </w:p>
        </w:tc>
        <w:tc>
          <w:tcPr>
            <w:tcW w:w="3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3562E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임용시험·승진 심사 점수 반영 → 인사혁신처·국가공무원법 충돌, 노조 반발, 암기화(제3항과 자기모순)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E241D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강제성은 유지하되 "이수 의무 + 미이수 시 승진 명부 제한"으로 이동. 기존 헌법 과목의 사례 판단형 개편은 협의 조항으로</w:t>
            </w:r>
          </w:p>
        </w:tc>
      </w:tr>
      <w:tr w:rsidR="00EB7080" w14:paraId="3807258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1436B9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④ 범위</w:t>
            </w:r>
          </w:p>
        </w:tc>
        <w:tc>
          <w:tcPr>
            <w:tcW w:w="3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4274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제2장 기본권만으로는 국민주권(제1조)·지방자치(제117조)·숙의 등 실현 기반이 빠짐. "국민"만 대상</w:t>
            </w:r>
          </w:p>
        </w:tc>
        <w:tc>
          <w:tcPr>
            <w:tcW w:w="39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E4BBD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정의에 헌법 전문·제1장 원리·지방자치를 포함. 대상을 "국민 및 국내 거주 외국인"으로</w:t>
            </w:r>
          </w:p>
        </w:tc>
      </w:tr>
      <w:tr w:rsidR="00EB7080" w14:paraId="1947FE5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36D67B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⑤ 형식화·관제화</w:t>
            </w:r>
          </w:p>
        </w:tc>
        <w:tc>
          <w:tcPr>
            <w:tcW w:w="3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ECF87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제9조 시수·교육과정 반영 의무 없음, 제17조 인증 주체가 교육부장관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FC3347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교육과정 고시 반영 의무 신설, 인증 주체를 위원회로 이동</w:t>
            </w:r>
          </w:p>
        </w:tc>
      </w:tr>
      <w:tr w:rsidR="00EB7080" w14:paraId="267979D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F51762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⑥ 연구원과 박람회</w:t>
            </w:r>
          </w:p>
        </w:tc>
        <w:tc>
          <w:tcPr>
            <w:tcW w:w="3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F0B4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연구원(제15조)의 거버넌스 규정이 없고 시민 참여 행사와 연결이 없음</w:t>
            </w:r>
          </w:p>
        </w:tc>
        <w:tc>
          <w:tcPr>
            <w:tcW w:w="39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F91CE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연구원 이사회에 동일한 균형 요건 적용, 사업에 민주주의 박람회 교육 프로그램 명시, 「민주주의 주간 지원법」과 연계 조항</w:t>
            </w:r>
          </w:p>
        </w:tc>
      </w:tr>
    </w:tbl>
    <w:p w14:paraId="1D43ACBC" w14:textId="77777777" w:rsidR="00EB7080" w:rsidRDefault="00000000">
      <w:r>
        <w:br w:type="page"/>
      </w:r>
    </w:p>
    <w:p w14:paraId="48465F4B" w14:textId="77777777" w:rsidR="00EB7080" w:rsidRDefault="00000000">
      <w:pPr>
        <w:pStyle w:val="1"/>
      </w:pPr>
      <w:r>
        <w:rPr>
          <w:rFonts w:cs="맑은 고딕"/>
        </w:rPr>
        <w:lastRenderedPageBreak/>
        <w:t>2. 조문 대조표</w:t>
      </w:r>
    </w:p>
    <w:p w14:paraId="4EC2A686" w14:textId="77777777" w:rsidR="00EB7080" w:rsidRDefault="00000000">
      <w:pPr>
        <w:spacing w:after="120" w:line="320" w:lineRule="auto"/>
      </w:pPr>
      <w:r>
        <w:rPr>
          <w:rFonts w:cs="맑은 고딕"/>
        </w:rPr>
        <w:t>왼쪽은 fundamentalrights.kr에 게시된 시민 초안 원문, 가운데는 수정안, 오른쪽은 수정 이유입니다. 수정 없는 조문은 "(현행 유지)"로 표시했습니다. 밑줄 대신 【 】로 변경 부분을 표시했습니다.</w:t>
      </w:r>
    </w:p>
    <w:p w14:paraId="1C7B3A33" w14:textId="77777777" w:rsidR="00EB7080" w:rsidRDefault="00EB7080">
      <w:pPr>
        <w:spacing w:after="8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300"/>
        <w:gridCol w:w="3000"/>
      </w:tblGrid>
      <w:tr w:rsidR="00EB7080" w14:paraId="73F025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46FF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b/>
                <w:bCs/>
                <w:color w:val="FFFFFF"/>
                <w:sz w:val="17"/>
                <w:szCs w:val="17"/>
              </w:rPr>
              <w:t>시민 초안(현행)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96FB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b/>
                <w:bCs/>
                <w:color w:val="FFFFFF"/>
                <w:sz w:val="17"/>
                <w:szCs w:val="17"/>
              </w:rPr>
              <w:t>수정안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E9BE9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b/>
                <w:bCs/>
                <w:color w:val="FFFFFF"/>
                <w:sz w:val="17"/>
                <w:szCs w:val="17"/>
              </w:rPr>
              <w:t>수정 이유</w:t>
            </w:r>
          </w:p>
        </w:tc>
      </w:tr>
      <w:tr w:rsidR="00EB7080" w14:paraId="72DFA23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88E0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【제명】 기본권교육지원법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9DBC8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【제명】 기본권교육지원법 (현행 유지)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61E92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"헌법교육"이 범위상 더 정확하나, 여야가 공유하는 "기본권"이라는 이름이 중립성 신호로 유리. 범위는 제2조 정의로 보완</w:t>
            </w:r>
          </w:p>
        </w:tc>
      </w:tr>
      <w:tr w:rsidR="00EB7080" w14:paraId="7E90520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F671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제1조(목적) 이 법은 헌법이 보장하는 기본권에 관한 교육을 지원·진흥함으로써 모든 국민이 자신과 타인의 기본권을 이해하고 존중하며, 권리에 따르는 책임을 다하는 성숙한 민주사회의 실현에 이바지함을 목적으로 한다.</w:t>
            </w:r>
          </w:p>
        </w:tc>
        <w:tc>
          <w:tcPr>
            <w:tcW w:w="33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26C9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제1조(목적) 이 법은 헌법이 보장하는 기본권에 관한 교육을 지원·진흥함으로써 【모든 사람이】 자신과 타인의 기본권을 이해하고 존중하며, 권리에 따르는 책임을 다하고 【주권자로서 공동체의 결정에 참여하는】 성숙한 민주사회의 실현에 이바지함을 목적으로 한다.</w:t>
            </w:r>
          </w:p>
        </w:tc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0BCBA5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"국민"→"사람"으로 외국인 포함(헌재의 인간의 권리·국민의 권리 구분 판례). "참여"를 목적에 넣어 숙의·직접민주주의 교육의 근거 확보</w:t>
            </w:r>
          </w:p>
        </w:tc>
      </w:tr>
      <w:tr w:rsidR="00EB7080" w14:paraId="7CF695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A7D5A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제2조(정의) 1. "기본권교육"이란 헌법 제2장에 규정된 국민의 권리와 의무를 중심으로, 기본권의 내용과 한계, 권리 상호 간의 조화, 권리에 따르는 책임을 이해하고 일상생활에서 실천할 수 있는 능력을 기르는 모든 형태의 교육을 말한다.</w:t>
            </w:r>
          </w:p>
          <w:p w14:paraId="1EBB110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2. "기본권교육기관"이란 …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87F77C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 xml:space="preserve">제2조(정의) 1. "기본권교육"이란 헌법 제2장에 규정된 국민의 권리와 의무를 중심으로, 기본권의 내용과 한계, 권리 상호 간의 조화, 권리에 따르는 책임을 이해하고 일상생활에서 실천할 수 있는 능력을 기르는 모든 형태의 교육을 말하며, 【헌법 전문과 제1장의 기본원리(국민주권·민주공화국), 제8장의 지방자치 등 기본권 실현의 제도적 기반과 참정권의 행사 방법에 관한 교육을 </w:t>
            </w:r>
            <w:proofErr w:type="gramStart"/>
            <w:r>
              <w:rPr>
                <w:rFonts w:cs="맑은 고딕"/>
                <w:color w:val="000000"/>
                <w:sz w:val="17"/>
                <w:szCs w:val="17"/>
              </w:rPr>
              <w:t>포함한다.】</w:t>
            </w:r>
            <w:proofErr w:type="gramEnd"/>
          </w:p>
          <w:p w14:paraId="402DFDC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2. (현행 유지)</w:t>
            </w:r>
          </w:p>
          <w:p w14:paraId="3F6E173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【3. "기본권교육전문인력"이란 제16조에 따른 양성과정을 이수하고 제8조의 위원회가 정하는 기준에 따라 등록된 사람을 말한다.】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E9A6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제2장만으로는 국민주권·지방자치·숙의가 빠져 박람회 교육을 담지 못함. 명칭은 유지하면서 정의로 범위 확장. 전문인력 정의는 제16조·제17조 운영을 위해 필요</w:t>
            </w:r>
          </w:p>
        </w:tc>
      </w:tr>
      <w:tr w:rsidR="00EB7080" w14:paraId="3EDF65F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C888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제3조(국가와 지방자치단체의 책무) ① 국가와 지방자치단체는 모든 국민이 생애 전 단계에서 기본권교육을 받을 수 있도록 필요한 시책을 수립·시행하여야 한다.</w:t>
            </w:r>
          </w:p>
          <w:p w14:paraId="196D599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… 특정 집단이나 지역에 편중되지 아니하도록 노력하여야 한다.</w:t>
            </w:r>
          </w:p>
        </w:tc>
        <w:tc>
          <w:tcPr>
            <w:tcW w:w="33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11B29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제3조 ① 국가와 지방자치단체는 【국민 및 국내에 거주하는 외국인이】 생애 전 단계에서 기본권교육을 받을 수 있도록 필요한 시책을 수립·시행하여야 한다.</w:t>
            </w:r>
          </w:p>
          <w:p w14:paraId="28FD3D6C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(현행 유지)</w:t>
            </w:r>
          </w:p>
          <w:p w14:paraId="162A27A9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【③ 국가와 지방자치단체는 장애인, 이주민, 문해력이 낮은 사람 등이 기본권교육</w:t>
            </w: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에 접근하는 데 어려움이 없도록 쉬운 말, 수어, 다국어 등 접근성 조치를 강구하여야 한다.】</w:t>
            </w:r>
          </w:p>
        </w:tc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0468C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이주민 포함(박람회 참여자 범위와 일치). 접근성 조항은 사이트의 "쉬운 말·보통·자세히" 3단계 편집 원칙을 법률로 옮긴 것</w:t>
            </w:r>
          </w:p>
        </w:tc>
      </w:tr>
      <w:tr w:rsidR="00EB7080" w14:paraId="39A620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881C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제4조(교육의 원칙) 1. 교육자는 학습자를 압도하여 특정한 정치적·사회적 견해를 갖도록 하여서는 아니 된다.</w:t>
            </w:r>
          </w:p>
          <w:p w14:paraId="2D77E4EC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2. 학문과 사회에서 논쟁적인 사안은 교육에서도 논쟁적인 것으로 다루어 … 균형 있게 제시하여야 한다.</w:t>
            </w:r>
          </w:p>
          <w:p w14:paraId="6B95F099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3. 교육은 학습자의 경험과 이해관계에서 출발하여 … 참여할 수 있는 능력을 기르는 것을 지향하여야 한다.</w:t>
            </w:r>
          </w:p>
          <w:p w14:paraId="723C06A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4. 제1호부터 제3호까지의 원칙은 인간의 존엄과 가치 등 헌법의 기본 질서를 부정하는 주장을 옹호할 의무를 부과하는 것으로 해석되지 아니한다.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741C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제4조 (제1호~제4호 현행 유지)</w:t>
            </w:r>
          </w:p>
          <w:p w14:paraId="7404444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【② 국가와 지방자치단체, 기본권교육기관은 제1항의 원칙을 위반한 교육에 대하여 이 법에 따른 재정지원·인증을 하여서는 아니 되며, 위원회는 위반 여부를 심의할 수 있다.</w:t>
            </w:r>
          </w:p>
          <w:p w14:paraId="62BCBD85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③ 제1항의 원칙은 교육자의 사상·양심의 자유 및 학문의 자유를 제한하는 근거로 확대 해석되어서는 아니 된다.】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F943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초안 제4조는 이 법의 핵심이며 그대로 둠. 다만 원칙에 실효성(지원·인증 배제)을 주되, 교사 징계의 근거로 악용되지 않도록 제3항으로 한계 설정 — 교원단체의 반대를 예방</w:t>
            </w:r>
          </w:p>
        </w:tc>
      </w:tr>
      <w:tr w:rsidR="00EB7080" w14:paraId="386E8C2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40824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제5조(다른 법률과의 관계) … 「법교육지원법」에 따른 법교육, 「평생교육법」에 따른 시민참여교육 등과 연계하여 …</w:t>
            </w:r>
          </w:p>
        </w:tc>
        <w:tc>
          <w:tcPr>
            <w:tcW w:w="33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D21005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제5조 ① (현행 유지)</w:t>
            </w:r>
          </w:p>
          <w:p w14:paraId="43BD54D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【② 국가는 이 법에 따른 기본권교육을 「민주주의 주간 지원법」(가칭) 등 시민의 정치 참여와 숙의를 지원하는 법률에 따른 사업과 연계하여 추진할 수 있다.】</w:t>
            </w:r>
          </w:p>
        </w:tc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6C07A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민주주의 박람회 관련 법과 상호 연계 조항. 두 법을 분리해 하나가 막혀도 다른 하나가 살아남게 하되, 교육 기능은 이 법의 연구원이 담당</w:t>
            </w:r>
          </w:p>
        </w:tc>
      </w:tr>
      <w:tr w:rsidR="00EB7080" w14:paraId="77D66B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04738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제6조(기본계획의 수립) ① 교육부장관은 법무부장관 등 관계 중앙행정기관의 장과 협의하여 기본권교육 기본계획을 5년마다 수립·시행하여야 한다.</w:t>
            </w:r>
          </w:p>
          <w:p w14:paraId="39D0484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…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17D8D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제6조 ① 【국무총리는】 교육부장관·법무부장관·행정안전부장관·인사혁신처장 등 관계 중앙행정기관의 장과 협의하고 【제8조의 위원회의 심의를 거쳐】 기본권교육 기본계획을 5년마다 수립·시행하여야 한다.</w:t>
            </w:r>
          </w:p>
          <w:p w14:paraId="4AEA2EB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(현행 유지) 【다만, 기본계획은 국회 소관 상임위원회에 보고하여야 한다.】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EE79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학교 밖 영역(공직·직업·평생)을 통할하려면 교육부로는 부족. bpb가 내무부 소속인 것에 대응하는 한국형은 총리 소속. 국회 보고로 초당파 감시 강화</w:t>
            </w:r>
          </w:p>
        </w:tc>
      </w:tr>
      <w:tr w:rsidR="00EB7080" w14:paraId="16B8CB5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DE9F8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제7조(연도별 시행계획) 관계 중앙행정기관의 장과 시·도지사 및 시·도교육감은 기본계획에 따라 연도별 시행계획을 수립·시행하여야 한다.</w:t>
            </w:r>
          </w:p>
        </w:tc>
        <w:tc>
          <w:tcPr>
            <w:tcW w:w="33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B7109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제7조 ① (현행 유지)</w:t>
            </w:r>
          </w:p>
          <w:p w14:paraId="104C4282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【② 시장·군수·구청장은 시·도의 시행계획에 따라 지역 실정에 맞는 기본권교육 시책을 추진할 수 있으며, 이 경우 주민자치회·시민사회단체 등과 협력하여야 한다.】</w:t>
            </w:r>
          </w:p>
        </w:tc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A03FB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자치구 단위 실행 근거. 박람회 자치구 조직위가 교육 전달망이 될 수 있는 법적 고리</w:t>
            </w:r>
          </w:p>
        </w:tc>
      </w:tr>
      <w:tr w:rsidR="00EB7080" w14:paraId="44CD3F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E62A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제8조(기본권교육위원회) ① … 교육부장관 소속으로 기본권교육위원회를 둔다.</w:t>
            </w:r>
          </w:p>
          <w:p w14:paraId="21FAD55E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위원회는 위원장 1명을 포함한 15</w:t>
            </w: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명 이내의 위원으로 구성하되, 교육계·법조계·시민사회 등 다양한 분야의 인사가 균형 있게 참여하도록 하고, 특정 성(性)이나 특정 정파에 편중되지 아니하도록 하여야 한다.</w:t>
            </w:r>
          </w:p>
          <w:p w14:paraId="2ED83BE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③ 위원회의 구성과 운영에 필요한 사항은 대통령령으로 정한다.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00FEC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제8조 ① 기본권교육에 관한 주요 사항을 심의·의결하기 위하여 【국무총리 소속으로】 기본권교육위원회를 둔다.</w:t>
            </w:r>
          </w:p>
          <w:p w14:paraId="23EFB13E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위원회는 위원장 1명을 포함한 【21</w:t>
            </w: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명】 이내의 위원으로 구성한다.</w:t>
            </w:r>
          </w:p>
          <w:p w14:paraId="3D6F6F9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【③ 위원 중 11명은 국회 교섭단체가 의석수에 비례하여 추천하는 사람으로 하되, 어느 하나의 교섭단체가 추천하는 위원은 위원 총수의 2분의 1을 넘을 수 없고, 비교섭단체 정당이 추천하는 위원 1명을 포함한다.</w:t>
            </w:r>
          </w:p>
          <w:p w14:paraId="7717D18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④ 나머지 위원은 교육계·법조계·시민사회·학계에서 관계 중앙행정기관의 장이 추천하는 사람으로 하되, 특정 성(性)이 10분의 6을 넘지 아니하도록 한다.</w:t>
            </w:r>
          </w:p>
          <w:p w14:paraId="67CF4A8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⑤ 위원장은 위원 중에서 호선하고, 위원의 임기는 3년으로 하며 정부 교체와 무관하게 임기를 보장한다.</w:t>
            </w:r>
          </w:p>
          <w:p w14:paraId="166A95A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⑥ 위원회는 다음 각 호의 사항을 심의·의결한다. 1. 기본계획 2. 제4조 원칙의 해석·적용 기준 3. 제17조 프로그램·교재의 인증 4. 제15조 연구원 원장의 임명 제청 5. 그 밖에 대통령령으로 정하는 사항】</w:t>
            </w:r>
          </w:p>
          <w:p w14:paraId="11FAF5A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⑦ 위원회의 운영에 필요한 사항은 대통령령으로 정한다.</w:t>
            </w:r>
          </w:p>
          <w:p w14:paraId="63AE583D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【⑧ 위원회에 학술자문위원회를 두며, 그 구성과 운영은 위원회가 정한다.】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BF6D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핵심 수정. 독일 bpb 감독위원회(연방의회 의석 비례 의원 22명)를 한국 실정에 맞게 옮김. "편중되지 않도록"이라는 선언을 구성 요건·임기 보장·</w:t>
            </w: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의결 권한으로 구조화. 정당 추천 과반 상한이 어느 정권도 위원회를 장악하지 못하게 하는 장치.</w:t>
            </w:r>
          </w:p>
          <w:p w14:paraId="58B8CE4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여야 동수 방식은 채택하지 않음: 의석 비례 원칙과 충돌하고, 3당 이상 체제에서 "여야"의 경계가 흐려지면 운용 자체가 어려워짐. 의석 비례 + 과반 상한이 독일에서 50년간 검증된 방식</w:t>
            </w:r>
          </w:p>
        </w:tc>
      </w:tr>
      <w:tr w:rsidR="00EB7080" w14:paraId="7B37C3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07BD5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제9조(학교 기본권교육) ① 「초·중등교육법」에 따른 학교의 장은 교육과정 및 창의적 체험활동 등을 통하여 학생의 발달단계에 맞는 기본권교육을 실시하여야 한다.</w:t>
            </w:r>
          </w:p>
          <w:p w14:paraId="406B65C2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제1항의 교육은 강의 위주의 전달을 지양하고 토론, 사례 분석, 참여 활동 중심으로 운영되어야 한다.</w:t>
            </w:r>
          </w:p>
        </w:tc>
        <w:tc>
          <w:tcPr>
            <w:tcW w:w="33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2B92F9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제9조 ① (현행 유지)</w:t>
            </w:r>
          </w:p>
          <w:p w14:paraId="69B24FF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(현행 유지)</w:t>
            </w:r>
          </w:p>
          <w:p w14:paraId="78B1C98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【③ 교육부장관은 「초·중등교육법」 제23조에 따른 교육과정을 정할 때 기본권교육의 내용과 학년별 최소 시간을 반영하여야 하며, 이를 위원회의 심의를 거쳐 고시한다.</w:t>
            </w:r>
          </w:p>
          <w:p w14:paraId="578E5A3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④ 학교의 장은 학생회·학급회 등 학생 자치활동을 기본권교육의 실천 과정으로 운영할 수 있다.】</w:t>
            </w:r>
          </w:p>
        </w:tc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273C0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초안은 "실시하여야 한다"만 있어 훈시규정이 될 위험. 교육과정 고시 반영 의무와 최소 시간이 있어야 실효. 학생 자치를 명시해 "배우는 기본권"과 "행사하는 기본권"을 연결</w:t>
            </w:r>
          </w:p>
        </w:tc>
      </w:tr>
      <w:tr w:rsidR="00EB7080" w14:paraId="26BA89B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973A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제10조(교원의 연수) 국가와 지방자치단체는 교원이 제4조의 원칙에 따라 기본권교육을 실시할 수 있도록 양성·연수 과정에 관련 내용을 반영하여야 한다.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57D2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제10조 ① (현행 유지)</w:t>
            </w:r>
          </w:p>
          <w:p w14:paraId="148EBAE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【② 교원이 제4조의 원칙에 따라 논쟁적 사안을 다룬 것을 이유로 불리한 처분을 받지 아니하도록 국가와 지방자치단체는 필요한 보호 조치를 마련하여야 한다.】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3F35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교사가 논쟁적 주제를 회피하는 가장 큰 이유는 민원·징계 위험. 보호 조항이 없으면 제4조 제2호(논쟁성 존중)는 현장에서 작동하지 않음</w:t>
            </w:r>
          </w:p>
        </w:tc>
      </w:tr>
      <w:tr w:rsidR="00EB7080" w14:paraId="6875A2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25E7D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제11조(공무원에 대한 기본권교육 및 평가) ① 국가기관과 지방자치단체의 장은 소속 공무원의 신규임용 및 승진 과정에서 기본권교육을 실시하여야 한다.</w:t>
            </w:r>
          </w:p>
          <w:p w14:paraId="562FCAE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공무원 임용시험 및 승진 심사에는 대통령령으로 정하는 바에 따라 헌법상 기본권에 관한 평가를 포함하여야 한다.</w:t>
            </w:r>
          </w:p>
          <w:p w14:paraId="02881CE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③ 제1항의 교육과 제2항의 평가는 조문의 단순 암기가 아니라 직무 수행 중 발생할 수 있는 기본권 침해 사례의 분석과 판단을 중심으로 하여야 한다.</w:t>
            </w:r>
          </w:p>
        </w:tc>
        <w:tc>
          <w:tcPr>
            <w:tcW w:w="33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9454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 xml:space="preserve">제11조(공무원에 대한 기본권교육 【의무】) ① 국가기관과 지방자치단체의 장은 소속 공무원에게 【신규임용 후 1년 이내, 승진임용 전, 그리고 매 3년마다】 기본권교육을 실시하여야 하며, 【공무원은 이를 이수하여야 </w:t>
            </w:r>
            <w:proofErr w:type="gramStart"/>
            <w:r>
              <w:rPr>
                <w:rFonts w:cs="맑은 고딕"/>
                <w:color w:val="000000"/>
                <w:sz w:val="17"/>
                <w:szCs w:val="17"/>
              </w:rPr>
              <w:t>한다.】</w:t>
            </w:r>
            <w:proofErr w:type="gramEnd"/>
          </w:p>
          <w:p w14:paraId="56735E3B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 xml:space="preserve">【② 제1항의 교육을 이수하지 아니한 공무원은 「국가공무원법」 및 「지방공무원법」에 따른 승진후보자 명부에 등재될 수 없다. 다만, 질병·휴직 등 대통령령으로 정하는 사유가 있는 경우에는 그러하지 </w:t>
            </w:r>
            <w:proofErr w:type="gramStart"/>
            <w:r>
              <w:rPr>
                <w:rFonts w:cs="맑은 고딕"/>
                <w:color w:val="000000"/>
                <w:sz w:val="17"/>
                <w:szCs w:val="17"/>
              </w:rPr>
              <w:t>아니하다.】</w:t>
            </w:r>
            <w:proofErr w:type="gramEnd"/>
          </w:p>
          <w:p w14:paraId="22F2D91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 xml:space="preserve">③ 제1항의 교육은 조문의 단순 암기가 아니라 【해당 기관의 직무에서】 발생할 수 있는 기본권 침해 사례의 분석과 판단을 중심으로 하며, 【국가인권위원회의 결정·권고, 감사 결과, 법원 판결 등 실제 사례를 교재로 활용하여야 </w:t>
            </w:r>
            <w:proofErr w:type="gramStart"/>
            <w:r>
              <w:rPr>
                <w:rFonts w:cs="맑은 고딕"/>
                <w:color w:val="000000"/>
                <w:sz w:val="17"/>
                <w:szCs w:val="17"/>
              </w:rPr>
              <w:t>한다.】</w:t>
            </w:r>
            <w:proofErr w:type="gramEnd"/>
          </w:p>
          <w:p w14:paraId="597E66F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【④ 국가인권위원회의 권고 또는 감사 결과 기본권 침해가 확인된 기관의 장은 다음 연도에 해당 사례를 반영한 교육을 추가로 실시하여야 한다.</w:t>
            </w:r>
          </w:p>
          <w:p w14:paraId="61422E35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⑤ 인사혁신처장 및 관계 기관의 장은 공무원 임용시험의 헌법 과목이 기본권 침해 사례의 분석과 판단 능력을 평가할 수 있도록 출제 방식을 개선하기 위하여 위원회와 협의하여야 한다.</w:t>
            </w:r>
          </w:p>
          <w:p w14:paraId="42F3A4D5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⑥ 제1항부터 제4항까지는 「공공기관의 운영에 관한 법률」에 따른 공공기관의 임직원, 지방공기업의 임직원, 사립학교 교직원에 대하여 준용한다.】</w:t>
            </w:r>
          </w:p>
        </w:tc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769B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초안의 문제의식(공무원은 공동체 최전선, 강제성 없으면 형식화)은 전적으로 타당하므로 강제성을 유지. 다만 강제성의 위치를 "시험 점수"에서 "이수 의무 + 인사상 결과"로 옮김.</w:t>
            </w:r>
          </w:p>
          <w:p w14:paraId="6F6EEE9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이유: ① 시험 과목·승진 심사 기준은 국가공무원법·인사혁신처 소관이라 정면충돌, ② 시험은 암기로 흘러 초안 제3항과 모순, ③ 승진 점수 반영은 "누가 채점하나"로 정치 도구화 논란.</w:t>
            </w:r>
          </w:p>
          <w:p w14:paraId="0DC2F1CB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미이수 시 승진 명부 제한은 성희롱예방교육 미이수를 성과평가에 반영하는 선례가 있어 방어 가능. 제4항(침해 확인 기관 강화 교육)이 실질적 억지력. 제5항으로 시험 개편은 협의 사항으로 남김.</w:t>
            </w:r>
          </w:p>
          <w:p w14:paraId="0AC2A662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시험·승진 점수 반영 방식은 채택하지 않음: 이 조항 하나로 법 전체가 부처·노조 반대에 막힐 위험이 크고, 시험은 초안이 원하는 "직무 현장의 기본권 감수성"을 재지 못함</w:t>
            </w:r>
          </w:p>
        </w:tc>
      </w:tr>
      <w:tr w:rsidR="00EB7080" w14:paraId="42A4DF1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E69729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제12조(공공기관 종사자에 대한 교육) … 정기적으로 기본권교육을 실시하도록 노력하여야 한다.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1B0E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【제12조 삭제 → 제11조 제6항으로 통합(준용)】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C397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"노력하여야 한다"는 훈시규정. 공공기관을 공무원과 같은 이수 의무 체계에 넣어 실효성 확보</w:t>
            </w:r>
          </w:p>
        </w:tc>
      </w:tr>
      <w:tr w:rsidR="00EB7080" w14:paraId="2795017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0E9DC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제13조(직업교육과정에서의 기본권교육) ① 국가는 타인의 권리·안전과 밀접하게 관련되는 직역으로서 대통령령으로 정하는 직역의 교육과정에 기본권교육이 포함되도록 단계적으</w:t>
            </w: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로 추진하여야 한다.</w:t>
            </w:r>
          </w:p>
          <w:p w14:paraId="2DC73515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제1항의 교육은 다른 법령에 따른 의무교육과 통합하여 운영할 수 있다.</w:t>
            </w:r>
          </w:p>
          <w:p w14:paraId="4E4C280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③ 제1항에 따른 기본권교육은 무상으로 실시하며, 그 비용은 국가와 지방자치단체가 부담한다. …</w:t>
            </w:r>
          </w:p>
        </w:tc>
        <w:tc>
          <w:tcPr>
            <w:tcW w:w="33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A8F76D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 xml:space="preserve">제13조 ① 국가는 타인의 권리·안전과 밀접하게 관련되는 직역【(경찰·교정·출입국·사회복지·요양·보육·경비 및 이에 준하는 직역으로서 대통령령으로 정하는 직역)】의 자격·양성·보수교육 과정에 기본권교육이 포함되도록 단계적으로 추진하여야 </w:t>
            </w: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한다.</w:t>
            </w:r>
          </w:p>
          <w:p w14:paraId="1F28EABD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 xml:space="preserve">② 제1항의 교육은 다른 법령에 따른 의무교육과 【통합하여 운영하는 것을 원칙으로 하며, 총 교육 시간이 늘어나지 아니하도록 하여야 </w:t>
            </w:r>
            <w:proofErr w:type="gramStart"/>
            <w:r>
              <w:rPr>
                <w:rFonts w:cs="맑은 고딕"/>
                <w:color w:val="000000"/>
                <w:sz w:val="17"/>
                <w:szCs w:val="17"/>
              </w:rPr>
              <w:t>한다.】</w:t>
            </w:r>
            <w:proofErr w:type="gramEnd"/>
          </w:p>
          <w:p w14:paraId="7FC21BD7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③ (현행 유지)</w:t>
            </w:r>
          </w:p>
          <w:p w14:paraId="54B2F66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【④ 제1항의 직역을 대통령령으로 정할 때에는 위원회의 심의를 거쳐야 하며, 해당 직역 종사자 단체의 의견을 들어야 한다.】</w:t>
            </w:r>
          </w:p>
        </w:tc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290AC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직역 범위를 대통령령에 통째로 위임하면 "무한 확장" 우려로 경제계·직능단체 반대. 법률에 예시 직역을 넣어 범위를 가시화. 통합 운영을 원칙으로 못 박아 "또 하나의 의무교육"이라는 피로감 논란 차단. 비용추계 시 "</w:t>
            </w: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총 시간 불증가"가 방어 논리</w:t>
            </w:r>
          </w:p>
        </w:tc>
      </w:tr>
      <w:tr w:rsidR="00EB7080" w14:paraId="11A21F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6B43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제14조(평생교육과의 연계) 국가와 지방자치단체는 「평생교육법」 제2조의 시민참여교육의 하나로 성인을 위한 기본권교육 과정이 개발·운영되도록 지원하여야 한다.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C3E0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제14조 ① (현행 유지)</w:t>
            </w:r>
          </w:p>
          <w:p w14:paraId="638383A7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【② 국가와 지방자치단체는 시민의회, 주민총회, 민주주의 박람회 등 시민이 직접 숙의하고 결정에 참여하는 활동을 성인 기본권교육의 실천 과정으로 인정하고 지원할 수 있다.】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5E8F09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교실 밖 "참여로 배우는" 교육의 법적 근거. 박람회의 시민법정·시민의회·자치구 대회가 평생교육으로 인정받는 고리</w:t>
            </w:r>
          </w:p>
        </w:tc>
      </w:tr>
      <w:tr w:rsidR="00EB7080" w14:paraId="4CA7F4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973D9E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제15조(기본권교육연구원의 설립) ① … 기본권교육연구원을 설립한다.</w:t>
            </w:r>
          </w:p>
          <w:p w14:paraId="2C2380C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연구원은 법인으로 한다.</w:t>
            </w:r>
          </w:p>
          <w:p w14:paraId="691157B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③ 연구원은 제4조의 원칙에 따라 업무를 수행하며, 그 운영에서 정치적 중립성이 보장되어야 한다.</w:t>
            </w:r>
          </w:p>
          <w:p w14:paraId="595E20F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④ 국가는 … 경비를 예산의 범위에서 출연하거나 보조할 수 있다.</w:t>
            </w:r>
          </w:p>
          <w:p w14:paraId="0B240472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⑤ 연구원의 조직과 운영에 필요한 사항은 대통령령으로 정한다.</w:t>
            </w:r>
          </w:p>
        </w:tc>
        <w:tc>
          <w:tcPr>
            <w:tcW w:w="33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B32EC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제15조 ①~④ (현행 유지)</w:t>
            </w:r>
          </w:p>
          <w:p w14:paraId="316D79B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【⑤ 연구원의 원장은 위원회의 제청으로 국무총리가 임명하며, 임기는 4년으로 한다.</w:t>
            </w:r>
          </w:p>
          <w:p w14:paraId="4FE2AC8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⑥ 연구원의 이사회는 제8조 제3항 및 제4항의 구성 원칙을 준용하여 구성한다.</w:t>
            </w:r>
          </w:p>
          <w:p w14:paraId="4600C0F5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⑦ 연구원은 다음 각 호의 사업을 수행한다. 1. 기본권교육에 관한 연구·실태조사 2. 교재·프로그램의 개발과 무상 보급 3. 전문인력의 양성·등록 4. 선거 시 정당·후보자의 정책을 비교할 수 있는 정보의 제공 5. 민주주의 박람회 등 시민 참여 행사의 교육 프로그램 운영·지원 6. 지방자치단체·학교·시민사회단체에 대한 지원 7. 그 밖에 위원회가 정하는 사업】</w:t>
            </w:r>
          </w:p>
          <w:p w14:paraId="25F746A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⑧ 연구원의 조직과 운영에 필요한 사항은 대통령령으로 정한다.</w:t>
            </w:r>
          </w:p>
        </w:tc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5E51BB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연구원이 곧 "한국형 bpb"의 법적 그릇. 초안은 중립성을 선언만 했으므로 원장 임명·이사회 구성을 위원회와 동일한 균형 요건에 묶음. 사업 목록의 제4호(정당 정책 비교 = Wahl-O-Mat)와 제5호(박람회)가 조직위 교육 기능과 직접 연결됨.</w:t>
            </w:r>
          </w:p>
          <w:p w14:paraId="2F723D57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주의: 제4호는 선관위 소관과 겹칠 수 있으므로 "선거관리위원회와 협의하여"를 시행령에서 규정</w:t>
            </w:r>
          </w:p>
        </w:tc>
      </w:tr>
      <w:tr w:rsidR="00EB7080" w14:paraId="4C8BA7A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51CCDB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제16조(전문인력의 양성) 국가는 연구원 등을 통하여 기본권교육을 담당할 전문인력의 양성과 지원에 필요한 시책을 마련하여야 한다.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2CE1B2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제16조 ① (현행 유지)</w:t>
            </w:r>
          </w:p>
          <w:p w14:paraId="0FDB585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【② 전문인력의 양성과정은 제4조의 원칙에 관한 교육을 필수로 포함하며, 등록된 전문인력이 제4조를 위반한 경우 위원회는 등록을 취소할 수 있다.】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899A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"누가 가르치나"라는 중립성 공방의 실무적 답. 강사 등록·취소 권한을 정부가 아닌 위원회에 두어 관제화 논란 회피</w:t>
            </w:r>
          </w:p>
        </w:tc>
      </w:tr>
      <w:tr w:rsidR="00EB7080" w14:paraId="659AD4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AAD762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lastRenderedPageBreak/>
              <w:t>제17조(프로그램의 개발과 인증) ① 교육부장관은 제4조의 원칙에 부합하는 기본권교육 프로그램과 교재의 개발·보급을 지원하고, 우수 프로그램을 인증할 수 있다.</w:t>
            </w:r>
          </w:p>
          <w:p w14:paraId="491582CC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… 시청·이수 확인만으로 완료되는 형식적 운영이 되지 아니하도록 하여야 한다.</w:t>
            </w:r>
          </w:p>
        </w:tc>
        <w:tc>
          <w:tcPr>
            <w:tcW w:w="33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47AEC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 xml:space="preserve">제17조 ① 【위원회는】 제4조의 원칙에 부합하는 기본권교육 프로그램과 교재를 인증할 수 있으며, 【국가와 지방자치단체가 지원하는 기본권교육은 인증받은 프로그램·교재를 사용하는 것을 원칙으로 </w:t>
            </w:r>
            <w:proofErr w:type="gramStart"/>
            <w:r>
              <w:rPr>
                <w:rFonts w:cs="맑은 고딕"/>
                <w:color w:val="000000"/>
                <w:sz w:val="17"/>
                <w:szCs w:val="17"/>
              </w:rPr>
              <w:t>한다.】</w:t>
            </w:r>
            <w:proofErr w:type="gramEnd"/>
          </w:p>
          <w:p w14:paraId="2E095DB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② (현행 유지)</w:t>
            </w:r>
          </w:p>
          <w:p w14:paraId="385C0EC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【③ 인증받은 교재와 프로그램은 누구나 무상으로 이용할 수 있도록 공개하여야 한다.】</w:t>
            </w:r>
          </w:p>
        </w:tc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AF494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인증 주체를 장관에서 위원회로 옮겨 정권별 관제화 논란 차단. 무상 공개는 bpb의 무료 교재 원칙이자 사이트의 CC 라이선스 원칙과 일치</w:t>
            </w:r>
          </w:p>
        </w:tc>
      </w:tr>
      <w:tr w:rsidR="00EB7080" w14:paraId="616EF6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BE1ED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제18조(실태조사) 교육부장관은 기본권교육의 실시 현황과 효과에 관한 실태조사를 정기적으로 실시하고 그 결과를 공표하여야 한다.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73F3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제18조 【연구원은】 기본권교육의 실시 현황과 효과에 관한 실태조사를 【2년마다】 실시하고, 그 결과를 【위원회의 심의를 거쳐 공표하며 국회에 보고하여야 한다.】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07C57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주기 명시와 국회 보고로 실효성 확보. 실태조사 결과가 박람회 이행 보고 세션의 자료가 됨</w:t>
            </w:r>
          </w:p>
        </w:tc>
      </w:tr>
      <w:tr w:rsidR="00EB7080" w14:paraId="50CF586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EA4E5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제19조(재정지원) 국가와 지방자치단체는 기본권교육의 진흥에 필요한 경비를 예산의 범위에서 지원할 수 있다.</w:t>
            </w:r>
          </w:p>
        </w:tc>
        <w:tc>
          <w:tcPr>
            <w:tcW w:w="33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B5B6E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제19조 ① (현행 유지)</w:t>
            </w:r>
          </w:p>
          <w:p w14:paraId="477F7B47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【② 국가는 제4조의 원칙에 따라 기본권교육을 수행하는 시민사회단체를 지원할 수 있으며, 지원 대상의 선정은 위원회의 심의를 거친다.</w:t>
            </w:r>
          </w:p>
          <w:p w14:paraId="00A9375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③ 제2항의 지원을 특정 정당 또는 정치적 목적의 활동에 사용하여서는 아니 된다.】</w:t>
            </w:r>
          </w:p>
        </w:tc>
        <w:tc>
          <w:tcPr>
            <w:tcW w:w="30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D2207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독일 정치교육의 강점은 국가가 시민사회의 교육을 지원하되 정당 활동과는 분리한다는 점. 단체 지원의 근거와 한계를 동시에 규정</w:t>
            </w:r>
          </w:p>
        </w:tc>
      </w:tr>
      <w:tr w:rsidR="00EB7080" w14:paraId="1949BDB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0834D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부칙 제1조(시행일) 이 법은 공포 후 1년이 경과한 날부터 시행한다.</w:t>
            </w:r>
          </w:p>
          <w:p w14:paraId="0639E6C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제2조(직업교육과정 적용의 단계 시행) 제13조는 시행일부터 2년의 범위에서 대통령령으로 정하는 바에 따라 직역별로 단계적으로 적용한다.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5851C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 xml:space="preserve">부칙 제1조 (현행 유지) 【다만, 제8조(위원회)는 공포 후 6개월이 경과한 날부터 </w:t>
            </w:r>
            <w:proofErr w:type="gramStart"/>
            <w:r>
              <w:rPr>
                <w:rFonts w:cs="맑은 고딕"/>
                <w:color w:val="000000"/>
                <w:sz w:val="17"/>
                <w:szCs w:val="17"/>
              </w:rPr>
              <w:t>시행한다.】</w:t>
            </w:r>
            <w:proofErr w:type="gramEnd"/>
          </w:p>
          <w:p w14:paraId="3545996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제2조 (현행 유지)</w:t>
            </w:r>
          </w:p>
          <w:p w14:paraId="4A19FBAC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【제3조(공무원 교육의 단계 시행) 제11조 제2항은 시행일부터 2년이 경과한 날부터 적용한다.</w:t>
            </w:r>
          </w:p>
          <w:p w14:paraId="61D8E2B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제4조(다른 법률의 개정) 「법교육지원법」 및 「평생교육법」에 연계 규정을 둔다.】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EF35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위원회를 먼저 출범시켜 기본계획·인증 기준을 준비할 시간 확보. 승진 명부 제한은 유예기간을 두어 반발 완화</w:t>
            </w:r>
          </w:p>
        </w:tc>
      </w:tr>
    </w:tbl>
    <w:p w14:paraId="3D0044BD" w14:textId="77777777" w:rsidR="00EB7080" w:rsidRDefault="00000000">
      <w:r>
        <w:br w:type="page"/>
      </w:r>
    </w:p>
    <w:p w14:paraId="4E59DB07" w14:textId="77777777" w:rsidR="00EB7080" w:rsidRDefault="00000000">
      <w:pPr>
        <w:pStyle w:val="1"/>
      </w:pPr>
      <w:r>
        <w:rPr>
          <w:rFonts w:cs="맑은 고딕"/>
        </w:rPr>
        <w:lastRenderedPageBreak/>
        <w:t>3. 제11조 공무원 교육 — 강제성의 위치에 관한 논점 정리</w:t>
      </w:r>
    </w:p>
    <w:p w14:paraId="6834899C" w14:textId="77777777" w:rsidR="00EB7080" w:rsidRDefault="00000000">
      <w:pPr>
        <w:spacing w:after="120" w:line="320" w:lineRule="auto"/>
      </w:pPr>
      <w:r>
        <w:rPr>
          <w:rFonts w:cs="맑은 고딕"/>
        </w:rPr>
        <w:t>초안 제안자의 문제의식은 명확합니다. 기본권은 전 국민이 알아야 할 것이고, 공무원은 공동체 삶의 최전선에서 기본권을 매일 지키거나 침해하는 위치에 있으므로 강제성이 없으면 교육은 형식화된다는 것입니다. 수정안은 이 문제의식을 그대로 받되, 강제성을 어디에 거느냐만 바꿉니다.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700"/>
        <w:gridCol w:w="3900"/>
      </w:tblGrid>
      <w:tr w:rsidR="00EB7080" w14:paraId="5945B7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901F5B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b/>
                <w:bCs/>
                <w:color w:val="FFFFFF"/>
                <w:sz w:val="17"/>
                <w:szCs w:val="17"/>
              </w:rPr>
              <w:t>비교 항목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0FBF4D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b/>
                <w:bCs/>
                <w:color w:val="FFFFFF"/>
                <w:sz w:val="17"/>
                <w:szCs w:val="17"/>
              </w:rPr>
              <w:t>초안: 시험·승진 심사 점수 반영</w:t>
            </w:r>
          </w:p>
        </w:tc>
        <w:tc>
          <w:tcPr>
            <w:tcW w:w="390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AAD4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b/>
                <w:bCs/>
                <w:color w:val="FFFFFF"/>
                <w:sz w:val="17"/>
                <w:szCs w:val="17"/>
              </w:rPr>
              <w:t>수정안: 이수 의무 + 미이수 시 승진 명부 제한</w:t>
            </w:r>
          </w:p>
        </w:tc>
      </w:tr>
      <w:tr w:rsidR="00EB7080" w14:paraId="191FA47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972978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강제성</w:t>
            </w:r>
          </w:p>
        </w:tc>
        <w:tc>
          <w:tcPr>
            <w:tcW w:w="3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EC885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강함(점수가 승진을 좌우)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F6DA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강함(이수 없이는 승진 불가). 점수가 아니라 이수 여부</w:t>
            </w:r>
          </w:p>
        </w:tc>
      </w:tr>
      <w:tr w:rsidR="00EB7080" w14:paraId="55386A1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F57DE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소관 충돌</w:t>
            </w:r>
          </w:p>
        </w:tc>
        <w:tc>
          <w:tcPr>
            <w:tcW w:w="3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EB55B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국가공무원법·지방공무원법·인사혁신처 소관 침범 → 부처 반대 확실</w:t>
            </w:r>
          </w:p>
        </w:tc>
        <w:tc>
          <w:tcPr>
            <w:tcW w:w="39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3344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교육 실시·이수 의무는 각 기관장 권한 내. 승진 명부 제한은 성희롱예방교육 미이수 → 성과평가 반영 선례와 같은 구조</w:t>
            </w:r>
          </w:p>
        </w:tc>
      </w:tr>
      <w:tr w:rsidR="00EB7080" w14:paraId="73DC76A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4A00D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노조·공무원 반응</w:t>
            </w:r>
          </w:p>
        </w:tc>
        <w:tc>
          <w:tcPr>
            <w:tcW w:w="3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0E285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"승진 줄 세우기", "또 하나의 시험" 반발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D95E6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"교육 이수"는 이미 익숙한 의무. 반발 명분 약함</w:t>
            </w:r>
          </w:p>
        </w:tc>
      </w:tr>
      <w:tr w:rsidR="00EB7080" w14:paraId="488D940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C136FD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교육의 질</w:t>
            </w:r>
          </w:p>
        </w:tc>
        <w:tc>
          <w:tcPr>
            <w:tcW w:w="3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7830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시험 대비 암기로 흐름 → 초안 제3항(사례 판단)과 모순</w:t>
            </w:r>
          </w:p>
        </w:tc>
        <w:tc>
          <w:tcPr>
            <w:tcW w:w="39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A1B14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사례 판단 중심 교육을 설계할 여지. 제4항(침해 확인 기관 강화 교육)이 실질적 억지력</w:t>
            </w:r>
          </w:p>
        </w:tc>
      </w:tr>
      <w:tr w:rsidR="00EB7080" w14:paraId="031ED2B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748823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정치 도구화 위험</w:t>
            </w:r>
          </w:p>
        </w:tc>
        <w:tc>
          <w:tcPr>
            <w:tcW w:w="3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79E60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"누가 평가 기준을 정하나" → 정권 교체 시 논란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3A5DC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이수 여부는 객관적. 내용은 위원회 인증 교재로 통제</w:t>
            </w:r>
          </w:p>
        </w:tc>
      </w:tr>
      <w:tr w:rsidR="00EB7080" w14:paraId="15F36EC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86C8F7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기존 시험과의 관계</w:t>
            </w:r>
          </w:p>
        </w:tc>
        <w:tc>
          <w:tcPr>
            <w:tcW w:w="37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D889B1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헌법 과목이 이미 있어 "중복" 반론</w:t>
            </w:r>
          </w:p>
        </w:tc>
        <w:tc>
          <w:tcPr>
            <w:tcW w:w="3900" w:type="dxa"/>
            <w:shd w:val="clear" w:color="auto" w:fill="F7F9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27339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제5항으로 기존 헌법 과목을 사례 판단형으로 개편하도록 협의 → 시험은 인사혁신처가, 내용은 위원회가</w:t>
            </w:r>
          </w:p>
        </w:tc>
      </w:tr>
      <w:tr w:rsidR="00EB7080" w14:paraId="4370384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E1F0A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입법 통과 가능성</w:t>
            </w:r>
          </w:p>
        </w:tc>
        <w:tc>
          <w:tcPr>
            <w:tcW w:w="3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98C6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이 조항 하나로 법 전체가 막힐 위험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D7B4F" w14:textId="77777777" w:rsidR="00EB7080" w:rsidRDefault="00000000">
            <w:pPr>
              <w:spacing w:after="40" w:line="270" w:lineRule="auto"/>
            </w:pPr>
            <w:r>
              <w:rPr>
                <w:rFonts w:cs="맑은 고딕"/>
                <w:color w:val="000000"/>
                <w:sz w:val="17"/>
                <w:szCs w:val="17"/>
              </w:rPr>
              <w:t>가장 큰 반대 명분을 제거하면서 실질 강제력 유지</w:t>
            </w:r>
          </w:p>
        </w:tc>
      </w:tr>
    </w:tbl>
    <w:p w14:paraId="432BC692" w14:textId="77777777" w:rsidR="00EB7080" w:rsidRDefault="00EB7080">
      <w:pPr>
        <w:spacing w:after="80"/>
      </w:pPr>
    </w:p>
    <w:p w14:paraId="016DB386" w14:textId="77777777" w:rsidR="00EB7080" w:rsidRDefault="00000000">
      <w:pPr>
        <w:pBdr>
          <w:left w:val="single" w:sz="18" w:space="6" w:color="1F4E79"/>
        </w:pBdr>
        <w:shd w:val="clear" w:color="auto" w:fill="F2F5F9"/>
        <w:spacing w:after="120" w:line="300" w:lineRule="auto"/>
        <w:ind w:left="200"/>
      </w:pPr>
      <w:r>
        <w:rPr>
          <w:rFonts w:cs="맑은 고딕"/>
          <w:color w:val="1F3B5C"/>
          <w:sz w:val="19"/>
          <w:szCs w:val="19"/>
        </w:rPr>
        <w:t>결론: 강제성은 유지하되, "얼마나 아는가"를 재는 시험이 아니라 "직무에서 무엇을 침해할 수 있는가"를 배웠는지를 확인하는 이수 의무로 설계하는 것이, 초안이 원하는 실질적 효과(공무원의 기본권 감수성)에 더 가깝고 입법적으로도 통과 가능성이 높습니다. 시험은 "얼마나 아는가"를 묻지만 기본권 침해는 대개 몰라서가 아니라 관행과 편의 때문에 일어나므로, 자기 기관의 실제 침해 사례를 마주하게 하는 이수 의무가 공무원의 행동을 바꾸는 데 더 직접적입니다.</w:t>
      </w:r>
    </w:p>
    <w:p w14:paraId="688CBF0B" w14:textId="77777777" w:rsidR="00EB7080" w:rsidRDefault="00000000">
      <w:pPr>
        <w:pStyle w:val="1"/>
      </w:pPr>
      <w:r>
        <w:rPr>
          <w:rFonts w:cs="맑은 고딕"/>
        </w:rPr>
        <w:t>4. 입법 전략 — 민주주의 박람회와의 연동</w:t>
      </w:r>
    </w:p>
    <w:p w14:paraId="7A89FF02" w14:textId="77777777" w:rsidR="00EB7080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rFonts w:cs="맑은 고딕"/>
        </w:rPr>
        <w:t>2026년 10월 16일 박람회: 시민법정 또는 시민의회 세션의 의제로 이 법안을 올려 숙의(찬반 토론·표결). 특히 제8조 위원회 구성(의석 비례 vs 동수)과 제11조(시험 vs 이수 의무)를 시민 표결에 부쳐 결정 → 「시민 결의문」 채택</w:t>
      </w:r>
    </w:p>
    <w:p w14:paraId="1B08D841" w14:textId="77777777" w:rsidR="00EB7080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rFonts w:cs="맑은 고딕"/>
        </w:rPr>
        <w:lastRenderedPageBreak/>
        <w:t>12월 3일 전후 국회 국민주권 주간: 결의문을 국회의장에게 전달하는 자리에서 국민동의청원 등록 개시. 청원 5만 명은 자치구 조직위·향우회·교원단체·학부모 네트워크로 조직</w:t>
      </w:r>
    </w:p>
    <w:p w14:paraId="3D5CF813" w14:textId="77777777" w:rsidR="00EB7080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rFonts w:cs="맑은 고딕"/>
        </w:rPr>
        <w:t>의원 발의: 교육위원회 소속 의원을 여야 동수(예: 각 5명 이상)로 공동발의자에 세우는 것을 목표. 발의자 명단의 여야 동수 자체가 "이 법은 중립적"이라는 가장 강한 신호</w:t>
      </w:r>
    </w:p>
    <w:p w14:paraId="32A5CF2A" w14:textId="77777777" w:rsidR="00EB7080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rFonts w:cs="맑은 고딕"/>
        </w:rPr>
        <w:t>2단 전략: 법률이 막힐 경우를 대비해 (a) 위원회·원칙·연계만 담은 축소 법안, (b) 연구원 없이 국무총리 훈령으로 위원회를 먼저 두는 경로를 준비. 독일 bpb도 법률이 아닌 내무부 훈령(Erlass)으로 운영됨</w:t>
      </w:r>
    </w:p>
    <w:p w14:paraId="1E094511" w14:textId="77777777" w:rsidR="00EB7080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rFonts w:cs="맑은 고딕"/>
        </w:rPr>
        <w:t>비용추계: 제13조 무상·국가부담, 제15조 연구원 출연금, 제11조 교육 비용의 추계를 국회 예산정책처 기준으로 미리 산출. "통합 운영으로 총 시간 불증가", "기존 헌법 과목 개편은 추가 비용 없음"이 핵심 방어 논리</w:t>
      </w:r>
    </w:p>
    <w:p w14:paraId="64AB699A" w14:textId="77777777" w:rsidR="00EB7080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rFonts w:cs="맑은 고딕"/>
        </w:rPr>
        <w:t>전문가 감수: 조문 표현은 국회 법제실·입법조사처 자료로 정비. 특히 제11조 제2항(승진 명부 제한)은 국가공무원법 제40조의4·지방공무원법과의 정합성 검토 필수</w:t>
      </w:r>
    </w:p>
    <w:p w14:paraId="1EFF1D47" w14:textId="77777777" w:rsidR="00EB7080" w:rsidRDefault="00EB7080">
      <w:pPr>
        <w:spacing w:after="80"/>
      </w:pPr>
    </w:p>
    <w:p w14:paraId="3C12E896" w14:textId="77777777" w:rsidR="00EB7080" w:rsidRDefault="00000000">
      <w:pPr>
        <w:pStyle w:val="2"/>
      </w:pPr>
      <w:r>
        <w:rPr>
          <w:rFonts w:cs="맑은 고딕"/>
        </w:rPr>
        <w:t>수정안의 확정 사항과 남은 검토 사항</w:t>
      </w:r>
    </w:p>
    <w:p w14:paraId="3C719A62" w14:textId="77777777" w:rsidR="00EB7080" w:rsidRDefault="00000000">
      <w:pPr>
        <w:spacing w:after="120" w:line="320" w:lineRule="auto"/>
      </w:pPr>
      <w:r>
        <w:rPr>
          <w:rFonts w:cs="맑은 고딕"/>
          <w:b/>
          <w:bCs/>
        </w:rPr>
        <w:t xml:space="preserve">확정: </w:t>
      </w:r>
      <w:r>
        <w:rPr>
          <w:rFonts w:cs="맑은 고딕"/>
        </w:rPr>
        <w:t>제8조 위원회는 독일 bpb 감독위원회 방식(국회 교섭단체 의석 비례 추천, 어느 정당도 과반 불가, 임기 보장). 제11조 공무원 교육은 이수 의무 + 미이수 시 승진 명부 제한. 소관은 국무총리.</w:t>
      </w:r>
    </w:p>
    <w:p w14:paraId="6D3C7DE9" w14:textId="77777777" w:rsidR="00EB7080" w:rsidRDefault="00000000">
      <w:pPr>
        <w:spacing w:after="120" w:line="320" w:lineRule="auto"/>
      </w:pPr>
      <w:r>
        <w:rPr>
          <w:rFonts w:cs="맑은 고딕"/>
          <w:b/>
          <w:bCs/>
        </w:rPr>
        <w:t xml:space="preserve">남은 검토 사항: </w:t>
      </w:r>
    </w:p>
    <w:p w14:paraId="44B74B74" w14:textId="77777777" w:rsidR="00EB7080" w:rsidRDefault="00000000">
      <w:pPr>
        <w:pStyle w:val="a4"/>
        <w:numPr>
          <w:ilvl w:val="0"/>
          <w:numId w:val="3"/>
        </w:numPr>
        <w:spacing w:after="60" w:line="300" w:lineRule="auto"/>
      </w:pPr>
      <w:r>
        <w:rPr>
          <w:rFonts w:cs="맑은 고딕"/>
        </w:rPr>
        <w:t>「민주주의 주간 지원법」과의 관계: 별도 법률 + 연계 조항(본 안) vs 단일 법률로 통합</w:t>
      </w:r>
    </w:p>
    <w:p w14:paraId="46D68C10" w14:textId="77777777" w:rsidR="00EB7080" w:rsidRDefault="00000000">
      <w:pPr>
        <w:pStyle w:val="a4"/>
        <w:numPr>
          <w:ilvl w:val="0"/>
          <w:numId w:val="3"/>
        </w:numPr>
        <w:spacing w:after="60" w:line="300" w:lineRule="auto"/>
      </w:pPr>
      <w:r>
        <w:rPr>
          <w:rFonts w:cs="맑은 고딕"/>
        </w:rPr>
        <w:t>연구원 사업 제4호(정당 정책 비교 정보)의 선관위와의 역할 조율</w:t>
      </w:r>
    </w:p>
    <w:p w14:paraId="2FC8235F" w14:textId="77777777" w:rsidR="00EB7080" w:rsidRDefault="00000000">
      <w:pPr>
        <w:pStyle w:val="a4"/>
        <w:numPr>
          <w:ilvl w:val="0"/>
          <w:numId w:val="3"/>
        </w:numPr>
        <w:spacing w:after="60" w:line="300" w:lineRule="auto"/>
      </w:pPr>
      <w:r>
        <w:rPr>
          <w:rFonts w:cs="맑은 고딕"/>
        </w:rPr>
        <w:t>제11조 제2항(승진 명부 제한)과 국가공무원법 제40조의4·지방공무원법의 조문 정합성 — 국회 법제실 감수</w:t>
      </w:r>
    </w:p>
    <w:p w14:paraId="2C01BA05" w14:textId="77777777" w:rsidR="00EB7080" w:rsidRDefault="00000000">
      <w:pPr>
        <w:pStyle w:val="a4"/>
        <w:numPr>
          <w:ilvl w:val="0"/>
          <w:numId w:val="3"/>
        </w:numPr>
        <w:spacing w:after="60" w:line="300" w:lineRule="auto"/>
      </w:pPr>
      <w:r>
        <w:rPr>
          <w:rFonts w:cs="맑은 고딕"/>
        </w:rPr>
        <w:t>제13조 예시 직역 목록의 최종 확정 — 해당 직능단체 사전 의견 수렴</w:t>
      </w:r>
    </w:p>
    <w:sectPr w:rsidR="00EB7080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08D23" w14:textId="77777777" w:rsidR="00397DD9" w:rsidRDefault="00397DD9">
      <w:r>
        <w:separator/>
      </w:r>
    </w:p>
  </w:endnote>
  <w:endnote w:type="continuationSeparator" w:id="0">
    <w:p w14:paraId="5CFCE995" w14:textId="77777777" w:rsidR="00397DD9" w:rsidRDefault="00397D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14775" w14:textId="77777777" w:rsidR="00EB7080" w:rsidRDefault="00000000">
    <w:pPr>
      <w:jc w:val="center"/>
    </w:pPr>
    <w:r>
      <w:rPr>
        <w:rFonts w:cs="맑은 고딕"/>
        <w:sz w:val="16"/>
        <w:szCs w:val="16"/>
      </w:rPr>
      <w:fldChar w:fldCharType="begin"/>
    </w:r>
    <w:r>
      <w:rPr>
        <w:rFonts w:cs="맑은 고딕"/>
        <w:sz w:val="16"/>
        <w:szCs w:val="16"/>
      </w:rPr>
      <w:instrText>PAGE</w:instrText>
    </w:r>
    <w:r>
      <w:rPr>
        <w:rFonts w:cs="맑은 고딕"/>
        <w:sz w:val="16"/>
        <w:szCs w:val="16"/>
      </w:rPr>
      <w:fldChar w:fldCharType="separate"/>
    </w:r>
    <w:r w:rsidR="00D75426">
      <w:rPr>
        <w:rFonts w:cs="맑은 고딕"/>
        <w:noProof/>
        <w:sz w:val="16"/>
        <w:szCs w:val="16"/>
      </w:rPr>
      <w:t>1</w:t>
    </w:r>
    <w:r>
      <w:rPr>
        <w:rFonts w:cs="맑은 고딕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21C7C" w14:textId="77777777" w:rsidR="00397DD9" w:rsidRDefault="00397DD9">
      <w:r>
        <w:separator/>
      </w:r>
    </w:p>
  </w:footnote>
  <w:footnote w:type="continuationSeparator" w:id="0">
    <w:p w14:paraId="0546278D" w14:textId="77777777" w:rsidR="00397DD9" w:rsidRDefault="00397D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01F09" w14:textId="77777777" w:rsidR="00EB7080" w:rsidRDefault="00000000">
    <w:pPr>
      <w:jc w:val="right"/>
    </w:pPr>
    <w:r>
      <w:rPr>
        <w:rFonts w:cs="맑은 고딕"/>
        <w:color w:val="888888"/>
        <w:sz w:val="16"/>
        <w:szCs w:val="16"/>
      </w:rPr>
      <w:t>「기본권교육지원법」 조문 수정안 대조표 · 검토용 초안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6124B"/>
    <w:multiLevelType w:val="hybridMultilevel"/>
    <w:tmpl w:val="D10446D2"/>
    <w:lvl w:ilvl="0" w:tplc="4632492E">
      <w:start w:val="1"/>
      <w:numFmt w:val="bullet"/>
      <w:lvlText w:val="●"/>
      <w:lvlJc w:val="left"/>
      <w:pPr>
        <w:ind w:left="720" w:hanging="360"/>
      </w:pPr>
    </w:lvl>
    <w:lvl w:ilvl="1" w:tplc="F13C4EB4">
      <w:start w:val="1"/>
      <w:numFmt w:val="bullet"/>
      <w:lvlText w:val="○"/>
      <w:lvlJc w:val="left"/>
      <w:pPr>
        <w:ind w:left="1440" w:hanging="360"/>
      </w:pPr>
    </w:lvl>
    <w:lvl w:ilvl="2" w:tplc="D04214BA">
      <w:start w:val="1"/>
      <w:numFmt w:val="bullet"/>
      <w:lvlText w:val="■"/>
      <w:lvlJc w:val="left"/>
      <w:pPr>
        <w:ind w:left="2160" w:hanging="360"/>
      </w:pPr>
    </w:lvl>
    <w:lvl w:ilvl="3" w:tplc="A1AAA43E">
      <w:start w:val="1"/>
      <w:numFmt w:val="bullet"/>
      <w:lvlText w:val="●"/>
      <w:lvlJc w:val="left"/>
      <w:pPr>
        <w:ind w:left="2880" w:hanging="360"/>
      </w:pPr>
    </w:lvl>
    <w:lvl w:ilvl="4" w:tplc="6B58734C">
      <w:start w:val="1"/>
      <w:numFmt w:val="bullet"/>
      <w:lvlText w:val="○"/>
      <w:lvlJc w:val="left"/>
      <w:pPr>
        <w:ind w:left="3600" w:hanging="360"/>
      </w:pPr>
    </w:lvl>
    <w:lvl w:ilvl="5" w:tplc="AF56E63E">
      <w:start w:val="1"/>
      <w:numFmt w:val="bullet"/>
      <w:lvlText w:val="■"/>
      <w:lvlJc w:val="left"/>
      <w:pPr>
        <w:ind w:left="4320" w:hanging="360"/>
      </w:pPr>
    </w:lvl>
    <w:lvl w:ilvl="6" w:tplc="8CB448E4">
      <w:start w:val="1"/>
      <w:numFmt w:val="bullet"/>
      <w:lvlText w:val="●"/>
      <w:lvlJc w:val="left"/>
      <w:pPr>
        <w:ind w:left="5040" w:hanging="360"/>
      </w:pPr>
    </w:lvl>
    <w:lvl w:ilvl="7" w:tplc="B874B8DA">
      <w:start w:val="1"/>
      <w:numFmt w:val="bullet"/>
      <w:lvlText w:val="●"/>
      <w:lvlJc w:val="left"/>
      <w:pPr>
        <w:ind w:left="5760" w:hanging="360"/>
      </w:pPr>
    </w:lvl>
    <w:lvl w:ilvl="8" w:tplc="22C6694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A9587E"/>
    <w:multiLevelType w:val="hybridMultilevel"/>
    <w:tmpl w:val="4BA0CC62"/>
    <w:lvl w:ilvl="0" w:tplc="6FC8D78C">
      <w:start w:val="1"/>
      <w:numFmt w:val="bullet"/>
      <w:lvlText w:val="•"/>
      <w:lvlJc w:val="left"/>
      <w:pPr>
        <w:ind w:left="480" w:hanging="240"/>
      </w:pPr>
    </w:lvl>
    <w:lvl w:ilvl="1" w:tplc="D4D0A926">
      <w:numFmt w:val="decimal"/>
      <w:lvlText w:val=""/>
      <w:lvlJc w:val="left"/>
    </w:lvl>
    <w:lvl w:ilvl="2" w:tplc="96941FDA">
      <w:numFmt w:val="decimal"/>
      <w:lvlText w:val=""/>
      <w:lvlJc w:val="left"/>
    </w:lvl>
    <w:lvl w:ilvl="3" w:tplc="5A9469DC">
      <w:numFmt w:val="decimal"/>
      <w:lvlText w:val=""/>
      <w:lvlJc w:val="left"/>
    </w:lvl>
    <w:lvl w:ilvl="4" w:tplc="96C0E64A">
      <w:numFmt w:val="decimal"/>
      <w:lvlText w:val=""/>
      <w:lvlJc w:val="left"/>
    </w:lvl>
    <w:lvl w:ilvl="5" w:tplc="592ECC8E">
      <w:numFmt w:val="decimal"/>
      <w:lvlText w:val=""/>
      <w:lvlJc w:val="left"/>
    </w:lvl>
    <w:lvl w:ilvl="6" w:tplc="050632EE">
      <w:numFmt w:val="decimal"/>
      <w:lvlText w:val=""/>
      <w:lvlJc w:val="left"/>
    </w:lvl>
    <w:lvl w:ilvl="7" w:tplc="1B8C3828">
      <w:numFmt w:val="decimal"/>
      <w:lvlText w:val=""/>
      <w:lvlJc w:val="left"/>
    </w:lvl>
    <w:lvl w:ilvl="8" w:tplc="B2F846E2">
      <w:numFmt w:val="decimal"/>
      <w:lvlText w:val=""/>
      <w:lvlJc w:val="left"/>
    </w:lvl>
  </w:abstractNum>
  <w:abstractNum w:abstractNumId="2" w15:restartNumberingAfterBreak="0">
    <w:nsid w:val="49D36FB3"/>
    <w:multiLevelType w:val="hybridMultilevel"/>
    <w:tmpl w:val="E00CE622"/>
    <w:lvl w:ilvl="0" w:tplc="33DCEC64">
      <w:start w:val="1"/>
      <w:numFmt w:val="decimal"/>
      <w:lvlText w:val="%1."/>
      <w:lvlJc w:val="left"/>
      <w:pPr>
        <w:ind w:left="480" w:hanging="300"/>
      </w:pPr>
    </w:lvl>
    <w:lvl w:ilvl="1" w:tplc="5C48B9F4">
      <w:numFmt w:val="decimal"/>
      <w:lvlText w:val=""/>
      <w:lvlJc w:val="left"/>
    </w:lvl>
    <w:lvl w:ilvl="2" w:tplc="5D340ECE">
      <w:numFmt w:val="decimal"/>
      <w:lvlText w:val=""/>
      <w:lvlJc w:val="left"/>
    </w:lvl>
    <w:lvl w:ilvl="3" w:tplc="497ECB92">
      <w:numFmt w:val="decimal"/>
      <w:lvlText w:val=""/>
      <w:lvlJc w:val="left"/>
    </w:lvl>
    <w:lvl w:ilvl="4" w:tplc="2834AECA">
      <w:numFmt w:val="decimal"/>
      <w:lvlText w:val=""/>
      <w:lvlJc w:val="left"/>
    </w:lvl>
    <w:lvl w:ilvl="5" w:tplc="27122EAC">
      <w:numFmt w:val="decimal"/>
      <w:lvlText w:val=""/>
      <w:lvlJc w:val="left"/>
    </w:lvl>
    <w:lvl w:ilvl="6" w:tplc="D32016F8">
      <w:numFmt w:val="decimal"/>
      <w:lvlText w:val=""/>
      <w:lvlJc w:val="left"/>
    </w:lvl>
    <w:lvl w:ilvl="7" w:tplc="83946E16">
      <w:numFmt w:val="decimal"/>
      <w:lvlText w:val=""/>
      <w:lvlJc w:val="left"/>
    </w:lvl>
    <w:lvl w:ilvl="8" w:tplc="C5722116">
      <w:numFmt w:val="decimal"/>
      <w:lvlText w:val=""/>
      <w:lvlJc w:val="left"/>
    </w:lvl>
  </w:abstractNum>
  <w:num w:numId="1" w16cid:durableId="650331641">
    <w:abstractNumId w:val="0"/>
    <w:lvlOverride w:ilvl="0">
      <w:startOverride w:val="1"/>
    </w:lvlOverride>
  </w:num>
  <w:num w:numId="2" w16cid:durableId="354578855">
    <w:abstractNumId w:val="2"/>
    <w:lvlOverride w:ilvl="0">
      <w:startOverride w:val="1"/>
    </w:lvlOverride>
  </w:num>
  <w:num w:numId="3" w16cid:durableId="10768298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080"/>
    <w:rsid w:val="00294B8D"/>
    <w:rsid w:val="00397DD9"/>
    <w:rsid w:val="00D75426"/>
    <w:rsid w:val="00EB7080"/>
    <w:rsid w:val="00F43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A2589"/>
  <w15:docId w15:val="{71694E67-4422-4624-A7C0-70482CE7E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5C8A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1824</Words>
  <Characters>10399</Characters>
  <Application>Microsoft Office Word</Application>
  <DocSecurity>0</DocSecurity>
  <Lines>86</Lines>
  <Paragraphs>24</Paragraphs>
  <ScaleCrop>false</ScaleCrop>
  <Company/>
  <LinksUpToDate>false</LinksUpToDate>
  <CharactersWithSpaces>12199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기본권교육지원법 조문 수정안 대조표</dc:title>
  <dc:creator>민주주의 박람회 조직위원회</dc:creator>
  <cp:lastModifiedBy>이치우</cp:lastModifiedBy>
  <cp:revision>2</cp:revision>
  <dcterms:created xsi:type="dcterms:W3CDTF">2026-09-04T23:49:00Z</dcterms:created>
  <dcterms:modified xsi:type="dcterms:W3CDTF">2026-09-04T23:49:00Z</dcterms:modified>
</cp:coreProperties>
</file>