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참심제와 국민주권 사법</w:t>
      </w:r>
    </w:p>
    <w:p>
      <w:pPr/>
      <w:r>
        <w:t xml:space="preserve">2026 직접민주주의 정치박람회 제9세션 「시민법정」 발제문 · </w:t>
      </w:r>
      <w:r>
        <w:t xml:space="preserve">Oct 16, 2026</w:t>
      </w:r>
      <w:r>
        <w:t xml:space="preserve"> · </w:t>
      </w:r>
      <w:r>
        <w:t xml:space="preserve">@soochong Lee</w:t>
      </w:r>
    </w:p>
    <w:p>
      <w:pPr/>
      <w:r>
        <w:t xml:space="preserve">발제: 이수종(주권자사법개혁추진준비위원회 위원) · 2026. 10. 16.(금) 10:10~10:35, 국회 의원회관</w:t>
      </w:r>
    </w:p>
    <w:p>
      <w:pPr>
        <w:pStyle w:val="Heading2"/>
      </w:pPr>
      <w:r>
        <w:t xml:space="preserve">들어가며 — 사법에는 주권자의 자리가 없다</w:t>
      </w:r>
    </w:p>
    <w:p>
      <w:pPr/>
      <w:r>
        <w:t xml:space="preserve">주권자는 국회의원과 대통령을 선거로 뽑지만, 판사는 한 번도 뽑지도 부르지도 않습니다. 헌법 제1조 제2항은 「모든 권력은 국민으로부터 나온다」고 말합니다. 그러나 입법·행정·사법 가운데 사법권만은 국민과 이어지는 통로가 거의 없습니다.</w:t>
      </w:r>
    </w:p>
    <w:p>
      <w:pPr/>
      <w:r>
        <w:t xml:space="preserve">2008년 국민참여재판이 도입됐지만 배심원의 평결은 판사를 구속하지 못하는 권고에 그칩니다. 시민은 재판의 방청객이거나 조언자일 뿐, 판단의 주체가 아닙니다.</w:t>
      </w:r>
    </w:p>
    <w:p>
      <w:pPr/>
      <w:r>
        <w:t xml:space="preserve">이 발제는 그 빈자리를 참심제로 채우자고 제안합니다. 참심제는 시민 참심원이 직업 법관과 한 재판부를 이뤄 사실 인정과 양형을 함께, 같은 표로 결정하는 제도입니다. 순서는 네 가지입니다.</w:t>
      </w:r>
    </w:p>
    <w:p>
      <w:pPr>
        <w:pStyle w:val="ListParagraph"/>
        <w:numPr>
          <w:ilvl w:val="0"/>
          <w:numId w:val="2"/>
        </w:numPr>
      </w:pPr>
      <w:r>
        <w:t xml:space="preserve">사법 불신은 왜 구조의 문제인가</w:t>
      </w:r>
    </w:p>
    <w:p>
      <w:pPr>
        <w:pStyle w:val="ListParagraph"/>
        <w:numPr>
          <w:ilvl w:val="0"/>
          <w:numId w:val="2"/>
        </w:numPr>
      </w:pPr>
      <w:r>
        <w:t xml:space="preserve">국민참여재판은 무엇을 이뤘고 어디서 멈췄나</w:t>
      </w:r>
    </w:p>
    <w:p>
      <w:pPr>
        <w:pStyle w:val="ListParagraph"/>
        <w:numPr>
          <w:ilvl w:val="0"/>
          <w:numId w:val="2"/>
        </w:numPr>
      </w:pPr>
      <w:r>
        <w:t xml:space="preserve">참심제는 어떻게 짜여 있고, 다른 나라는 어떻게 운영하나</w:t>
      </w:r>
    </w:p>
    <w:p>
      <w:pPr>
        <w:pStyle w:val="ListParagraph"/>
        <w:numPr>
          <w:ilvl w:val="0"/>
          <w:numId w:val="2"/>
        </w:numPr>
      </w:pPr>
      <w:r>
        <w:t xml:space="preserve">도입하려면 어떤 법을 고치고, 어떤 순서로 가야 하나</w:t>
      </w:r>
    </w:p>
    <w:p>
      <w:pPr>
        <w:pStyle w:val="Heading2"/>
      </w:pPr>
      <w:r>
        <w:t xml:space="preserve">1. 사법 불신의 구조적 원인과 사법 민주화의 필요성</w:t>
      </w:r>
    </w:p>
    <w:p>
      <w:pPr/>
      <w:r>
        <w:t xml:space="preserve">사법 불신은 판사 몇 사람의 일탈이 아니라, 사법권이 주권자와 연결돼 있지 않은 구조에서 나옵니다. 헌법은 사법권을 「법관으로 구성된 법원」에 맡기고(제101조 제1항), 법관은 「독립하여 심판」합니다(제103조). 독립은 있되 그 권력이 국민으로부터 나온다는 통로는 없습니다.</w:t>
      </w:r>
    </w:p>
    <w:p>
      <w:pPr/>
      <w:r>
        <w:rPr>
          <w:b/>
        </w:rPr>
        <w:t xml:space="preserve">세 가지 구조</w:t>
      </w:r>
    </w:p>
    <w:p>
      <w:pPr>
        <w:pStyle w:val="ListParagraph"/>
        <w:numPr>
          <w:ilvl w:val="0"/>
          <w:numId w:val="3"/>
        </w:numPr>
      </w:pPr>
      <w:r>
        <w:rPr>
          <w:b/>
        </w:rPr>
        <w:t xml:space="preserve">닫힌 충원</w:t>
      </w:r>
      <w:r>
        <w:t xml:space="preserve">: 법관은 시험과 법원 내부 인사로 가려집니다. 대법관 후보를 고르는 추천위원회조차 위원 전원을 대법원장이 임명하거나 위촉합니다(법원조직법 제41조의2 제3항).</w:t>
      </w:r>
    </w:p>
    <w:p>
      <w:pPr>
        <w:pStyle w:val="ListParagraph"/>
        <w:numPr>
          <w:ilvl w:val="0"/>
          <w:numId w:val="3"/>
        </w:numPr>
      </w:pPr>
      <w:r>
        <w:rPr>
          <w:b/>
        </w:rPr>
        <w:t xml:space="preserve">판단의 독점</w:t>
      </w:r>
      <w:r>
        <w:t xml:space="preserve">: 유죄인가, 몇 년인가를 법조인만 정합니다. 같은 사건에서 양형이 크게 갈려도 시민의 상식이 들어갈 자리가 없습니다.</w:t>
      </w:r>
    </w:p>
    <w:p>
      <w:pPr>
        <w:pStyle w:val="ListParagraph"/>
        <w:numPr>
          <w:ilvl w:val="0"/>
          <w:numId w:val="3"/>
        </w:numPr>
      </w:pPr>
      <w:r>
        <w:rPr>
          <w:b/>
        </w:rPr>
        <w:t xml:space="preserve">법조 네트워크</w:t>
      </w:r>
      <w:r>
        <w:t xml:space="preserve">: 퇴직 법관이 대형 로펌로 가고, 전관예우 의심이 따라붙습니다. 개인의 윤리 문제가 아니라, 판단자가 한 집단 안에서만 도는 구조의 문제입니다.</w:t>
      </w:r>
    </w:p>
    <w:p>
      <w:pPr/>
      <w:r>
        <w:rPr>
          <w:b/>
        </w:rPr>
        <w:t xml:space="preserve">사법 민주화는 사법 독립과 충돌하지 않습니다.</w:t>
      </w:r>
      <w:r>
        <w:t xml:space="preserve"> 독립은 권력으로부터의 독립이지, 주권자로부터의 독립이 아닙니다. 시민이 재판부 안에 앉으면 외부 압력은 한 사람이 아니라 합의체 전체를 상대해야 합니다. 민주화는 독립을 더 단단하게 합니다.</w:t>
      </w:r>
    </w:p>
    <w:p>
      <w:pPr>
        <w:pStyle w:val="Quote"/>
      </w:pPr>
      <w:r>
        <w:t xml:space="preserve">헌법 제1조 제2항: 「대한민국의 주권은 국민에게 있고, 모든 권력은 국민으로부터 나온다.」 — 사법권도 「모든 권력」에 속합니다.</w:t>
      </w:r>
    </w:p>
    <w:p>
      <w:pPr>
        <w:pStyle w:val="Heading2"/>
      </w:pPr>
      <w:r>
        <w:t xml:space="preserve">2. 국민참여재판 운영의 성과와 한계</w:t>
      </w:r>
    </w:p>
    <w:p>
      <w:pPr/>
      <w:r>
        <w:t xml:space="preserve">국민참여재판은 시민의 판단이 믿을 만하다는 것을 증명했지만, 그 판단에 힘을 주지 않았습니다. 2007년 「국민의 형사재판 참여에 관한 법률」이 제정돼 2008년부터 시행됐습니다.</w:t>
      </w:r>
    </w:p>
    <w:p>
      <w:pPr/>
      <w:r>
        <w:rPr>
          <w:b/>
        </w:rPr>
        <w:t xml:space="preserve">성과 — 시민의 판단은 법관과 거의 같았다</w:t>
      </w:r>
    </w:p>
    <w:p>
      <w:pPr/>
      <w:r>
        <w:t xml:space="preserve">법원행정처가 도입 초기 4년(2008~2011)을 분석한 결과입니다.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수치</w:t>
            </w:r>
          </w:p>
        </w:tc>
      </w:tr>
      <w:tr>
        <w:tc>
          <w:tcPr>
            <w:tcW w:w="4680" w:type="dxa"/>
          </w:tcPr>
          <w:p>
            <w:pPr/>
            <w:r>
              <w:t xml:space="preserve">배심원 평결과 판결이 일치한 사건</w:t>
            </w:r>
          </w:p>
        </w:tc>
        <w:tc>
          <w:tcPr>
            <w:tcW w:w="4680" w:type="dxa"/>
          </w:tcPr>
          <w:p>
            <w:pPr/>
            <w:r>
              <w:t xml:space="preserve">570건 중 520건(90.6%)</w:t>
            </w:r>
          </w:p>
        </w:tc>
      </w:tr>
      <w:tr>
        <w:tc>
          <w:tcPr>
            <w:tcW w:w="4680" w:type="dxa"/>
          </w:tcPr>
          <w:p>
            <w:pPr/>
            <w:r>
              <w:t xml:space="preserve">양형 의견이 재판부 선고형과 근접한 비율</w:t>
            </w:r>
          </w:p>
        </w:tc>
        <w:tc>
          <w:tcPr>
            <w:tcW w:w="4680" w:type="dxa"/>
          </w:tcPr>
          <w:p>
            <w:pPr/>
            <w:r>
              <w:t xml:space="preserve">92.6%</w:t>
            </w:r>
          </w:p>
        </w:tc>
      </w:tr>
      <w:tr>
        <w:tc>
          <w:tcPr>
            <w:tcW w:w="4680" w:type="dxa"/>
          </w:tcPr>
          <w:p>
            <w:pPr/>
            <w:r>
              <w:t xml:space="preserve">실제 참여재판으로 처리된 사건</w:t>
            </w:r>
          </w:p>
        </w:tc>
        <w:tc>
          <w:tcPr>
            <w:tcW w:w="4680" w:type="dxa"/>
          </w:tcPr>
          <w:p>
            <w:pPr/>
            <w:r>
              <w:t xml:space="preserve">대상사건 21,912건 중 574건(2.62%)</w:t>
            </w:r>
          </w:p>
        </w:tc>
      </w:tr>
      <w:tr>
        <w:tc>
          <w:tcPr>
            <w:tcW w:w="4680" w:type="dxa"/>
          </w:tcPr>
          <w:p>
            <w:pPr/>
            <w:r>
              <w:t xml:space="preserve">접수 / 철회 / 배제</w:t>
            </w:r>
          </w:p>
        </w:tc>
        <w:tc>
          <w:tcPr>
            <w:tcW w:w="4680" w:type="dxa"/>
          </w:tcPr>
          <w:p>
            <w:pPr/>
            <w:r>
              <w:t xml:space="preserve">1,490건(6.8%) / 582건(2.66%) / 274건(1.25%)</w:t>
            </w:r>
          </w:p>
        </w:tc>
      </w:tr>
    </w:tbl>
    <w:p>
      <w:pPr/>
      <w:r>
        <w:t xml:space="preserve">출처: 법원행정처 사법지원실, 「2008년-2011년 국민참여재판 성과 분석」(2012). 최근 연도 통계는 발표 전 「사법연감」으로 보강합니다.</w:t>
      </w:r>
    </w:p>
    <w:p>
      <w:pPr/>
      <w:r>
        <w:t xml:space="preserve">평결과 판결이 90% 넘게 일치했다는 것은, 추첨으로 뽑힌 시민이 법관만큼 신중하게 판단한다는 뜻입니다. 「시민은 감정적이다」는 반대 논리를 실적이 반박합니다.</w:t>
      </w:r>
    </w:p>
    <w:p>
      <w:pPr/>
      <w:r>
        <w:rPr>
          <w:b/>
        </w:rPr>
        <w:t xml:space="preserve">한계 — 네 개의 문</w:t>
      </w:r>
    </w:p>
    <w:p>
      <w:pPr>
        <w:pStyle w:val="ListParagraph"/>
        <w:numPr>
          <w:ilvl w:val="0"/>
          <w:numId w:val="4"/>
        </w:numPr>
      </w:pPr>
      <w:r>
        <w:rPr>
          <w:b/>
        </w:rPr>
        <w:t xml:space="preserve">권고적 효력</w:t>
      </w:r>
      <w:r>
        <w:t xml:space="preserve">: 평결은 판사를 구속하지 않습니다. 헌법재판소는 이 권고적 효력을 합헌으로 봤습니다(2009헌바17). 합헌이라는 것이지, 바람직하다는 뜻은 아닙니다.</w:t>
      </w:r>
    </w:p>
    <w:p>
      <w:pPr>
        <w:pStyle w:val="ListParagraph"/>
        <w:numPr>
          <w:ilvl w:val="0"/>
          <w:numId w:val="4"/>
        </w:numPr>
      </w:pPr>
      <w:r>
        <w:rPr>
          <w:b/>
        </w:rPr>
        <w:t xml:space="preserve">피고인 신청제</w:t>
      </w:r>
      <w:r>
        <w:t xml:space="preserve">: 피고인이 원할 때만 열립니다. 대상 사건의 2.62%만 참여재판으로 열렸습니다.</w:t>
      </w:r>
    </w:p>
    <w:p>
      <w:pPr>
        <w:pStyle w:val="ListParagraph"/>
        <w:numPr>
          <w:ilvl w:val="0"/>
          <w:numId w:val="4"/>
        </w:numPr>
      </w:pPr>
      <w:r>
        <w:rPr>
          <w:b/>
        </w:rPr>
        <w:t xml:space="preserve">법원의 배제</w:t>
      </w:r>
      <w:r>
        <w:t xml:space="preserve">: 법원이 「적절하지 않다」고 보면 참여재판을 배제할 수 있습니다.</w:t>
      </w:r>
    </w:p>
    <w:p>
      <w:pPr>
        <w:pStyle w:val="ListParagraph"/>
        <w:numPr>
          <w:ilvl w:val="0"/>
          <w:numId w:val="4"/>
        </w:numPr>
      </w:pPr>
      <w:r>
        <w:rPr>
          <w:b/>
        </w:rPr>
        <w:t xml:space="preserve">프로세스 이후의 무력함</w:t>
      </w:r>
      <w:r>
        <w:t xml:space="preserve">: 2026년 6월 이화영 사건 참여재판에서는 배심원이 만장일치로 무죄를 판단했으나, 재판부는 공소기각으로 끝냈습니다. 시민의 판단이 기록에만 남은 것입니다.</w:t>
      </w:r>
    </w:p>
    <w:p>
      <w:pPr/>
      <w:r>
        <w:t xml:space="preserve">국민참여재판의 한계는 운영이 아니라 설계에 있습니다. 시민이 법정 밖에서 의견을 내는 한, 그 의견은 권고로 남습니다. 시민이 재판부 안에 앉아야 판단이 결정이 됩니다.</w:t>
      </w:r>
    </w:p>
    <w:p>
      <w:pPr>
        <w:pStyle w:val="Heading2"/>
      </w:pPr>
      <w:r>
        <w:t xml:space="preserve">3. 참심제의 기본 구조와 해외 운영 사례</w:t>
      </w:r>
    </w:p>
    <w:p>
      <w:pPr/>
      <w:r>
        <w:t xml:space="preserve">참심제의 핵심은 시민과 법관이 </w:t>
      </w:r>
      <w:r>
        <w:rPr>
          <w:b/>
        </w:rPr>
        <w:t xml:space="preserve">한 재판부</w:t>
      </w:r>
      <w:r>
        <w:t xml:space="preserve">를 이루어 </w:t>
      </w:r>
      <w:r>
        <w:rPr>
          <w:b/>
        </w:rPr>
        <w:t xml:space="preserve">같은 표</w:t>
      </w:r>
      <w:r>
        <w:t xml:space="preserve">를 행사한다는 점입니다. 배심제는 배심원이 유·무죄만 따로 정하지만, 참심제는 사실 인정과 양형까지 함께 결정합니다.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구분</w:t>
            </w:r>
          </w:p>
        </w:tc>
        <w:tc>
          <w:tcPr>
            <w:tcW w:w="3120" w:type="dxa"/>
            <w:shd w:val="clear" w:color="auto" w:fill="F2F2F2"/>
          </w:tcPr>
          <w:p>
            <w:pPr/>
            <w:r>
              <w:t xml:space="preserve">국민참여재판(현행)</w:t>
            </w:r>
          </w:p>
        </w:tc>
        <w:tc>
          <w:tcPr>
            <w:tcW w:w="3120" w:type="dxa"/>
            <w:shd w:val="clear" w:color="auto" w:fill="F2F2F2"/>
          </w:tcPr>
          <w:p>
            <w:pPr/>
            <w:r>
              <w:t xml:space="preserve">참심제</w:t>
            </w:r>
          </w:p>
        </w:tc>
      </w:tr>
      <w:tr>
        <w:tc>
          <w:tcPr>
            <w:tcW w:w="3120" w:type="dxa"/>
          </w:tcPr>
          <w:p>
            <w:pPr/>
            <w:r>
              <w:t xml:space="preserve">시민의 자리</w:t>
            </w:r>
          </w:p>
        </w:tc>
        <w:tc>
          <w:tcPr>
            <w:tcW w:w="3120" w:type="dxa"/>
          </w:tcPr>
          <w:p>
            <w:pPr/>
            <w:r>
              <w:t xml:space="preserve">법대 밖 배심석</w:t>
            </w:r>
          </w:p>
        </w:tc>
        <w:tc>
          <w:tcPr>
            <w:tcW w:w="3120" w:type="dxa"/>
          </w:tcPr>
          <w:p>
            <w:pPr/>
            <w:r>
              <w:t xml:space="preserve">법대 위, 법관 옆</w:t>
            </w:r>
          </w:p>
        </w:tc>
      </w:tr>
      <w:tr>
        <w:tc>
          <w:tcPr>
            <w:tcW w:w="3120" w:type="dxa"/>
          </w:tcPr>
          <w:p>
            <w:pPr/>
            <w:r>
              <w:t xml:space="preserve">판단 범위</w:t>
            </w:r>
          </w:p>
        </w:tc>
        <w:tc>
          <w:tcPr>
            <w:tcW w:w="3120" w:type="dxa"/>
          </w:tcPr>
          <w:p>
            <w:pPr/>
            <w:r>
              <w:t xml:space="preserve">유·무죄 평결, 양형 의견</w:t>
            </w:r>
          </w:p>
        </w:tc>
        <w:tc>
          <w:tcPr>
            <w:tcW w:w="3120" w:type="dxa"/>
          </w:tcPr>
          <w:p>
            <w:pPr/>
            <w:r>
              <w:t xml:space="preserve">사실 인정과 양형 모두</w:t>
            </w:r>
          </w:p>
        </w:tc>
      </w:tr>
      <w:tr>
        <w:tc>
          <w:tcPr>
            <w:tcW w:w="3120" w:type="dxa"/>
          </w:tcPr>
          <w:p>
            <w:pPr/>
            <w:r>
              <w:t xml:space="preserve">효력</w:t>
            </w:r>
          </w:p>
        </w:tc>
        <w:tc>
          <w:tcPr>
            <w:tcW w:w="3120" w:type="dxa"/>
          </w:tcPr>
          <w:p>
            <w:pPr/>
            <w:r>
              <w:t xml:space="preserve">권고</w:t>
            </w:r>
          </w:p>
        </w:tc>
        <w:tc>
          <w:tcPr>
            <w:tcW w:w="3120" w:type="dxa"/>
          </w:tcPr>
          <w:p>
            <w:pPr/>
            <w:r>
              <w:t xml:space="preserve">결정(표결의 한 표)</w:t>
            </w:r>
          </w:p>
        </w:tc>
      </w:tr>
      <w:tr>
        <w:tc>
          <w:tcPr>
            <w:tcW w:w="3120" w:type="dxa"/>
          </w:tcPr>
          <w:p>
            <w:pPr/>
            <w:r>
              <w:t xml:space="preserve">열리는 조건</w:t>
            </w:r>
          </w:p>
        </w:tc>
        <w:tc>
          <w:tcPr>
            <w:tcW w:w="3120" w:type="dxa"/>
          </w:tcPr>
          <w:p>
            <w:pPr/>
            <w:r>
              <w:t xml:space="preserve">피고인 신청, 법원 배제 가능</w:t>
            </w:r>
          </w:p>
        </w:tc>
        <w:tc>
          <w:tcPr>
            <w:tcW w:w="3120" w:type="dxa"/>
          </w:tcPr>
          <w:p>
            <w:pPr/>
            <w:r>
              <w:t xml:space="preserve">법률이 정한 사건이면 항상</w:t>
            </w:r>
          </w:p>
        </w:tc>
      </w:tr>
    </w:tbl>
    <w:p>
      <w:pPr/>
      <w:r>
        <w:rPr>
          <w:b/>
        </w:rPr>
        <w:t xml:space="preserve">해외 운영 사례</w:t>
      </w:r>
    </w:p>
    <w:p>
      <w:pPr/>
      <w:r>
        <w:t xml:space="preserve">유럽 대륙법 국가 다수와 일본이 시민과 법관의 합의체를 운영합니다. 운영 방식은 여러 갈래지만, 시민이 재판부 안에서 표를 갖는다는 원리는 같습니다.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나라</w:t>
            </w:r>
          </w:p>
        </w:tc>
        <w:tc>
          <w:tcPr>
            <w:tcW w:w="2340" w:type="dxa"/>
            <w:shd w:val="clear" w:color="auto" w:fill="F2F2F2"/>
          </w:tcPr>
          <w:p>
            <w:pPr/>
            <w:r>
              <w:t xml:space="preserve">구성(법관 + 시민)</w:t>
            </w:r>
          </w:p>
        </w:tc>
        <w:tc>
          <w:tcPr>
            <w:tcW w:w="2340" w:type="dxa"/>
            <w:shd w:val="clear" w:color="auto" w:fill="F2F2F2"/>
          </w:tcPr>
          <w:p>
            <w:pPr/>
            <w:r>
              <w:t xml:space="preserve">시민 선발</w:t>
            </w:r>
          </w:p>
        </w:tc>
        <w:tc>
          <w:tcPr>
            <w:tcW w:w="2340" w:type="dxa"/>
            <w:shd w:val="clear" w:color="auto" w:fill="F2F2F2"/>
          </w:tcPr>
          <w:p>
            <w:pPr/>
            <w:r>
              <w:t xml:space="preserve">비고</w:t>
            </w:r>
          </w:p>
        </w:tc>
      </w:tr>
      <w:tr>
        <w:tc>
          <w:tcPr>
            <w:tcW w:w="2340" w:type="dxa"/>
          </w:tcPr>
          <w:p>
            <w:pPr/>
            <w:r>
              <w:t xml:space="preserve">독일</w:t>
            </w:r>
          </w:p>
        </w:tc>
        <w:tc>
          <w:tcPr>
            <w:tcW w:w="2340" w:type="dxa"/>
          </w:tcPr>
          <w:p>
            <w:pPr/>
            <w:r>
              <w:t xml:space="preserve">1 + 2 (큰 사건 3 + 2)</w:t>
            </w:r>
          </w:p>
        </w:tc>
        <w:tc>
          <w:tcPr>
            <w:tcW w:w="2340" w:type="dxa"/>
          </w:tcPr>
          <w:p>
            <w:pPr/>
            <w:r>
              <w:t xml:space="preserve">시의회가 명단 작성, 선정위원회 선정</w:t>
            </w:r>
          </w:p>
        </w:tc>
        <w:tc>
          <w:tcPr>
            <w:tcW w:w="2340" w:type="dxa"/>
          </w:tcPr>
          <w:p>
            <w:pPr/>
            <w:r>
              <w:t xml:space="preserve">임기 5년, 25~70세. 유죄·형벌은 3분의 2</w:t>
            </w:r>
          </w:p>
        </w:tc>
      </w:tr>
      <w:tr>
        <w:tc>
          <w:tcPr>
            <w:tcW w:w="2340" w:type="dxa"/>
          </w:tcPr>
          <w:p>
            <w:pPr/>
            <w:r>
              <w:t xml:space="preserve">스웨덴</w:t>
            </w:r>
          </w:p>
        </w:tc>
        <w:tc>
          <w:tcPr>
            <w:tcW w:w="2340" w:type="dxa"/>
          </w:tcPr>
          <w:p>
            <w:pPr/>
            <w:r>
              <w:t xml:space="preserve">1 + 3 (항소심 3 + 2)</w:t>
            </w:r>
          </w:p>
        </w:tc>
        <w:tc>
          <w:tcPr>
            <w:tcW w:w="2340" w:type="dxa"/>
          </w:tcPr>
          <w:p>
            <w:pPr/>
            <w:r>
              <w:t xml:space="preserve">정당 추천, 시의회 선출</w:t>
            </w:r>
          </w:p>
        </w:tc>
        <w:tc>
          <w:tcPr>
            <w:tcW w:w="2340" w:type="dxa"/>
          </w:tcPr>
          <w:p>
            <w:pPr/>
            <w:r>
              <w:t xml:space="preserve">임기 4년</w:t>
            </w:r>
          </w:p>
        </w:tc>
      </w:tr>
      <w:tr>
        <w:tc>
          <w:tcPr>
            <w:tcW w:w="2340" w:type="dxa"/>
          </w:tcPr>
          <w:p>
            <w:pPr/>
            <w:r>
              <w:t xml:space="preserve">핀란드</w:t>
            </w:r>
          </w:p>
        </w:tc>
        <w:tc>
          <w:tcPr>
            <w:tcW w:w="2340" w:type="dxa"/>
          </w:tcPr>
          <w:p>
            <w:pPr/>
            <w:r>
              <w:t xml:space="preserve">1 + 2~3</w:t>
            </w:r>
          </w:p>
        </w:tc>
        <w:tc>
          <w:tcPr>
            <w:tcW w:w="2340" w:type="dxa"/>
          </w:tcPr>
          <w:p>
            <w:pPr/>
            <w:r>
              <w:t xml:space="preserve">지방의회 선출</w:t>
            </w:r>
          </w:p>
        </w:tc>
        <w:tc>
          <w:tcPr>
            <w:tcW w:w="2340" w:type="dxa"/>
          </w:tcPr>
          <w:p>
            <w:pPr/>
            <w:r>
              <w:t xml:space="preserve">임기 4년</w:t>
            </w:r>
          </w:p>
        </w:tc>
      </w:tr>
      <w:tr>
        <w:tc>
          <w:tcPr>
            <w:tcW w:w="2340" w:type="dxa"/>
          </w:tcPr>
          <w:p>
            <w:pPr/>
            <w:r>
              <w:t xml:space="preserve">덴마크</w:t>
            </w:r>
          </w:p>
        </w:tc>
        <w:tc>
          <w:tcPr>
            <w:tcW w:w="2340" w:type="dxa"/>
          </w:tcPr>
          <w:p>
            <w:pPr/>
            <w:r>
              <w:t xml:space="preserve">경미 사건 1 + 2</w:t>
            </w:r>
          </w:p>
        </w:tc>
        <w:tc>
          <w:tcPr>
            <w:tcW w:w="2340" w:type="dxa"/>
          </w:tcPr>
          <w:p>
            <w:pPr/>
            <w:r>
              <w:t xml:space="preserve">—</w:t>
            </w:r>
          </w:p>
        </w:tc>
        <w:tc>
          <w:tcPr>
            <w:tcW w:w="2340" w:type="dxa"/>
          </w:tcPr>
          <w:p>
            <w:pPr/>
            <w:r>
              <w:t xml:space="preserve">중대 사건은 3 + 배심 6</w:t>
            </w:r>
          </w:p>
        </w:tc>
      </w:tr>
      <w:tr>
        <w:tc>
          <w:tcPr>
            <w:tcW w:w="2340" w:type="dxa"/>
          </w:tcPr>
          <w:p>
            <w:pPr/>
            <w:r>
              <w:t xml:space="preserve">프랑스</w:t>
            </w:r>
          </w:p>
        </w:tc>
        <w:tc>
          <w:tcPr>
            <w:tcW w:w="2340" w:type="dxa"/>
          </w:tcPr>
          <w:p>
            <w:pPr/>
            <w:r>
              <w:t xml:space="preserve">중죄법원 3 + 6 (항소심 3 + 9)</w:t>
            </w:r>
          </w:p>
        </w:tc>
        <w:tc>
          <w:tcPr>
            <w:tcW w:w="2340" w:type="dxa"/>
          </w:tcPr>
          <w:p>
            <w:pPr/>
            <w:r>
              <w:t xml:space="preserve">추첨</w:t>
            </w:r>
          </w:p>
        </w:tc>
        <w:tc>
          <w:tcPr>
            <w:tcW w:w="2340" w:type="dxa"/>
          </w:tcPr>
          <w:p>
            <w:pPr/>
            <w:r>
              <w:t xml:space="preserve">법관과 시민이 함께 평의</w:t>
            </w:r>
          </w:p>
        </w:tc>
      </w:tr>
      <w:tr>
        <w:tc>
          <w:tcPr>
            <w:tcW w:w="2340" w:type="dxa"/>
          </w:tcPr>
          <w:p>
            <w:pPr/>
            <w:r>
              <w:t xml:space="preserve">일본</w:t>
            </w:r>
          </w:p>
        </w:tc>
        <w:tc>
          <w:tcPr>
            <w:tcW w:w="2340" w:type="dxa"/>
          </w:tcPr>
          <w:p>
            <w:pPr/>
            <w:r>
              <w:t xml:space="preserve">3 + 6 (재판원)</w:t>
            </w:r>
          </w:p>
        </w:tc>
        <w:tc>
          <w:tcPr>
            <w:tcW w:w="2340" w:type="dxa"/>
          </w:tcPr>
          <w:p>
            <w:pPr/>
            <w:r>
              <w:t xml:space="preserve">추첨</w:t>
            </w:r>
          </w:p>
        </w:tc>
        <w:tc>
          <w:tcPr>
            <w:tcW w:w="2340" w:type="dxa"/>
          </w:tcPr>
          <w:p>
            <w:pPr/>
            <w:r>
              <w:t xml:space="preserve">2009년 도입</w:t>
            </w:r>
          </w:p>
        </w:tc>
      </w:tr>
    </w:tbl>
    <w:p>
      <w:pPr/>
      <w:r>
        <w:t xml:space="preserve">출처: 시민법정 해외사례 자료(독일·스웨덴·핀란드 문헌 번역본 포함). 자료집 인쇄 전 각국 법령 원문과 대조합니다.</w:t>
      </w:r>
    </w:p>
    <w:p>
      <w:pPr/>
      <w:r>
        <w:rPr>
          <w:b/>
        </w:rPr>
        <w:t xml:space="preserve">세 가지 교훈</w:t>
      </w:r>
    </w:p>
    <w:p>
      <w:pPr>
        <w:pStyle w:val="ListParagraph"/>
        <w:numPr>
          <w:ilvl w:val="0"/>
          <w:numId w:val="5"/>
        </w:numPr>
      </w:pPr>
      <w:r>
        <w:rPr>
          <w:b/>
        </w:rPr>
        <w:t xml:space="preserve">시민이 다수일 수 있다</w:t>
      </w:r>
      <w:r>
        <w:t xml:space="preserve">: 독일·스웨덴·핀란드는 지방법원에서 시민이 법관보다 많습니다. 전문성은 법관이, 민주적 정당성은 시민이 맡습니다.</w:t>
      </w:r>
    </w:p>
    <w:p>
      <w:pPr>
        <w:pStyle w:val="ListParagraph"/>
        <w:numPr>
          <w:ilvl w:val="0"/>
          <w:numId w:val="5"/>
        </w:numPr>
      </w:pPr>
      <w:r>
        <w:rPr>
          <w:b/>
        </w:rPr>
        <w:t xml:space="preserve">선발 방식은 나라마다 다르다</w:t>
      </w:r>
      <w:r>
        <w:t xml:space="preserve">: 지방의회 선출(북유럽)과 추첨(프랑스·일본)이 두 축입니다. 우리나라에 맞는 방식은 토론 쟁점입니다.</w:t>
      </w:r>
    </w:p>
    <w:p>
      <w:pPr>
        <w:pStyle w:val="ListParagraph"/>
        <w:numPr>
          <w:ilvl w:val="0"/>
          <w:numId w:val="5"/>
        </w:numPr>
      </w:pPr>
      <w:r>
        <w:rPr>
          <w:b/>
        </w:rPr>
        <w:t xml:space="preserve">가중다수결로 균형을 맞춘다</w:t>
      </w:r>
      <w:r>
        <w:t xml:space="preserve">: 독일은 유죄·형벌에 3분의 2를 요구합니다. 시민과 법관 어느 한쪽만으로 유죄를 만들 수 없게 한 것입니다.</w:t>
      </w:r>
    </w:p>
    <w:p>
      <w:pPr>
        <w:pStyle w:val="Heading2"/>
      </w:pPr>
      <w:r>
        <w:t xml:space="preserve">4. 도입을 위한 입법·개헌 과제와 단계별 추진 경로</w:t>
      </w:r>
    </w:p>
    <w:p>
      <w:pPr/>
      <w:r>
        <w:t xml:space="preserve">참심제는 </w:t>
      </w:r>
      <w:r>
        <w:rPr>
          <w:b/>
        </w:rPr>
        <w:t xml:space="preserve">법률 제정만으로 시작할 수 있고</w:t>
      </w:r>
      <w:r>
        <w:t xml:space="preserve">, 개헌은 그 뒤에 제도를 굳히는 단계로 둡니다. 주권자사법개혁추진준비위원회는 이 원칙 아래 설계안 두 가지를 준비해 왔습니다.</w:t>
      </w:r>
    </w:p>
    <w:p>
      <w:pPr>
        <w:pStyle w:val="Heading3"/>
      </w:pPr>
      <w:r>
        <w:t xml:space="preserve">4-1. 헌법 제27조의 「법관」은 누구인가</w:t>
      </w:r>
    </w:p>
    <w:p>
      <w:pPr>
        <w:pStyle w:val="ListParagraph"/>
        <w:numPr>
          <w:ilvl w:val="0"/>
          <w:numId w:val="6"/>
        </w:numPr>
      </w:pPr>
      <w:r>
        <w:t xml:space="preserve">제27조 제1항: 「모든 국민은 헌법과 법률이 정한 법관에 의하여 법률에 의한 재판을 받을 권리를 가진다.」</w:t>
      </w:r>
    </w:p>
    <w:p>
      <w:pPr>
        <w:pStyle w:val="ListParagraph"/>
        <w:numPr>
          <w:ilvl w:val="0"/>
          <w:numId w:val="6"/>
        </w:numPr>
      </w:pPr>
      <w:r>
        <w:t xml:space="preserve">제101조 제3항: 「법관의 자격은 법률로 정한다.」</w:t>
      </w:r>
    </w:p>
    <w:p>
      <w:pPr/>
      <w:r>
        <w:t xml:space="preserve">법률로 「참심법관」의 자격을 정하면, 참심원도 「법률이 정한 법관」이 된다는 것이 법률 도입론의 핵심 논리입니다. 반대로 「법관」을 법학 교육을 받은 직업 법관으로만 읽는 해석이 있어, 제27조는 위헌 시비의 중심이 될 것입니다. 제103조(법관의 독립 심판)도 참심원의 신분 보장으로 답해야 합니다.</w:t>
      </w:r>
    </w:p>
    <w:p>
      <w:pPr/>
      <w:r>
        <w:t xml:space="preserve">그래서 전략은 두 단계입니다. 먼저 법률로 시범 도입해 실적을 쌓고, 개헌 논의가 열리면 「국민은 재판에 참여할 권리를 가진다」는 조항으로 헌법적 근거를 분명히 합니다.</w:t>
      </w:r>
    </w:p>
    <w:p>
      <w:pPr>
        <w:pStyle w:val="Heading3"/>
      </w:pPr>
      <w:r>
        <w:t xml:space="preserve">4-2. 두 가지 설계안</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A안 — 핀란드형</w:t>
            </w:r>
          </w:p>
        </w:tc>
        <w:tc>
          <w:tcPr>
            <w:tcW w:w="3120" w:type="dxa"/>
            <w:shd w:val="clear" w:color="auto" w:fill="F2F2F2"/>
          </w:tcPr>
          <w:p>
            <w:pPr/>
            <w:r>
              <w:t xml:space="preserve">B안 — 대형 합의체형</w:t>
            </w:r>
          </w:p>
        </w:tc>
      </w:tr>
      <w:tr>
        <w:tc>
          <w:tcPr>
            <w:tcW w:w="3120" w:type="dxa"/>
          </w:tcPr>
          <w:p>
            <w:pPr/>
            <w:r>
              <w:t xml:space="preserve">근거 문서</w:t>
            </w:r>
          </w:p>
        </w:tc>
        <w:tc>
          <w:tcPr>
            <w:tcW w:w="3120" w:type="dxa"/>
          </w:tcPr>
          <w:p>
            <w:pPr/>
            <w:r>
              <w:t xml:space="preserve">시민사법참여법(사법개혁 4법 중 하나)</w:t>
            </w:r>
          </w:p>
        </w:tc>
        <w:tc>
          <w:tcPr>
            <w:tcW w:w="3120" w:type="dxa"/>
          </w:tcPr>
          <w:p>
            <w:pPr/>
            <w:r>
              <w:t xml:space="preserve">참심제 운용에 관한 법률안(가칭), 8장 36조</w:t>
            </w:r>
          </w:p>
        </w:tc>
      </w:tr>
      <w:tr>
        <w:tc>
          <w:tcPr>
            <w:tcW w:w="3120" w:type="dxa"/>
          </w:tcPr>
          <w:p>
            <w:pPr/>
            <w:r>
              <w:t xml:space="preserve">재판부 구성</w:t>
            </w:r>
          </w:p>
        </w:tc>
        <w:tc>
          <w:tcPr>
            <w:tcW w:w="3120" w:type="dxa"/>
          </w:tcPr>
          <w:p>
            <w:pPr/>
            <w:r>
              <w:t xml:space="preserve">법관 1 + 시민 참심원 3</w:t>
            </w:r>
          </w:p>
        </w:tc>
        <w:tc>
          <w:tcPr>
            <w:tcW w:w="3120" w:type="dxa"/>
          </w:tcPr>
          <w:p>
            <w:pPr/>
            <w:r>
              <w:t xml:space="preserve">법관 3 + 참심법관 6 (9명까지 증원)</w:t>
            </w:r>
          </w:p>
        </w:tc>
      </w:tr>
      <w:tr>
        <w:tc>
          <w:tcPr>
            <w:tcW w:w="3120" w:type="dxa"/>
          </w:tcPr>
          <w:p>
            <w:pPr/>
            <w:r>
              <w:t xml:space="preserve">시민 선발</w:t>
            </w:r>
          </w:p>
        </w:tc>
        <w:tc>
          <w:tcPr>
            <w:tcW w:w="3120" w:type="dxa"/>
          </w:tcPr>
          <w:p>
            <w:pPr/>
            <w:r>
              <w:t xml:space="preserve">지방의회가 선출, 만 25~70세</w:t>
            </w:r>
          </w:p>
        </w:tc>
        <w:tc>
          <w:tcPr>
            <w:tcW w:w="3120" w:type="dxa"/>
          </w:tcPr>
          <w:p>
            <w:pPr/>
            <w:r>
              <w:t xml:space="preserve">무작위 추첨, 만 25세 이상, 정당 추천 배제</w:t>
            </w:r>
          </w:p>
        </w:tc>
      </w:tr>
      <w:tr>
        <w:tc>
          <w:tcPr>
            <w:tcW w:w="3120" w:type="dxa"/>
          </w:tcPr>
          <w:p>
            <w:pPr/>
            <w:r>
              <w:t xml:space="preserve">임기</w:t>
            </w:r>
          </w:p>
        </w:tc>
        <w:tc>
          <w:tcPr>
            <w:tcW w:w="3120" w:type="dxa"/>
          </w:tcPr>
          <w:p>
            <w:pPr/>
            <w:r>
              <w:t xml:space="preserve">임기제</w:t>
            </w:r>
          </w:p>
        </w:tc>
        <w:tc>
          <w:tcPr>
            <w:tcW w:w="3120" w:type="dxa"/>
          </w:tcPr>
          <w:p>
            <w:pPr/>
            <w:r>
              <w:t xml:space="preserve">사건 종결까지</w:t>
            </w:r>
          </w:p>
        </w:tc>
      </w:tr>
      <w:tr>
        <w:tc>
          <w:tcPr>
            <w:tcW w:w="3120" w:type="dxa"/>
          </w:tcPr>
          <w:p>
            <w:pPr/>
            <w:r>
              <w:t xml:space="preserve">적용 사건</w:t>
            </w:r>
          </w:p>
        </w:tc>
        <w:tc>
          <w:tcPr>
            <w:tcW w:w="3120" w:type="dxa"/>
          </w:tcPr>
          <w:p>
            <w:pPr/>
            <w:r>
              <w:t xml:space="preserve">형사 1심 합의부 사건 전체</w:t>
            </w:r>
          </w:p>
        </w:tc>
        <w:tc>
          <w:tcPr>
            <w:tcW w:w="3120" w:type="dxa"/>
          </w:tcPr>
          <w:p>
            <w:pPr/>
            <w:r>
              <w:t xml:space="preserve">형사에서 시작, 가정·회생·행정 등으로 단계 확대</w:t>
            </w:r>
          </w:p>
        </w:tc>
      </w:tr>
      <w:tr>
        <w:tc>
          <w:tcPr>
            <w:tcW w:w="3120" w:type="dxa"/>
          </w:tcPr>
          <w:p>
            <w:pPr/>
            <w:r>
              <w:t xml:space="preserve">함께 가는 제도</w:t>
            </w:r>
          </w:p>
        </w:tc>
        <w:tc>
          <w:tcPr>
            <w:tcW w:w="3120" w:type="dxa"/>
          </w:tcPr>
          <w:p>
            <w:pPr/>
            <w:r>
              <w:t xml:space="preserve">시민기소심사위원회(무작위 시민 11명), 법률감찰관·사법옴부즈만</w:t>
            </w:r>
          </w:p>
        </w:tc>
        <w:tc>
          <w:tcPr>
            <w:tcW w:w="3120" w:type="dxa"/>
          </w:tcPr>
          <w:p>
            <w:pPr/>
            <w:r>
              <w:t xml:space="preserve">참심제 단독 법안</w:t>
            </w:r>
          </w:p>
        </w:tc>
      </w:tr>
      <w:tr>
        <w:tc>
          <w:tcPr>
            <w:tcW w:w="3120" w:type="dxa"/>
          </w:tcPr>
          <w:p>
            <w:pPr/>
            <w:r>
              <w:t xml:space="preserve">추진 경로</w:t>
            </w:r>
          </w:p>
        </w:tc>
        <w:tc>
          <w:tcPr>
            <w:tcW w:w="3120" w:type="dxa"/>
          </w:tcPr>
          <w:p>
            <w:pPr/>
            <w:r>
              <w:t xml:space="preserve">4법 제정 → 5개 지방법원 시범 → 전국 확대·개헌 추진</w:t>
            </w:r>
          </w:p>
        </w:tc>
        <w:tc>
          <w:tcPr>
            <w:tcW w:w="3120" w:type="dxa"/>
          </w:tcPr>
          <w:p>
            <w:pPr/>
            <w:r>
              <w:t xml:space="preserve">공포 후 2년 준비 → 수도권 2~3개 법원 시범 → 3년 뒤 평가 → 확대</w:t>
            </w:r>
          </w:p>
        </w:tc>
      </w:tr>
    </w:tbl>
    <w:p>
      <w:pPr/>
      <w:r>
        <w:t xml:space="preserve">두 안의 차이는 철학의 차이입니다. A안은 지역 공동체가 고른 시민이 경험을 쌓으며 다수가 되는 설계이고, B안은 추첨으로 누구나 뽑히되 법관 3인과 함께 판단하는 설계입니다. 어느 안이든 시민이 재판부의 다수를 이루고 판단에 표를 갖는다는 점은 같습니다.</w:t>
      </w:r>
    </w:p>
    <w:p>
      <w:pPr>
        <w:pStyle w:val="Heading3"/>
      </w:pPr>
      <w:r>
        <w:t xml:space="preserve">4-3. 단계별 추진 경로 (두 안의 공통 골격)</w:t>
      </w:r>
    </w:p>
    <w:p>
      <w:pPr>
        <w:pStyle w:val="ListParagraph"/>
        <w:numPr>
          <w:ilvl w:val="0"/>
          <w:numId w:val="7"/>
        </w:numPr>
      </w:pPr>
      <w:r>
        <w:rPr>
          <w:b/>
        </w:rPr>
        <w:t xml:space="preserve">입법 청원과 법안 발의</w:t>
      </w:r>
      <w:r>
        <w:t xml:space="preserve">: 이 세션의 논의를 바탕으로 한 안을 정리해 원내 정당과 함께 발의합니다.</w:t>
      </w:r>
    </w:p>
    <w:p>
      <w:pPr>
        <w:pStyle w:val="ListParagraph"/>
        <w:numPr>
          <w:ilvl w:val="0"/>
          <w:numId w:val="7"/>
        </w:numPr>
      </w:pPr>
      <w:r>
        <w:rPr>
          <w:b/>
        </w:rPr>
        <w:t xml:space="preserve">준비 기간</w:t>
      </w:r>
      <w:r>
        <w:t xml:space="preserve">: 참심원 명부·교육 과정·법정 시설을 갖춥니다.</w:t>
      </w:r>
    </w:p>
    <w:p>
      <w:pPr>
        <w:pStyle w:val="ListParagraph"/>
        <w:numPr>
          <w:ilvl w:val="0"/>
          <w:numId w:val="7"/>
        </w:numPr>
      </w:pPr>
      <w:r>
        <w:rPr>
          <w:b/>
        </w:rPr>
        <w:t xml:space="preserve">시범 실시</w:t>
      </w:r>
      <w:r>
        <w:t xml:space="preserve">: 몇개 지방법원에서 형사 합의부 사건부터 시작합니다.</w:t>
      </w:r>
    </w:p>
    <w:p>
      <w:pPr>
        <w:pStyle w:val="ListParagraph"/>
        <w:numPr>
          <w:ilvl w:val="0"/>
          <w:numId w:val="7"/>
        </w:numPr>
      </w:pPr>
      <w:r>
        <w:rPr>
          <w:b/>
        </w:rPr>
        <w:t xml:space="preserve">평가와 확대</w:t>
      </w:r>
      <w:r>
        <w:t xml:space="preserve">: 평결·양형·항소율을 공개 평가하고 전국·다른 사건으로 넓힙니다.</w:t>
      </w:r>
    </w:p>
    <w:p>
      <w:pPr>
        <w:pStyle w:val="ListParagraph"/>
        <w:numPr>
          <w:ilvl w:val="0"/>
          <w:numId w:val="7"/>
        </w:numPr>
      </w:pPr>
      <w:r>
        <w:rPr>
          <w:b/>
        </w:rPr>
        <w:t xml:space="preserve">헌법적 근거 마련</w:t>
      </w:r>
      <w:r>
        <w:t xml:space="preserve">: 개헌 논의 때 국민의 사법 참여권을 헌법에 적습니다.</w:t>
      </w:r>
    </w:p>
    <w:p>
      <w:pPr>
        <w:pStyle w:val="Heading2"/>
      </w:pPr>
      <w:r>
        <w:t xml:space="preserve">맺음말 — 토론을 위한 네 가지 질문</w:t>
      </w:r>
    </w:p>
    <w:p>
      <w:pPr/>
      <w:r>
        <w:t xml:space="preserve">사법개혁은 지금까지 법조 안의 권한을 다시 나누는 일이었습니다. 참심제는 권한의 일부를 법조 밖, 주권자에게 돌려주는 개혁입니다. 헌법 제1조 제2항이 사법에서도 작동하게 하는 일입니다.</w:t>
      </w:r>
    </w:p>
    <w:p>
      <w:pPr/>
      <w:r>
        <w:t xml:space="preserve">토론에서 함께 답하고 싶은 질문과 발제자의 입장입니다.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쟁점</w:t>
            </w:r>
          </w:p>
        </w:tc>
        <w:tc>
          <w:tcPr>
            <w:tcW w:w="3120" w:type="dxa"/>
            <w:shd w:val="clear" w:color="auto" w:fill="F2F2F2"/>
          </w:tcPr>
          <w:p>
            <w:pPr/>
            <w:r>
              <w:t xml:space="preserve">핵심 질문</w:t>
            </w:r>
          </w:p>
        </w:tc>
        <w:tc>
          <w:tcPr>
            <w:tcW w:w="3120" w:type="dxa"/>
            <w:shd w:val="clear" w:color="auto" w:fill="F2F2F2"/>
          </w:tcPr>
          <w:p>
            <w:pPr/>
            <w:r>
              <w:t xml:space="preserve">발제자 입장</w:t>
            </w:r>
          </w:p>
        </w:tc>
      </w:tr>
      <w:tr>
        <w:tc>
          <w:tcPr>
            <w:tcW w:w="3120" w:type="dxa"/>
          </w:tcPr>
          <w:p>
            <w:pPr/>
            <w:r>
              <w:t xml:space="preserve">헌법적 근거</w:t>
            </w:r>
          </w:p>
        </w:tc>
        <w:tc>
          <w:tcPr>
            <w:tcW w:w="3120" w:type="dxa"/>
          </w:tcPr>
          <w:p>
            <w:pPr/>
            <w:r>
              <w:t xml:space="preserve">제27조의 「법관」과 시민 참심원을 어떻게 조화시킬까</w:t>
            </w:r>
          </w:p>
        </w:tc>
        <w:tc>
          <w:tcPr>
            <w:tcW w:w="3120" w:type="dxa"/>
          </w:tcPr>
          <w:p>
            <w:pPr/>
            <w:r>
              <w:t xml:space="preserve">제101조 제3항으로 법률 도입을 먼저, 개헌은 근거를 굳히는 단계로</w:t>
            </w:r>
          </w:p>
        </w:tc>
      </w:tr>
      <w:tr>
        <w:tc>
          <w:tcPr>
            <w:tcW w:w="3120" w:type="dxa"/>
          </w:tcPr>
          <w:p>
            <w:pPr/>
            <w:r>
              <w:t xml:space="preserve">참여 범위</w:t>
            </w:r>
          </w:p>
        </w:tc>
        <w:tc>
          <w:tcPr>
            <w:tcW w:w="3120" w:type="dxa"/>
          </w:tcPr>
          <w:p>
            <w:pPr/>
            <w:r>
              <w:t xml:space="preserve">어떤 사건에, 무엇까지 판단하는가</w:t>
            </w:r>
          </w:p>
        </w:tc>
        <w:tc>
          <w:tcPr>
            <w:tcW w:w="3120" w:type="dxa"/>
          </w:tcPr>
          <w:p>
            <w:pPr/>
            <w:r>
              <w:t xml:space="preserve">형사 합의부 사건부터, 사실 인정과 양형 모두</w:t>
            </w:r>
          </w:p>
        </w:tc>
      </w:tr>
      <w:tr>
        <w:tc>
          <w:tcPr>
            <w:tcW w:w="3120" w:type="dxa"/>
          </w:tcPr>
          <w:p>
            <w:pPr/>
            <w:r>
              <w:t xml:space="preserve">시민 참심원 제도</w:t>
            </w:r>
          </w:p>
        </w:tc>
        <w:tc>
          <w:tcPr>
            <w:tcW w:w="3120" w:type="dxa"/>
          </w:tcPr>
          <w:p>
            <w:pPr/>
            <w:r>
              <w:t xml:space="preserve">선발·임기·교육·신분 보장은</w:t>
            </w:r>
          </w:p>
        </w:tc>
        <w:tc>
          <w:tcPr>
            <w:tcW w:w="3120" w:type="dxa"/>
          </w:tcPr>
          <w:p>
            <w:pPr/>
            <w:r>
              <w:t xml:space="preserve">지방의회 선출(A안)과 추첨(B안) 가운데 고를 문제 — 이 자리의 판단을 듣고 싶다</w:t>
            </w:r>
          </w:p>
        </w:tc>
      </w:tr>
      <w:tr>
        <w:tc>
          <w:tcPr>
            <w:tcW w:w="3120" w:type="dxa"/>
          </w:tcPr>
          <w:p>
            <w:pPr/>
            <w:r>
              <w:t xml:space="preserve">추진 전략</w:t>
            </w:r>
          </w:p>
        </w:tc>
        <w:tc>
          <w:tcPr>
            <w:tcW w:w="3120" w:type="dxa"/>
          </w:tcPr>
          <w:p>
            <w:pPr/>
            <w:r>
              <w:t xml:space="preserve">누가 함께, 어떤 일정으로</w:t>
            </w:r>
          </w:p>
        </w:tc>
        <w:tc>
          <w:tcPr>
            <w:tcW w:w="3120" w:type="dxa"/>
          </w:tcPr>
          <w:p>
            <w:pPr/>
            <w:r>
              <w:t xml:space="preserve">이 세션의 결론을 입법 청원과 후속 정책 토론회로 잇는다</w:t>
            </w:r>
          </w:p>
        </w:tc>
      </w:tr>
    </w:tbl>
    <w:p>
      <w:pPr/>
      <w:r>
        <w:t xml:space="preserve">주권자는 판결을 받기만 하는 사람이 아니라, 판결을 함께 내리는 사람이어야 합니다. 오늘의 논의가 그 첫걸음이 되기를 바랍니다.</w:t>
      </w:r>
    </w:p>
    <w:p>
      <w:pPr>
        <w:pStyle w:val="Heading2"/>
      </w:pPr>
      <w:r>
        <w:t xml:space="preserve">참고 자료와 인쇄 전 확인 사항</w:t>
      </w:r>
    </w:p>
    <w:p>
      <w:pPr/>
      <w:r>
        <w:rPr>
          <w:b/>
        </w:rPr>
        <w:t xml:space="preserve">참고 자료</w:t>
      </w:r>
    </w:p>
    <w:p>
      <w:pPr>
        <w:pStyle w:val="ListParagraph"/>
        <w:numPr>
          <w:ilvl w:val="0"/>
          <w:numId w:val="8"/>
        </w:numPr>
      </w:pPr>
      <w:r>
        <w:t xml:space="preserve">대한민국헌법 제1조·제27조·제101조·제103조, 법원조직법 제41조의2 (국가법령정보센터 원문)</w:t>
      </w:r>
    </w:p>
    <w:p>
      <w:pPr>
        <w:pStyle w:val="ListParagraph"/>
        <w:numPr>
          <w:ilvl w:val="0"/>
          <w:numId w:val="8"/>
        </w:numPr>
      </w:pPr>
      <w:r>
        <w:t xml:space="preserve">법원행정처 사법지원실, 「2008년-2011년 국민참여재판 성과 분석」(2012)</w:t>
      </w:r>
    </w:p>
    <w:p>
      <w:pPr>
        <w:pStyle w:val="ListParagraph"/>
        <w:numPr>
          <w:ilvl w:val="0"/>
          <w:numId w:val="8"/>
        </w:numPr>
      </w:pPr>
      <w:r>
        <w:t xml:space="preserve">헌법재판소 2009헌바17 (국민참여재판 평결의 권고적 효력)</w:t>
      </w:r>
    </w:p>
    <w:p>
      <w:pPr>
        <w:pStyle w:val="ListParagraph"/>
        <w:numPr>
          <w:ilvl w:val="0"/>
          <w:numId w:val="8"/>
        </w:numPr>
      </w:pPr>
      <w:r>
        <w:t xml:space="preserve">주권자사법개혁추진준비위원회, 핀란드식 사법개혁 법률안 및 「참심제 운용에 관한 법률안(가칭)」 제안서 (시민법정.kr)</w:t>
      </w:r>
    </w:p>
    <w:p>
      <w:pPr>
        <w:pStyle w:val="ListParagraph"/>
        <w:numPr>
          <w:ilvl w:val="0"/>
          <w:numId w:val="8"/>
        </w:numPr>
      </w:pPr>
      <w:r>
        <w:t xml:space="preserve">시민법정 해외사례 자료 — 독일·스웨덴·핀란드 참심제 문헌 번역본</w:t>
      </w:r>
    </w:p>
    <w:p>
      <w:pPr/>
      <w:r>
        <w:rPr>
          <w:b/>
        </w:rPr>
        <w:t xml:space="preserve">인쇄(10. 13.) 전 확인할 것</w:t>
      </w:r>
    </w:p>
    <w:p>
      <w:pPr>
        <w:pStyle w:val="ListParagraph"/>
        <w:numPr>
          <w:ilvl w:val="0"/>
          <w:numId w:val="9"/>
        </w:numPr>
      </w:pPr>
      <w:r>
        <w:t xml:space="preserve">☐ 국민참여재판 최근 연도 통계 — 본문의 수치는 2008~2011년치다. 「사법연감」으로 최근 신청·실시·배제 건수를 덧붙인다</w:t>
      </w:r>
    </w:p>
    <w:p>
      <w:pPr>
        <w:pStyle w:val="ListParagraph"/>
        <w:numPr>
          <w:ilvl w:val="0"/>
          <w:numId w:val="9"/>
        </w:numPr>
      </w:pPr>
      <w:r>
        <w:t xml:space="preserve">☐ 헌법재판소 2009헌바17 결정 원문과 선고일 대조</w:t>
      </w:r>
    </w:p>
    <w:p>
      <w:pPr>
        <w:pStyle w:val="ListParagraph"/>
        <w:numPr>
          <w:ilvl w:val="0"/>
          <w:numId w:val="9"/>
        </w:numPr>
      </w:pPr>
      <w:r>
        <w:t xml:space="preserve">☐ 이화영 사건 참여재판(2026. 6.) 공소기각 경위 — 판결 요지 또는 보도 원문 대조</w:t>
      </w:r>
    </w:p>
    <w:p>
      <w:pPr>
        <w:pStyle w:val="ListParagraph"/>
        <w:numPr>
          <w:ilvl w:val="0"/>
          <w:numId w:val="9"/>
        </w:numPr>
      </w:pPr>
      <w:r>
        <w:t xml:space="preserve">☐ 해외 사례표 — 핀란드 참심원 수(2명/3명)·독일 선발 방식이 자료마다 다르다. 각국 법령으로 확정한다</w:t>
      </w:r>
    </w:p>
    <w:p>
      <w:pPr>
        <w:pStyle w:val="ListParagraph"/>
        <w:numPr>
          <w:ilvl w:val="0"/>
          <w:numId w:val="9"/>
        </w:numPr>
      </w:pPr>
      <w:r>
        <w:t xml:space="preserve">☐ B안 제25조(평결 정족수) — 「과반수 + 법관·참심법관 각 1명 이상 찬성」과 「3분의 2」이 문서마다 다르다. 발표 전에 문안을 하나로 정한다</w:t>
      </w:r>
    </w:p>
    <w:p>
      <w:pPr>
        <w:pStyle w:val="ListParagraph"/>
        <w:numPr>
          <w:ilvl w:val="0"/>
          <w:numId w:val="9"/>
        </w:numPr>
      </w:pPr>
      <w:r>
        <w:t xml:space="preserve">☐ 위원회 명칭 — 「주권자사법개혁추진준비위원회」로 통일(발제문 본문 반영 완료). 자료집에 함께 실을 제안서의 「(가칭) 추진위원회」 표기도 같이 고친다</w:t>
      </w:r>
    </w:p>
    <w:p>
      <w:pPr>
        <w:pStyle w:val="ListParagraph"/>
        <w:numPr>
          <w:ilvl w:val="0"/>
          <w:numId w:val="9"/>
        </w:numPr>
      </w:pPr>
      <w:r>
        <w:t xml:space="preserve">☐ 발제 25분 분량 점검 — 표는 말로 읽지 않고 화면·자료집으로 보여 준다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2">
    <w:multiLevelType w:val="singleLevel"/>
    <w:lvl w:ilvl="0">
      <w:start w:val="1"/>
      <w:numFmt w:val="decimal"/>
      <w:lvlText w:val="%1."/>
      <w:lvlJc w:val="left"/>
      <w:pPr>
        <w:ind w:left="720" w:hanging="360"/>
      </w:pPr>
    </w:lvl>
  </w:abstractNum>
  <w:abstractNum w:abstractNumId="3">
    <w:multiLevelType w:val="singleLevel"/>
    <w:lvl w:ilvl="0">
      <w:start w:val="1"/>
      <w:numFmt w:val="bullet"/>
      <w:lvlText w:val="•"/>
      <w:lvlJc w:val="left"/>
      <w:pPr>
        <w:ind w:left="720" w:hanging="360"/>
      </w:pPr>
    </w:lvl>
  </w:abstractNum>
  <w:abstractNum w:abstractNumId="4">
    <w:multiLevelType w:val="singleLevel"/>
    <w:lvl w:ilvl="0">
      <w:start w:val="1"/>
      <w:numFmt w:val="decimal"/>
      <w:lvlText w:val="%1."/>
      <w:lvlJc w:val="left"/>
      <w:pPr>
        <w:ind w:left="720" w:hanging="360"/>
      </w:pPr>
    </w:lvl>
  </w:abstractNum>
  <w:abstractNum w:abstractNumId="5">
    <w:multiLevelType w:val="singleLevel"/>
    <w:lvl w:ilvl="0">
      <w:start w:val="1"/>
      <w:numFmt w:val="bullet"/>
      <w:lvlText w:val="•"/>
      <w:lvlJc w:val="left"/>
      <w:pPr>
        <w:ind w:left="720" w:hanging="360"/>
      </w:pPr>
    </w:lvl>
  </w:abstractNum>
  <w:abstractNum w:abstractNumId="6">
    <w:multiLevelType w:val="singleLevel"/>
    <w:lvl w:ilvl="0">
      <w:start w:val="1"/>
      <w:numFmt w:val="bullet"/>
      <w:lvlText w:val="•"/>
      <w:lvlJc w:val="left"/>
      <w:pPr>
        <w:ind w:left="720" w:hanging="360"/>
      </w:pPr>
    </w:lvl>
  </w:abstractNum>
  <w:abstractNum w:abstractNumId="7">
    <w:multiLevelType w:val="singleLevel"/>
    <w:lvl w:ilvl="0">
      <w:start w:val="1"/>
      <w:numFmt w:val="decimal"/>
      <w:lvlText w:val="%1."/>
      <w:lvlJc w:val="left"/>
      <w:pPr>
        <w:ind w:left="720" w:hanging="360"/>
      </w:pPr>
    </w:lvl>
  </w:abstractNum>
  <w:abstractNum w:abstractNumId="8">
    <w:multiLevelType w:val="singleLevel"/>
    <w:lvl w:ilvl="0">
      <w:start w:val="1"/>
      <w:numFmt w:val="bullet"/>
      <w:lvlText w:val="•"/>
      <w:lvlJc w:val="left"/>
      <w:pPr>
        <w:ind w:left="720" w:hanging="360"/>
      </w:pPr>
    </w:lvl>
  </w:abstractNum>
  <w:abstractNum w:abstractNumId="9">
    <w:multiLevelType w:val="singleLevel"/>
    <w:lvl w:ilvl="0">
      <w:start w:val="1"/>
      <w:numFmt w:val="bullet"/>
      <w:lvlText w:val="☐"/>
      <w:lvlJc w:val="left"/>
      <w:pPr>
        <w:ind w:left="720" w:hanging="360"/>
      </w:pPr>
    </w:lvl>
  </w:abstract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참심제와 국민주권 사법</dc:title>
  <dc:description>Claude Docs node/b190568e-8927@9 docx-w6</dc:description>
  <cp:revision>9</cp:revision>
</cp:coreProperties>
</file>