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FLAGSHIP ERA  /  6.9</w:t>
      </w:r>
    </w:p>
    <w:p>
      <w:pPr>
        <w:pStyle w:val="Title"/>
      </w:pPr>
      <w:r>
        <w:t>旗舰元年</w:t>
      </w:r>
    </w:p>
    <w:p>
      <w:pPr>
        <w:pStyle w:val="Title"/>
      </w:pPr>
      <w:r>
        <w:t>完整规则书</w:t>
      </w:r>
    </w:p>
    <w:p>
      <w:pPr>
        <w:pStyle w:val="Subtitle"/>
      </w:pPr>
      <w:r>
        <w:t>五十平台与芯片专长</w:t>
      </w:r>
    </w:p>
    <w:p>
      <w:r>
        <w:br/>
      </w:r>
    </w:p>
    <w:p>
      <w:r>
        <w:rPr>
          <w:sz w:val="40"/>
        </w:rPr>
        <w:t>产品先备好，价格先锁定。</w:t>
        <w:br/>
        <w:t>竞品，发布时才揭晓。</w:t>
      </w:r>
    </w:p>
    <w:p>
      <w:r>
        <w:br/>
      </w:r>
    </w:p>
    <w:p>
      <w:r>
        <w:rPr>
          <w:b/>
        </w:rPr>
        <w:t xml:space="preserve">经营方式  </w:t>
      </w:r>
      <w:r>
        <w:t>统一拿牌、四栏供货、一次造一批；卖掉或取消才结束占用。</w:t>
      </w:r>
    </w:p>
    <w:p>
      <w:r>
        <w:rPr>
          <w:b/>
        </w:rPr>
        <w:t xml:space="preserve">发布时间  </w:t>
      </w:r>
      <w:r>
        <w:t>由玩家共同推进，没有固定轮数或固定销售季。</w:t>
      </w:r>
    </w:p>
    <w:p>
      <w:r>
        <w:rPr>
          <w:b/>
        </w:rPr>
        <w:t xml:space="preserve">读法  </w:t>
      </w:r>
      <w:r>
        <w:t>正文讲怎么做；右栏放例子、实体摆法与关联章节。</w:t>
      </w:r>
    </w:p>
    <w:p>
      <w:r>
        <w:br/>
        <w:t>2—4人  ·  315种设计 / 315张内容牌</w:t>
        <w:br/>
        <w:t>2026年9月23日  ·  测试参数，尚未完成充分多人实测。</w:t>
      </w:r>
    </w:p>
    <w:p>
      <w:r>
        <w:br w:type="page"/>
      </w:r>
    </w:p>
    <w:p>
      <w:pPr>
        <w:pStyle w:val="Heading1"/>
      </w:pPr>
      <w:r>
        <w:t>阅读导航</w:t>
      </w:r>
    </w:p>
    <w:p>
      <w:r>
        <w:t>先看§1—3认识资源和回合。第一次造机查§4—8；科研授权查§9—10；合同查§11；发布查§12—14。卡牌的完整数值另见图鉴。</w:t>
      </w:r>
    </w:p>
    <w:tbl>
      <w:tblPr>
        <w:tblW w:type="auto" w:w="0"/>
        <w:tblLayout w:type="fixed"/>
        <w:tblLook w:firstColumn="1" w:firstRow="1" w:lastColumn="0" w:lastRow="0" w:noHBand="0" w:noVBand="1" w:val="04A0"/>
      </w:tblPr>
      <w:tblGrid>
        <w:gridCol w:w="850"/>
        <w:gridCol w:w="9354"/>
      </w:tblGrid>
      <w:tr>
        <w:tc>
          <w:tcPr>
            <w:tcW w:type="dxa" w:w="850"/>
            <w:vAlign w:val="top"/>
            <w:tcMar>
              <w:top w:w="70" w:type="dxa"/>
              <w:bottom w:w="70" w:type="dxa"/>
              <w:left w:w="80" w:type="dxa"/>
              <w:right w:w="80" w:type="dxa"/>
            </w:tcMar>
          </w:tcPr>
          <w:p>
            <w:pPr>
              <w:spacing w:after="40"/>
            </w:pPr>
            <w:r>
              <w:t>01</w:t>
            </w:r>
          </w:p>
        </w:tc>
        <w:tc>
          <w:tcPr>
            <w:tcW w:type="dxa" w:w="9354"/>
            <w:vAlign w:val="top"/>
            <w:tcMar>
              <w:top w:w="70" w:type="dxa"/>
              <w:bottom w:w="70" w:type="dxa"/>
              <w:left w:w="80" w:type="dxa"/>
              <w:right w:w="80" w:type="dxa"/>
            </w:tcMar>
          </w:tcPr>
          <w:p>
            <w:pPr>
              <w:spacing w:after="40"/>
            </w:pPr>
            <w:r>
              <w:t>一批手机，从组装到卖出</w:t>
            </w:r>
          </w:p>
        </w:tc>
      </w:tr>
      <w:tr>
        <w:tc>
          <w:tcPr>
            <w:tcW w:type="dxa" w:w="850"/>
            <w:vAlign w:val="top"/>
            <w:tcMar>
              <w:top w:w="70" w:type="dxa"/>
              <w:bottom w:w="70" w:type="dxa"/>
              <w:left w:w="80" w:type="dxa"/>
              <w:right w:w="80" w:type="dxa"/>
            </w:tcMar>
          </w:tcPr>
          <w:p>
            <w:pPr>
              <w:spacing w:after="40"/>
            </w:pPr>
            <w:r>
              <w:t>02</w:t>
            </w:r>
          </w:p>
        </w:tc>
        <w:tc>
          <w:tcPr>
            <w:tcW w:type="dxa" w:w="9354"/>
            <w:vAlign w:val="top"/>
            <w:tcMar>
              <w:top w:w="70" w:type="dxa"/>
              <w:bottom w:w="70" w:type="dxa"/>
              <w:left w:w="80" w:type="dxa"/>
              <w:right w:w="80" w:type="dxa"/>
            </w:tcMar>
          </w:tcPr>
          <w:p>
            <w:pPr>
              <w:spacing w:after="40"/>
            </w:pPr>
            <w:r>
              <w:t>开局只摆一个取牌区</w:t>
            </w:r>
          </w:p>
        </w:tc>
      </w:tr>
      <w:tr>
        <w:tc>
          <w:tcPr>
            <w:tcW w:type="dxa" w:w="850"/>
            <w:vAlign w:val="top"/>
            <w:tcMar>
              <w:top w:w="70" w:type="dxa"/>
              <w:bottom w:w="70" w:type="dxa"/>
              <w:left w:w="80" w:type="dxa"/>
              <w:right w:w="80" w:type="dxa"/>
            </w:tcMar>
          </w:tcPr>
          <w:p>
            <w:pPr>
              <w:spacing w:after="40"/>
            </w:pPr>
            <w:r>
              <w:t>03</w:t>
            </w:r>
          </w:p>
        </w:tc>
        <w:tc>
          <w:tcPr>
            <w:tcW w:type="dxa" w:w="9354"/>
            <w:vAlign w:val="top"/>
            <w:tcMar>
              <w:top w:w="70" w:type="dxa"/>
              <w:bottom w:w="70" w:type="dxa"/>
              <w:left w:w="80" w:type="dxa"/>
              <w:right w:w="80" w:type="dxa"/>
            </w:tcMar>
          </w:tcPr>
          <w:p>
            <w:pPr>
              <w:spacing w:after="40"/>
            </w:pPr>
            <w:r>
              <w:t>轮到你：分配3个工作点</w:t>
            </w:r>
          </w:p>
        </w:tc>
      </w:tr>
      <w:tr>
        <w:tc>
          <w:tcPr>
            <w:tcW w:type="dxa" w:w="850"/>
            <w:vAlign w:val="top"/>
            <w:tcMar>
              <w:top w:w="70" w:type="dxa"/>
              <w:bottom w:w="70" w:type="dxa"/>
              <w:left w:w="80" w:type="dxa"/>
              <w:right w:w="80" w:type="dxa"/>
            </w:tcMar>
          </w:tcPr>
          <w:p>
            <w:pPr>
              <w:spacing w:after="40"/>
            </w:pPr>
            <w:r>
              <w:t>04</w:t>
            </w:r>
          </w:p>
        </w:tc>
        <w:tc>
          <w:tcPr>
            <w:tcW w:type="dxa" w:w="9354"/>
            <w:vAlign w:val="top"/>
            <w:tcMar>
              <w:top w:w="70" w:type="dxa"/>
              <w:bottom w:w="70" w:type="dxa"/>
              <w:left w:w="80" w:type="dxa"/>
              <w:right w:w="80" w:type="dxa"/>
            </w:tcMar>
          </w:tcPr>
          <w:p>
            <w:pPr>
              <w:spacing w:after="40"/>
            </w:pPr>
            <w:r>
              <w:t>一个主牌堆，五代卡都能拿</w:t>
            </w:r>
          </w:p>
        </w:tc>
      </w:tr>
      <w:tr>
        <w:tc>
          <w:tcPr>
            <w:tcW w:type="dxa" w:w="850"/>
            <w:vAlign w:val="top"/>
            <w:tcMar>
              <w:top w:w="70" w:type="dxa"/>
              <w:bottom w:w="70" w:type="dxa"/>
              <w:left w:w="80" w:type="dxa"/>
              <w:right w:w="80" w:type="dxa"/>
            </w:tcMar>
          </w:tcPr>
          <w:p>
            <w:pPr>
              <w:spacing w:after="40"/>
            </w:pPr>
            <w:r>
              <w:t>05</w:t>
            </w:r>
          </w:p>
        </w:tc>
        <w:tc>
          <w:tcPr>
            <w:tcW w:type="dxa" w:w="9354"/>
            <w:vAlign w:val="top"/>
            <w:tcMar>
              <w:top w:w="70" w:type="dxa"/>
              <w:bottom w:w="70" w:type="dxa"/>
              <w:left w:w="80" w:type="dxa"/>
              <w:right w:w="80" w:type="dxa"/>
            </w:tcMar>
          </w:tcPr>
          <w:p>
            <w:pPr>
              <w:spacing w:after="40"/>
            </w:pPr>
            <w:r>
              <w:t>供应商关系：用业务建立技术网络</w:t>
            </w:r>
          </w:p>
        </w:tc>
      </w:tr>
      <w:tr>
        <w:tc>
          <w:tcPr>
            <w:tcW w:type="dxa" w:w="850"/>
            <w:vAlign w:val="top"/>
            <w:tcMar>
              <w:top w:w="70" w:type="dxa"/>
              <w:bottom w:w="70" w:type="dxa"/>
              <w:left w:w="80" w:type="dxa"/>
              <w:right w:w="80" w:type="dxa"/>
            </w:tcMar>
          </w:tcPr>
          <w:p>
            <w:pPr>
              <w:spacing w:after="40"/>
            </w:pPr>
            <w:r>
              <w:t>06</w:t>
            </w:r>
          </w:p>
        </w:tc>
        <w:tc>
          <w:tcPr>
            <w:tcW w:type="dxa" w:w="9354"/>
            <w:vAlign w:val="top"/>
            <w:tcMar>
              <w:top w:w="70" w:type="dxa"/>
              <w:bottom w:w="70" w:type="dxa"/>
              <w:left w:w="80" w:type="dxa"/>
              <w:right w:w="80" w:type="dxa"/>
            </w:tcMar>
          </w:tcPr>
          <w:p>
            <w:pPr>
              <w:spacing w:after="40"/>
            </w:pPr>
            <w:r>
              <w:t>稳定库四栏：实体不动，产品用代替卡</w:t>
            </w:r>
          </w:p>
        </w:tc>
      </w:tr>
      <w:tr>
        <w:tc>
          <w:tcPr>
            <w:tcW w:type="dxa" w:w="850"/>
            <w:vAlign w:val="top"/>
            <w:tcMar>
              <w:top w:w="70" w:type="dxa"/>
              <w:bottom w:w="70" w:type="dxa"/>
              <w:left w:w="80" w:type="dxa"/>
              <w:right w:w="80" w:type="dxa"/>
            </w:tcMar>
          </w:tcPr>
          <w:p>
            <w:pPr>
              <w:spacing w:after="40"/>
            </w:pPr>
            <w:r>
              <w:t>07</w:t>
            </w:r>
          </w:p>
        </w:tc>
        <w:tc>
          <w:tcPr>
            <w:tcW w:type="dxa" w:w="9354"/>
            <w:vAlign w:val="top"/>
            <w:tcMar>
              <w:top w:w="70" w:type="dxa"/>
              <w:bottom w:w="70" w:type="dxa"/>
              <w:left w:w="80" w:type="dxa"/>
              <w:right w:w="80" w:type="dxa"/>
            </w:tcMar>
          </w:tcPr>
          <w:p>
            <w:pPr>
              <w:spacing w:after="40"/>
            </w:pPr>
            <w:r>
              <w:t>一次组装，直接做出一批</w:t>
            </w:r>
          </w:p>
        </w:tc>
      </w:tr>
      <w:tr>
        <w:tc>
          <w:tcPr>
            <w:tcW w:type="dxa" w:w="850"/>
            <w:vAlign w:val="top"/>
            <w:tcMar>
              <w:top w:w="70" w:type="dxa"/>
              <w:bottom w:w="70" w:type="dxa"/>
              <w:left w:w="80" w:type="dxa"/>
              <w:right w:w="80" w:type="dxa"/>
            </w:tcMar>
          </w:tcPr>
          <w:p>
            <w:pPr>
              <w:spacing w:after="40"/>
            </w:pPr>
            <w:r>
              <w:t>08</w:t>
            </w:r>
          </w:p>
        </w:tc>
        <w:tc>
          <w:tcPr>
            <w:tcW w:type="dxa" w:w="9354"/>
            <w:vAlign w:val="top"/>
            <w:tcMar>
              <w:top w:w="70" w:type="dxa"/>
              <w:bottom w:w="70" w:type="dxa"/>
              <w:left w:w="80" w:type="dxa"/>
              <w:right w:w="80" w:type="dxa"/>
            </w:tcMar>
          </w:tcPr>
          <w:p>
            <w:pPr>
              <w:spacing w:after="40"/>
            </w:pPr>
            <w:r>
              <w:t>取消、改款与跨场等待</w:t>
            </w:r>
          </w:p>
        </w:tc>
      </w:tr>
      <w:tr>
        <w:tc>
          <w:tcPr>
            <w:tcW w:type="dxa" w:w="850"/>
            <w:vAlign w:val="top"/>
            <w:tcMar>
              <w:top w:w="70" w:type="dxa"/>
              <w:bottom w:w="70" w:type="dxa"/>
              <w:left w:w="80" w:type="dxa"/>
              <w:right w:w="80" w:type="dxa"/>
            </w:tcMar>
          </w:tcPr>
          <w:p>
            <w:pPr>
              <w:spacing w:after="40"/>
            </w:pPr>
            <w:r>
              <w:t>09</w:t>
            </w:r>
          </w:p>
        </w:tc>
        <w:tc>
          <w:tcPr>
            <w:tcW w:type="dxa" w:w="9354"/>
            <w:vAlign w:val="top"/>
            <w:tcMar>
              <w:top w:w="70" w:type="dxa"/>
              <w:bottom w:w="70" w:type="dxa"/>
              <w:left w:w="80" w:type="dxa"/>
              <w:right w:w="80" w:type="dxa"/>
            </w:tcMar>
          </w:tcPr>
          <w:p>
            <w:pPr>
              <w:spacing w:after="40"/>
            </w:pPr>
            <w:r>
              <w:t>研发与证据：不记录产品历史</w:t>
            </w:r>
          </w:p>
        </w:tc>
      </w:tr>
      <w:tr>
        <w:tc>
          <w:tcPr>
            <w:tcW w:type="dxa" w:w="850"/>
            <w:vAlign w:val="top"/>
            <w:tcMar>
              <w:top w:w="70" w:type="dxa"/>
              <w:bottom w:w="70" w:type="dxa"/>
              <w:left w:w="80" w:type="dxa"/>
              <w:right w:w="80" w:type="dxa"/>
            </w:tcMar>
          </w:tcPr>
          <w:p>
            <w:pPr>
              <w:spacing w:after="40"/>
            </w:pPr>
            <w:r>
              <w:t>10</w:t>
            </w:r>
          </w:p>
        </w:tc>
        <w:tc>
          <w:tcPr>
            <w:tcW w:type="dxa" w:w="9354"/>
            <w:vAlign w:val="top"/>
            <w:tcMar>
              <w:top w:w="70" w:type="dxa"/>
              <w:bottom w:w="70" w:type="dxa"/>
              <w:left w:w="80" w:type="dxa"/>
              <w:right w:w="80" w:type="dxa"/>
            </w:tcMar>
          </w:tcPr>
          <w:p>
            <w:pPr>
              <w:spacing w:after="40"/>
            </w:pPr>
            <w:r>
              <w:t>公开技术：署名与每批使用权</w:t>
            </w:r>
          </w:p>
        </w:tc>
      </w:tr>
      <w:tr>
        <w:tc>
          <w:tcPr>
            <w:tcW w:type="dxa" w:w="850"/>
            <w:vAlign w:val="top"/>
            <w:tcMar>
              <w:top w:w="70" w:type="dxa"/>
              <w:bottom w:w="70" w:type="dxa"/>
              <w:left w:w="80" w:type="dxa"/>
              <w:right w:w="80" w:type="dxa"/>
            </w:tcMar>
          </w:tcPr>
          <w:p>
            <w:pPr>
              <w:spacing w:after="40"/>
            </w:pPr>
            <w:r>
              <w:t>11</w:t>
            </w:r>
          </w:p>
        </w:tc>
        <w:tc>
          <w:tcPr>
            <w:tcW w:type="dxa" w:w="9354"/>
            <w:vAlign w:val="top"/>
            <w:tcMar>
              <w:top w:w="70" w:type="dxa"/>
              <w:bottom w:w="70" w:type="dxa"/>
              <w:left w:w="80" w:type="dxa"/>
              <w:right w:w="80" w:type="dxa"/>
            </w:tcMar>
          </w:tcPr>
          <w:p>
            <w:pPr>
              <w:spacing w:after="40"/>
            </w:pPr>
            <w:r>
              <w:t>合同与设施围绕实际批次工作</w:t>
            </w:r>
          </w:p>
        </w:tc>
      </w:tr>
      <w:tr>
        <w:tc>
          <w:tcPr>
            <w:tcW w:type="dxa" w:w="850"/>
            <w:vAlign w:val="top"/>
            <w:tcMar>
              <w:top w:w="70" w:type="dxa"/>
              <w:bottom w:w="70" w:type="dxa"/>
              <w:left w:w="80" w:type="dxa"/>
              <w:right w:w="80" w:type="dxa"/>
            </w:tcMar>
          </w:tcPr>
          <w:p>
            <w:pPr>
              <w:spacing w:after="40"/>
            </w:pPr>
            <w:r>
              <w:t>12</w:t>
            </w:r>
          </w:p>
        </w:tc>
        <w:tc>
          <w:tcPr>
            <w:tcW w:type="dxa" w:w="9354"/>
            <w:vAlign w:val="top"/>
            <w:tcMar>
              <w:top w:w="70" w:type="dxa"/>
              <w:bottom w:w="70" w:type="dxa"/>
              <w:left w:w="80" w:type="dxa"/>
              <w:right w:w="80" w:type="dxa"/>
            </w:tcMar>
          </w:tcPr>
          <w:p>
            <w:pPr>
              <w:spacing w:after="40"/>
            </w:pPr>
            <w:r>
              <w:t>锁好价格和去向，再抽竞品</w:t>
            </w:r>
          </w:p>
        </w:tc>
      </w:tr>
      <w:tr>
        <w:tc>
          <w:tcPr>
            <w:tcW w:type="dxa" w:w="850"/>
            <w:vAlign w:val="top"/>
            <w:tcMar>
              <w:top w:w="70" w:type="dxa"/>
              <w:bottom w:w="70" w:type="dxa"/>
              <w:left w:w="80" w:type="dxa"/>
              <w:right w:w="80" w:type="dxa"/>
            </w:tcMar>
          </w:tcPr>
          <w:p>
            <w:pPr>
              <w:spacing w:after="40"/>
            </w:pPr>
            <w:r>
              <w:t>13</w:t>
            </w:r>
          </w:p>
        </w:tc>
        <w:tc>
          <w:tcPr>
            <w:tcW w:type="dxa" w:w="9354"/>
            <w:vAlign w:val="top"/>
            <w:tcMar>
              <w:top w:w="70" w:type="dxa"/>
              <w:bottom w:w="70" w:type="dxa"/>
              <w:left w:w="80" w:type="dxa"/>
              <w:right w:w="80" w:type="dxa"/>
            </w:tcMar>
          </w:tcPr>
          <w:p>
            <w:pPr>
              <w:spacing w:after="40"/>
            </w:pPr>
            <w:r>
              <w:t>先扩产争单，再确认成交与挑战</w:t>
            </w:r>
          </w:p>
        </w:tc>
      </w:tr>
      <w:tr>
        <w:tc>
          <w:tcPr>
            <w:tcW w:type="dxa" w:w="850"/>
            <w:vAlign w:val="top"/>
            <w:tcMar>
              <w:top w:w="70" w:type="dxa"/>
              <w:bottom w:w="70" w:type="dxa"/>
              <w:left w:w="80" w:type="dxa"/>
              <w:right w:w="80" w:type="dxa"/>
            </w:tcMar>
          </w:tcPr>
          <w:p>
            <w:pPr>
              <w:spacing w:after="40"/>
            </w:pPr>
            <w:r>
              <w:t>14</w:t>
            </w:r>
          </w:p>
        </w:tc>
        <w:tc>
          <w:tcPr>
            <w:tcW w:type="dxa" w:w="9354"/>
            <w:vAlign w:val="top"/>
            <w:tcMar>
              <w:top w:w="70" w:type="dxa"/>
              <w:bottom w:w="70" w:type="dxa"/>
              <w:left w:w="80" w:type="dxa"/>
              <w:right w:w="80" w:type="dxa"/>
            </w:tcMar>
          </w:tcPr>
          <w:p>
            <w:pPr>
              <w:spacing w:after="40"/>
            </w:pPr>
            <w:r>
              <w:t>发布完整顺序与整理</w:t>
            </w:r>
          </w:p>
        </w:tc>
      </w:tr>
      <w:tr>
        <w:tc>
          <w:tcPr>
            <w:tcW w:type="dxa" w:w="850"/>
            <w:vAlign w:val="top"/>
            <w:tcMar>
              <w:top w:w="70" w:type="dxa"/>
              <w:bottom w:w="70" w:type="dxa"/>
              <w:left w:w="80" w:type="dxa"/>
              <w:right w:w="80" w:type="dxa"/>
            </w:tcMar>
          </w:tcPr>
          <w:p>
            <w:pPr>
              <w:spacing w:after="40"/>
            </w:pPr>
            <w:r>
              <w:t>15</w:t>
            </w:r>
          </w:p>
        </w:tc>
        <w:tc>
          <w:tcPr>
            <w:tcW w:type="dxa" w:w="9354"/>
            <w:vAlign w:val="top"/>
            <w:tcMar>
              <w:top w:w="70" w:type="dxa"/>
              <w:bottom w:w="70" w:type="dxa"/>
              <w:left w:w="80" w:type="dxa"/>
              <w:right w:w="80" w:type="dxa"/>
            </w:tcMar>
          </w:tcPr>
          <w:p>
            <w:pPr>
              <w:spacing w:after="40"/>
            </w:pPr>
            <w:r>
              <w:t>最后阶段、速查与测试边界</w:t>
            </w:r>
          </w:p>
        </w:tc>
      </w:tr>
    </w:tbl>
    <w:p>
      <w:pPr>
        <w:pStyle w:val="Heading2"/>
      </w:pPr>
      <w:r>
        <w:t>正文与侧栏的分工</w:t>
      </w:r>
    </w:p>
    <w:p>
      <w:r>
        <w:t>必须执行的条件、费用和时点都在左侧正文。右侧的例子只帮助理解，不新增隐藏规则。章节编号在Word、PDF和HTML中一致。</w:t>
      </w:r>
    </w:p>
    <w:p>
      <w:pPr>
        <w:pStyle w:val="Heading2"/>
      </w:pPr>
      <w:r>
        <w:t>四个容易混淆的词</w:t>
      </w:r>
    </w:p>
    <w:p>
      <w:r>
        <w:t>产品位＝一批现货；稳定库＝共享供货。本人回合＝这次3个工作点；准备期＝两次实际发布之间。</w:t>
      </w:r>
    </w:p>
    <w:p>
      <w:r>
        <w:br w:type="page"/>
      </w:r>
    </w:p>
    <w:p>
      <w:pPr>
        <w:pStyle w:val="Heading1"/>
      </w:pPr>
      <w:r>
        <w:t>01  一批手机，从组装到卖出</w:t>
      </w:r>
    </w:p>
    <w:p>
      <w:pPr>
        <w:keepNext/>
      </w:pPr>
      <w:r>
        <w:t>用统一牌市取得配件、研发、合同、设施与方案。把一组完整配置做成一批现货，先付款，再等待玩家共同推动的发布会。</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1.1 产品位里放的，就是一批货</w:t>
            </w:r>
          </w:p>
          <w:p>
            <w:pPr>
              <w:keepNext w:val="0"/>
              <w:widowControl/>
            </w:pPr>
            <w:r>
              <w:t>普通产品位代表一批已经付费、尚未成交的现货。组装一次产一批，相同配置再造通常也要另花工作、付款并占另一个位。所有产品都可以争零售订单。</w:t>
            </w:r>
          </w:p>
          <w:p>
            <w:pPr>
              <w:keepNext w:val="0"/>
              <w:widowControl/>
            </w:pPr>
            <w:r>
              <w:t>一批只投一个零售市场、一张合同或留库。未成交的原配置可以跨场等待，也可在本人工作阶段取消；没有新旧代龄、自动减分或强制退市。</w:t>
            </w:r>
          </w:p>
          <w:p>
            <w:pPr>
              <w:keepNext w:val="0"/>
              <w:widowControl/>
            </w:pPr>
            <w:r/>
            <w:r>
              <w:rPr>
                <w:b/>
              </w:rPr>
              <w:t>发布扩产是唯一例外：初步获单的原产品可追加一批同配置，不占新位。每公司每场最多一次，须现款付款且追加批能获单；原批和扩产批当场卖完，不留下扩产库存。</w:t>
            </w:r>
            <w:r>
              <w:t xml:space="preserve"> 详见§13。</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产品位③有一组配置，通常就是1批。声明扩产后放「＋1」，本场共卖2批，但仍只有这一组卡，不产生第二产品位。</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1.2 钱、收入和科技，分别拿</w:t>
            </w:r>
          </w:p>
          <w:p>
            <w:pPr>
              <w:keepNext w:val="0"/>
              <w:widowControl/>
            </w:pPr>
            <w:r>
              <w:t>现金用于入库、组装、研发、授权与经营；收入是实际成交等商业成果；科技是本人研究与验证成果。三者不能随意互换。</w:t>
            </w:r>
          </w:p>
          <w:p>
            <w:pPr>
              <w:keepNext w:val="0"/>
              <w:widowControl/>
            </w:pPr>
            <w:r>
              <w:t>收入达到60，或科技达到30，任意一项即可触发最后阶段。先完整结算当前玩家回合，再让所有玩家各做一个回合，最后共同发布。</w:t>
            </w:r>
          </w:p>
          <w:p>
            <w:pPr>
              <w:keepNext w:val="0"/>
              <w:widowControl/>
            </w:pPr>
            <w:r>
              <w:t>最终成绩比较收入与科技×2，取较大的数；同分比较另一项，再比现金，仍同则并列。没有秘密终局目标。见§15。</w:t>
            </w:r>
          </w:p>
          <w:p>
            <w:pPr>
              <w:keepNext w:val="0"/>
              <w:widowControl/>
            </w:pPr>
            <w:r/>
            <w:r>
              <w:rPr>
                <w:b/>
              </w:rPr>
              <w:t>支付授权费只是现金转账</w:t>
            </w:r>
            <w:r>
              <w:t>，不让使用者领取科研科技，也不自动使研发者增加收入。</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卖出28价一批：拿28现金，再前进2收入。拿钱不是移动收入；研发得科技也不是拿钱。</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1.3 发布时间由玩家决定</w:t>
            </w:r>
          </w:p>
          <w:p>
            <w:pPr>
              <w:keepNext w:val="0"/>
              <w:widowControl/>
            </w:pPr>
            <w:r>
              <w:t>每次轮到你，有3个工作点。你选择工作顺序；其中可以花1点预热，自选推进发布轨1—3格，每本人回合至多一次。</w:t>
            </w:r>
          </w:p>
          <w:p>
            <w:pPr>
              <w:keepNext w:val="0"/>
              <w:widowControl/>
            </w:pPr>
            <w:r>
              <w:t>发布轨到终点，当前玩家做完剩余工作后立即共同发布。没有固定轮数，也不在全桌轮过一遍后自动结算。</w:t>
            </w:r>
          </w:p>
          <w:p>
            <w:pPr>
              <w:keepNext w:val="0"/>
              <w:widowControl/>
            </w:pPr>
            <w:r>
              <w:t>“两次发布之间”叫准备期，卡牌上的每期／每周期都指它。合同期限只按实际发布减少。</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工作点每个本人回合恢复；合同期限每场发布减少。未售产品不会随其中任何时钟老化。</w:t>
            </w:r>
          </w:p>
        </w:tc>
      </w:tr>
    </w:tbl>
    <w:p>
      <w:pPr>
        <w:spacing w:after="60" w:before="0" w:line="40" w:lineRule="exact"/>
      </w:pPr>
      <w:r>
        <w:rPr>
          <w:sz w:val="4"/>
        </w:rPr>
        <w:t xml:space="preserve"> </w:t>
      </w:r>
    </w:p>
    <w:p>
      <w:pPr>
        <w:pStyle w:val="Heading1"/>
      </w:pPr>
      <w:r>
        <w:t>02  开局只摆一个取牌区</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2.1 三种牌堆，不是多个商店</w:t>
            </w:r>
          </w:p>
          <w:tbl>
            <w:tblPr>
              <w:tblW w:type="auto" w:w="0"/>
              <w:tblLayout w:type="fixed"/>
              <w:tblLook w:firstColumn="1" w:firstRow="1" w:lastColumn="0" w:lastRow="0" w:noHBand="0" w:noVBand="1" w:val="04A0"/>
            </w:tblPr>
            <w:tblGrid>
              <w:gridCol w:w="2006"/>
              <w:gridCol w:w="4911"/>
            </w:tblGrid>
            <w:tr>
              <w:trPr>
                <w:cantSplit/>
                <w:tblHeader/>
              </w:trPr>
              <w:tc>
                <w:tcPr>
                  <w:tcW w:type="dxa" w:w="2006"/>
                  <w:vAlign w:val="top"/>
                  <w:tcMar>
                    <w:top w:w="70" w:type="dxa"/>
                    <w:bottom w:w="70" w:type="dxa"/>
                    <w:left w:w="80" w:type="dxa"/>
                    <w:right w:w="80" w:type="dxa"/>
                  </w:tcMar>
                  <w:shd w:fill="E1EFF0"/>
                </w:tcPr>
                <w:p>
                  <w:pPr>
                    <w:spacing w:after="40" w:before="0" w:line="264" w:lineRule="auto"/>
                  </w:pPr>
                  <w:r>
                    <w:rPr>
                      <w:b/>
                      <w:sz w:val="18"/>
                    </w:rPr>
                    <w:t>区域</w:t>
                  </w:r>
                </w:p>
              </w:tc>
              <w:tc>
                <w:tcPr>
                  <w:tcW w:type="dxa" w:w="4911"/>
                  <w:vAlign w:val="top"/>
                  <w:tcMar>
                    <w:top w:w="70" w:type="dxa"/>
                    <w:bottom w:w="70" w:type="dxa"/>
                    <w:left w:w="80" w:type="dxa"/>
                    <w:right w:w="80" w:type="dxa"/>
                  </w:tcMar>
                  <w:shd w:fill="E1EFF0"/>
                </w:tcPr>
                <w:p>
                  <w:pPr>
                    <w:spacing w:after="40" w:before="0" w:line="264" w:lineRule="auto"/>
                  </w:pPr>
                  <w:r>
                    <w:rPr>
                      <w:b/>
                      <w:sz w:val="18"/>
                    </w:rPr>
                    <w:t>组成与用法</w:t>
                  </w:r>
                </w:p>
              </w:tc>
            </w:tr>
            <w:tr>
              <w:trPr>
                <w:cantSplit/>
              </w:trPr>
              <w:tc>
                <w:tcPr>
                  <w:tcW w:type="dxa" w:w="2006"/>
                  <w:vAlign w:val="top"/>
                  <w:tcMar>
                    <w:top w:w="70" w:type="dxa"/>
                    <w:bottom w:w="70" w:type="dxa"/>
                    <w:left w:w="80" w:type="dxa"/>
                    <w:right w:w="80" w:type="dxa"/>
                  </w:tcMar>
                  <w:shd w:fill="FFFFFF"/>
                </w:tcPr>
                <w:p>
                  <w:pPr>
                    <w:spacing w:after="40" w:before="0" w:line="264" w:lineRule="auto"/>
                  </w:pPr>
                  <w:r>
                    <w:rPr>
                      <w:b w:val="0"/>
                      <w:sz w:val="18"/>
                    </w:rPr>
                    <w:t>主牌堆</w:t>
                  </w:r>
                </w:p>
              </w:tc>
              <w:tc>
                <w:tcPr>
                  <w:tcW w:type="dxa" w:w="4911"/>
                  <w:vAlign w:val="top"/>
                  <w:tcMar>
                    <w:top w:w="70" w:type="dxa"/>
                    <w:bottom w:w="70" w:type="dxa"/>
                    <w:left w:w="80" w:type="dxa"/>
                    <w:right w:w="80" w:type="dxa"/>
                  </w:tcMar>
                  <w:shd w:fill="FFFFFF"/>
                </w:tcPr>
                <w:p>
                  <w:pPr>
                    <w:spacing w:after="40" w:before="0" w:line="264" w:lineRule="auto"/>
                  </w:pPr>
                  <w:r>
                    <w:rPr>
                      <w:b w:val="0"/>
                      <w:sz w:val="18"/>
                    </w:rPr>
                    <w:t>稳定80＋定制64＋研发41＋合同30＋设施18＋方案24＝257张。五代配件开局全部混入，公开8张牌市。</w:t>
                  </w:r>
                </w:p>
              </w:tc>
            </w:tr>
            <w:tr>
              <w:trPr>
                <w:cantSplit/>
              </w:trPr>
              <w:tc>
                <w:tcPr>
                  <w:tcW w:type="dxa" w:w="2006"/>
                  <w:vAlign w:val="top"/>
                  <w:tcMar>
                    <w:top w:w="70" w:type="dxa"/>
                    <w:bottom w:w="70" w:type="dxa"/>
                    <w:left w:w="80" w:type="dxa"/>
                    <w:right w:w="80" w:type="dxa"/>
                  </w:tcMar>
                  <w:shd w:fill="F3F7F8"/>
                </w:tcPr>
                <w:p>
                  <w:pPr>
                    <w:spacing w:after="40" w:before="0" w:line="264" w:lineRule="auto"/>
                  </w:pPr>
                  <w:r>
                    <w:rPr>
                      <w:b w:val="0"/>
                      <w:sz w:val="18"/>
                    </w:rPr>
                    <w:t>参考机</w:t>
                  </w:r>
                </w:p>
              </w:tc>
              <w:tc>
                <w:tcPr>
                  <w:tcW w:type="dxa" w:w="4911"/>
                  <w:vAlign w:val="top"/>
                  <w:tcMar>
                    <w:top w:w="70" w:type="dxa"/>
                    <w:bottom w:w="70" w:type="dxa"/>
                    <w:left w:w="80" w:type="dxa"/>
                    <w:right w:w="80" w:type="dxa"/>
                  </w:tcMar>
                  <w:shd w:fill="F3F7F8"/>
                </w:tcPr>
                <w:p>
                  <w:pPr>
                    <w:spacing w:after="40" w:before="0" w:line="264" w:lineRule="auto"/>
                  </w:pPr>
                  <w:r>
                    <w:rPr>
                      <w:b w:val="0"/>
                      <w:sz w:val="18"/>
                    </w:rPr>
                    <w:t>30张V，五代各6张，按代收纳；发布锁定后现抽，不出售。</w:t>
                  </w:r>
                </w:p>
              </w:tc>
            </w:tr>
            <w:tr>
              <w:trPr>
                <w:cantSplit/>
              </w:trPr>
              <w:tc>
                <w:tcPr>
                  <w:tcW w:type="dxa" w:w="2006"/>
                  <w:vAlign w:val="top"/>
                  <w:tcMar>
                    <w:top w:w="70" w:type="dxa"/>
                    <w:bottom w:w="70" w:type="dxa"/>
                    <w:left w:w="80" w:type="dxa"/>
                    <w:right w:w="80" w:type="dxa"/>
                  </w:tcMar>
                  <w:shd w:fill="FFFFFF"/>
                </w:tcPr>
                <w:p>
                  <w:pPr>
                    <w:spacing w:after="40" w:before="0" w:line="264" w:lineRule="auto"/>
                  </w:pPr>
                  <w:r>
                    <w:rPr>
                      <w:b w:val="0"/>
                      <w:sz w:val="18"/>
                    </w:rPr>
                    <w:t>需求</w:t>
                  </w:r>
                </w:p>
              </w:tc>
              <w:tc>
                <w:tcPr>
                  <w:tcW w:type="dxa" w:w="4911"/>
                  <w:vAlign w:val="top"/>
                  <w:tcMar>
                    <w:top w:w="70" w:type="dxa"/>
                    <w:bottom w:w="70" w:type="dxa"/>
                    <w:left w:w="80" w:type="dxa"/>
                    <w:right w:w="80" w:type="dxa"/>
                  </w:tcMar>
                  <w:shd w:fill="FFFFFF"/>
                </w:tcPr>
                <w:p>
                  <w:pPr>
                    <w:spacing w:after="40" w:before="0" w:line="264" w:lineRule="auto"/>
                  </w:pPr>
                  <w:r>
                    <w:rPr>
                      <w:b w:val="0"/>
                      <w:sz w:val="18"/>
                    </w:rPr>
                    <w:t>12张N，每场只公开1张，不进入手牌。</w:t>
                  </w:r>
                </w:p>
              </w:tc>
            </w:tr>
            <w:tr>
              <w:trPr>
                <w:cantSplit/>
              </w:trPr>
              <w:tc>
                <w:tcPr>
                  <w:tcW w:type="dxa" w:w="2006"/>
                  <w:vAlign w:val="top"/>
                  <w:tcMar>
                    <w:top w:w="70" w:type="dxa"/>
                    <w:bottom w:w="70" w:type="dxa"/>
                    <w:left w:w="80" w:type="dxa"/>
                    <w:right w:w="80" w:type="dxa"/>
                  </w:tcMar>
                  <w:shd w:fill="F3F7F8"/>
                </w:tcPr>
                <w:p>
                  <w:pPr>
                    <w:spacing w:after="40" w:before="0" w:line="264" w:lineRule="auto"/>
                  </w:pPr>
                  <w:r>
                    <w:rPr>
                      <w:b w:val="0"/>
                      <w:sz w:val="18"/>
                    </w:rPr>
                    <w:t>初始通用配件</w:t>
                  </w:r>
                </w:p>
              </w:tc>
              <w:tc>
                <w:tcPr>
                  <w:tcW w:type="dxa" w:w="4911"/>
                  <w:vAlign w:val="top"/>
                  <w:tcMar>
                    <w:top w:w="70" w:type="dxa"/>
                    <w:bottom w:w="70" w:type="dxa"/>
                    <w:left w:w="80" w:type="dxa"/>
                    <w:right w:w="80" w:type="dxa"/>
                  </w:tcMar>
                  <w:shd w:fill="F3F7F8"/>
                </w:tcPr>
                <w:p>
                  <w:pPr>
                    <w:spacing w:after="40" w:before="0" w:line="264" w:lineRule="auto"/>
                  </w:pPr>
                  <w:r>
                    <w:rPr>
                      <w:b w:val="0"/>
                      <w:sz w:val="18"/>
                    </w:rPr>
                    <w:t>16张S：每人芯片、屏幕、影像、机身各1张；另发，不混主牌。</w:t>
                  </w:r>
                </w:p>
              </w:tc>
            </w:tr>
          </w:tbl>
          <w:p>
            <w:pPr>
              <w:widowControl/>
            </w:pPr>
          </w:p>
          <w:p>
            <w:pPr>
              <w:keepNext w:val="0"/>
              <w:widowControl/>
            </w:pPr>
            <w:r>
              <w:t>全套315种设计、315张实体内容牌，每种各1张。主牌的144张配件全部不同，不再按旧版×2准备副本。参考机和需求只有功能牌堆，没有额外购买区。</w:t>
            </w:r>
          </w:p>
          <w:p>
            <w:pPr>
              <w:keepNext w:val="0"/>
              <w:widowControl/>
            </w:pPr>
            <w:r>
              <w:t>扩产是功能标记，不增加随机内容牌：全桌4枚公司状态片、4枚组旁＋1片、16枚原批队列片及16枚公司/产品编号扩产片；实际每人只用自己的4种编号之一。</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主牌257张不增加。各代稳定16张、定制14／12／12／12／14张。分布用于制卡，不要求每次牌市强制凑齐。</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2.2 摆公共区和玩家区</w:t>
            </w:r>
          </w:p>
          <w:p>
            <w:pPr>
              <w:keepNext w:val="0"/>
              <w:widowControl/>
            </w:pPr>
            <w:r>
              <w:t>随机决定先手，顺时针回合。主牌洗混翻8张，旁放主弃牌与移出区。N01日常换机为首场需求，其余11张洗好。供应与本场参考世代都置I。</w:t>
            </w:r>
          </w:p>
          <w:p>
            <w:pPr>
              <w:keepNext w:val="0"/>
              <w:widowControl/>
            </w:pPr>
            <w:r>
              <w:t>发布轨从0开始：2人终点12、3人16、4人20。每人120现金、收入0、科技0；4个产品位、2个在研槽、1个合同槽、3格设施空间。主牌抽8留5，手牌上限8。相关设施按卡面例外。</w:t>
            </w:r>
          </w:p>
          <w:p>
            <w:pPr>
              <w:keepNext w:val="0"/>
              <w:widowControl/>
            </w:pPr>
            <w:r>
              <w:t>A/B/C/D分别对应M01/M02/M03/M04，</w:t>
            </w:r>
            <w:r>
              <w:rPr>
                <w:b/>
              </w:rPr>
              <w:t>玩家编号不等于五厂颜色</w:t>
            </w:r>
            <w:r>
              <w:t>。每人领相应四张初始通用芯片、屏幕、影像、机身，免费入本人四栏库；初始中立，不建立供应商关系。没有免费产品。</w:t>
            </w:r>
          </w:p>
          <w:p>
            <w:pPr>
              <w:keepNext w:val="0"/>
              <w:widowControl/>
            </w:pPr>
            <w:r>
              <w:t>每人五厂关系都从普通客户开始，核心厂为空。摆出五厂公共技术区，开局没有技术；这里不是商店，不抽牌也不刷新。</w:t>
            </w:r>
          </w:p>
          <w:p>
            <w:pPr>
              <w:keepNext w:val="0"/>
              <w:widowControl/>
            </w:pPr>
            <w:r>
              <w:t>每人扩产状态放「可用」。本场已经使用的状态直到普通发布整理后才复位，不能每换一个市场就重置。</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A公司用M01初始套组，但A不是红厂。两家公司可以都与红厂合作，也可以选择同一个核心厂。</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2.3 看得到什么，不用记什么</w:t>
            </w:r>
          </w:p>
          <w:p>
            <w:pPr>
              <w:keepNext w:val="0"/>
              <w:widowControl/>
            </w:pPr>
            <w:r>
              <w:t>公开现金、双成绩、工作点、四栏稳定库、关系与核心厂、在研模式/进度、完成技术、联合技术署名、执行合同、产品位占用、需求与世代。供应商公开技术始终可查全文。</w:t>
            </w:r>
          </w:p>
          <w:p>
            <w:pPr>
              <w:keepNext w:val="0"/>
              <w:widowControl/>
            </w:pPr>
            <w:r>
              <w:t>手牌、尚未揭晓产品的配置、价格及投放仍保密。指派片准备期背面仅显示公司字母；它正在用哪项技术公开，指向哪个产品位保密。曾揭晓但未售的产品与指派保持公开。</w:t>
            </w:r>
          </w:p>
          <w:p>
            <w:pPr>
              <w:keepNext w:val="0"/>
              <w:widowControl/>
            </w:pPr>
            <w:r>
              <w:t>每人另领16张稳定代替卡、12枚双面技术指派片、35枚圆形署名片、5枚关系片、1枚核心片及3枚联合在研片。没有券、授权证书副本或欠费账本。</w:t>
            </w:r>
          </w:p>
          <w:p>
            <w:pPr>
              <w:keepNext w:val="0"/>
              <w:widowControl/>
            </w:pPr>
            <w:r>
              <w:t>不记录年龄、历史价格/成本、授权次数或销量总账；配置、署名与指派片就是当前状态。</w:t>
            </w:r>
          </w:p>
          <w:p>
            <w:pPr>
              <w:keepNext w:val="0"/>
              <w:widowControl/>
            </w:pPr>
            <w:r>
              <w:t>扩产声明、临时分单、现金支付与＋1标记均公开。扩产前的临时订单不算已售；所有产品卡留到最终证据和奖励核验完成。</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圆形A片＝永久作者。长方A·③片＝A的3号产品在用。作者片不因出售而收回；使用片随产品结束收回。</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2.4 每人的四张初始实体</w:t>
            </w:r>
          </w:p>
          <w:tbl>
            <w:tblPr>
              <w:tblW w:type="auto" w:w="0"/>
              <w:tblLayout w:type="fixed"/>
              <w:tblLook w:firstColumn="1" w:firstRow="1" w:lastColumn="0" w:lastRow="0" w:noHBand="0" w:noVBand="1" w:val="04A0"/>
            </w:tblPr>
            <w:tblGrid>
              <w:gridCol w:w="2006"/>
              <w:gridCol w:w="4911"/>
            </w:tblGrid>
            <w:tr>
              <w:trPr>
                <w:cantSplit/>
                <w:tblHeader/>
              </w:trPr>
              <w:tc>
                <w:tcPr>
                  <w:tcW w:type="dxa" w:w="2006"/>
                  <w:vAlign w:val="top"/>
                  <w:tcMar>
                    <w:top w:w="70" w:type="dxa"/>
                    <w:bottom w:w="70" w:type="dxa"/>
                    <w:left w:w="80" w:type="dxa"/>
                    <w:right w:w="80" w:type="dxa"/>
                  </w:tcMar>
                  <w:shd w:fill="E1EFF0"/>
                </w:tcPr>
                <w:p>
                  <w:pPr>
                    <w:spacing w:after="40" w:before="0" w:line="264" w:lineRule="auto"/>
                  </w:pPr>
                  <w:r>
                    <w:rPr>
                      <w:b/>
                      <w:sz w:val="18"/>
                    </w:rPr>
                    <w:t>套装</w:t>
                  </w:r>
                </w:p>
              </w:tc>
              <w:tc>
                <w:tcPr>
                  <w:tcW w:type="dxa" w:w="4911"/>
                  <w:vAlign w:val="top"/>
                  <w:tcMar>
                    <w:top w:w="70" w:type="dxa"/>
                    <w:bottom w:w="70" w:type="dxa"/>
                    <w:left w:w="80" w:type="dxa"/>
                    <w:right w:w="80" w:type="dxa"/>
                  </w:tcMar>
                  <w:shd w:fill="E1EFF0"/>
                </w:tcPr>
                <w:p>
                  <w:pPr>
                    <w:spacing w:after="40" w:before="0" w:line="264" w:lineRule="auto"/>
                  </w:pPr>
                  <w:r>
                    <w:rPr>
                      <w:b/>
                      <w:sz w:val="18"/>
                    </w:rPr>
                    <w:t>初始通用配件编号</w:t>
                  </w:r>
                </w:p>
              </w:tc>
            </w:tr>
            <w:tr>
              <w:trPr>
                <w:cantSplit/>
              </w:trPr>
              <w:tc>
                <w:tcPr>
                  <w:tcW w:type="dxa" w:w="2006"/>
                  <w:vAlign w:val="top"/>
                  <w:tcMar>
                    <w:top w:w="70" w:type="dxa"/>
                    <w:bottom w:w="70" w:type="dxa"/>
                    <w:left w:w="80" w:type="dxa"/>
                    <w:right w:w="80" w:type="dxa"/>
                  </w:tcMar>
                  <w:shd w:fill="FFFFFF"/>
                </w:tcPr>
                <w:p>
                  <w:pPr>
                    <w:spacing w:after="40" w:before="0" w:line="264" w:lineRule="auto"/>
                  </w:pPr>
                  <w:r>
                    <w:rPr>
                      <w:b w:val="0"/>
                      <w:sz w:val="18"/>
                    </w:rPr>
                    <w:t>M01</w:t>
                  </w:r>
                </w:p>
              </w:tc>
              <w:tc>
                <w:tcPr>
                  <w:tcW w:type="dxa" w:w="4911"/>
                  <w:vAlign w:val="top"/>
                  <w:tcMar>
                    <w:top w:w="70" w:type="dxa"/>
                    <w:bottom w:w="70" w:type="dxa"/>
                    <w:left w:w="80" w:type="dxa"/>
                    <w:right w:w="80" w:type="dxa"/>
                  </w:tcMar>
                  <w:shd w:fill="FFFFFF"/>
                </w:tcPr>
                <w:p>
                  <w:pPr>
                    <w:spacing w:after="40" w:before="0" w:line="264" w:lineRule="auto"/>
                  </w:pPr>
                  <w:r>
                    <w:rPr>
                      <w:b w:val="0"/>
                      <w:sz w:val="18"/>
                    </w:rPr>
                    <w:t>S011芯片、S012屏幕、S013影像、S014机身</w:t>
                  </w:r>
                </w:p>
              </w:tc>
            </w:tr>
            <w:tr>
              <w:trPr>
                <w:cantSplit/>
              </w:trPr>
              <w:tc>
                <w:tcPr>
                  <w:tcW w:type="dxa" w:w="2006"/>
                  <w:vAlign w:val="top"/>
                  <w:tcMar>
                    <w:top w:w="70" w:type="dxa"/>
                    <w:bottom w:w="70" w:type="dxa"/>
                    <w:left w:w="80" w:type="dxa"/>
                    <w:right w:w="80" w:type="dxa"/>
                  </w:tcMar>
                  <w:shd w:fill="F3F7F8"/>
                </w:tcPr>
                <w:p>
                  <w:pPr>
                    <w:spacing w:after="40" w:before="0" w:line="264" w:lineRule="auto"/>
                  </w:pPr>
                  <w:r>
                    <w:rPr>
                      <w:b w:val="0"/>
                      <w:sz w:val="18"/>
                    </w:rPr>
                    <w:t>M02</w:t>
                  </w:r>
                </w:p>
              </w:tc>
              <w:tc>
                <w:tcPr>
                  <w:tcW w:type="dxa" w:w="4911"/>
                  <w:vAlign w:val="top"/>
                  <w:tcMar>
                    <w:top w:w="70" w:type="dxa"/>
                    <w:bottom w:w="70" w:type="dxa"/>
                    <w:left w:w="80" w:type="dxa"/>
                    <w:right w:w="80" w:type="dxa"/>
                  </w:tcMar>
                  <w:shd w:fill="F3F7F8"/>
                </w:tcPr>
                <w:p>
                  <w:pPr>
                    <w:spacing w:after="40" w:before="0" w:line="264" w:lineRule="auto"/>
                  </w:pPr>
                  <w:r>
                    <w:rPr>
                      <w:b w:val="0"/>
                      <w:sz w:val="18"/>
                    </w:rPr>
                    <w:t>S021芯片、S022屏幕、S023影像、S024机身</w:t>
                  </w:r>
                </w:p>
              </w:tc>
            </w:tr>
            <w:tr>
              <w:trPr>
                <w:cantSplit/>
              </w:trPr>
              <w:tc>
                <w:tcPr>
                  <w:tcW w:type="dxa" w:w="2006"/>
                  <w:vAlign w:val="top"/>
                  <w:tcMar>
                    <w:top w:w="70" w:type="dxa"/>
                    <w:bottom w:w="70" w:type="dxa"/>
                    <w:left w:w="80" w:type="dxa"/>
                    <w:right w:w="80" w:type="dxa"/>
                  </w:tcMar>
                  <w:shd w:fill="FFFFFF"/>
                </w:tcPr>
                <w:p>
                  <w:pPr>
                    <w:spacing w:after="40" w:before="0" w:line="264" w:lineRule="auto"/>
                  </w:pPr>
                  <w:r>
                    <w:rPr>
                      <w:b w:val="0"/>
                      <w:sz w:val="18"/>
                    </w:rPr>
                    <w:t>M03</w:t>
                  </w:r>
                </w:p>
              </w:tc>
              <w:tc>
                <w:tcPr>
                  <w:tcW w:type="dxa" w:w="4911"/>
                  <w:vAlign w:val="top"/>
                  <w:tcMar>
                    <w:top w:w="70" w:type="dxa"/>
                    <w:bottom w:w="70" w:type="dxa"/>
                    <w:left w:w="80" w:type="dxa"/>
                    <w:right w:w="80" w:type="dxa"/>
                  </w:tcMar>
                  <w:shd w:fill="FFFFFF"/>
                </w:tcPr>
                <w:p>
                  <w:pPr>
                    <w:spacing w:after="40" w:before="0" w:line="264" w:lineRule="auto"/>
                  </w:pPr>
                  <w:r>
                    <w:rPr>
                      <w:b w:val="0"/>
                      <w:sz w:val="18"/>
                    </w:rPr>
                    <w:t>S031芯片、S032屏幕、S033影像、S034机身</w:t>
                  </w:r>
                </w:p>
              </w:tc>
            </w:tr>
            <w:tr>
              <w:trPr>
                <w:cantSplit/>
              </w:trPr>
              <w:tc>
                <w:tcPr>
                  <w:tcW w:type="dxa" w:w="2006"/>
                  <w:vAlign w:val="top"/>
                  <w:tcMar>
                    <w:top w:w="70" w:type="dxa"/>
                    <w:bottom w:w="70" w:type="dxa"/>
                    <w:left w:w="80" w:type="dxa"/>
                    <w:right w:w="80" w:type="dxa"/>
                  </w:tcMar>
                  <w:shd w:fill="F3F7F8"/>
                </w:tcPr>
                <w:p>
                  <w:pPr>
                    <w:spacing w:after="40" w:before="0" w:line="264" w:lineRule="auto"/>
                  </w:pPr>
                  <w:r>
                    <w:rPr>
                      <w:b w:val="0"/>
                      <w:sz w:val="18"/>
                    </w:rPr>
                    <w:t>M04</w:t>
                  </w:r>
                </w:p>
              </w:tc>
              <w:tc>
                <w:tcPr>
                  <w:tcW w:type="dxa" w:w="4911"/>
                  <w:vAlign w:val="top"/>
                  <w:tcMar>
                    <w:top w:w="70" w:type="dxa"/>
                    <w:bottom w:w="70" w:type="dxa"/>
                    <w:left w:w="80" w:type="dxa"/>
                    <w:right w:w="80" w:type="dxa"/>
                  </w:tcMar>
                  <w:shd w:fill="F3F7F8"/>
                </w:tcPr>
                <w:p>
                  <w:pPr>
                    <w:spacing w:after="40" w:before="0" w:line="264" w:lineRule="auto"/>
                  </w:pPr>
                  <w:r>
                    <w:rPr>
                      <w:b w:val="0"/>
                      <w:sz w:val="18"/>
                    </w:rPr>
                    <w:t>S041芯片、S042屏幕、S043影像、S044机身</w:t>
                  </w:r>
                </w:p>
              </w:tc>
            </w:tr>
          </w:tbl>
          <w:p>
            <w:pPr>
              <w:widowControl/>
            </w:pPr>
          </w:p>
          <w:p>
            <w:pPr>
              <w:keepNext w:val="0"/>
              <w:widowControl/>
            </w:pPr>
            <w:r>
              <w:t>每套各四张真实供货卡，整套每批制造费合计5，组装费8另付。两人／三人局只用对应两套／三套，其他初始牌留盒内，不进主牌。</w:t>
            </w:r>
          </w:p>
          <w:p>
            <w:pPr>
              <w:keepNext w:val="0"/>
              <w:widowControl/>
            </w:pPr>
            <w:r>
              <w:t>初始牌也会被代替卡引用和锁定。被新稳定件替换后移出本局，不把初始牌洗进市场。</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请打印独立《初始通用配件正反面》。一套文件是全桌16张，不是每人再领16张实体。初始卡数值仍各有区别。</w:t>
            </w:r>
          </w:p>
        </w:tc>
      </w:tr>
    </w:tbl>
    <w:p>
      <w:pPr>
        <w:spacing w:after="60" w:before="0" w:line="40" w:lineRule="exact"/>
      </w:pPr>
      <w:r>
        <w:rPr>
          <w:sz w:val="4"/>
        </w:rPr>
        <w:t xml:space="preserve"> </w:t>
      </w:r>
    </w:p>
    <w:p>
      <w:pPr>
        <w:pStyle w:val="Heading1"/>
      </w:pPr>
      <w:r>
        <w:t>03  轮到你：分配3个工作点</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3.1 工作速查</w:t>
            </w:r>
          </w:p>
          <w:tbl>
            <w:tblPr>
              <w:tblW w:type="auto" w:w="0"/>
              <w:tblLayout w:type="fixed"/>
              <w:tblLook w:firstColumn="1" w:firstRow="1" w:lastColumn="0" w:lastRow="0" w:noHBand="0" w:noVBand="1" w:val="04A0"/>
            </w:tblPr>
            <w:tblGrid>
              <w:gridCol w:w="2075"/>
              <w:gridCol w:w="1176"/>
              <w:gridCol w:w="3666"/>
            </w:tblGrid>
            <w:tr>
              <w:trPr>
                <w:cantSplit/>
                <w:tblHeader/>
              </w:trPr>
              <w:tc>
                <w:tcPr>
                  <w:tcW w:type="dxa" w:w="2075"/>
                  <w:vAlign w:val="top"/>
                  <w:tcMar>
                    <w:top w:w="70" w:type="dxa"/>
                    <w:bottom w:w="70" w:type="dxa"/>
                    <w:left w:w="80" w:type="dxa"/>
                    <w:right w:w="80" w:type="dxa"/>
                  </w:tcMar>
                  <w:shd w:fill="E1EFF0"/>
                </w:tcPr>
                <w:p>
                  <w:pPr>
                    <w:spacing w:after="40" w:before="0" w:line="264" w:lineRule="auto"/>
                  </w:pPr>
                  <w:r>
                    <w:rPr>
                      <w:b/>
                      <w:sz w:val="18"/>
                    </w:rPr>
                    <w:t>工作</w:t>
                  </w:r>
                </w:p>
              </w:tc>
              <w:tc>
                <w:tcPr>
                  <w:tcW w:type="dxa" w:w="1176"/>
                  <w:vAlign w:val="top"/>
                  <w:tcMar>
                    <w:top w:w="70" w:type="dxa"/>
                    <w:bottom w:w="70" w:type="dxa"/>
                    <w:left w:w="80" w:type="dxa"/>
                    <w:right w:w="80" w:type="dxa"/>
                  </w:tcMar>
                  <w:shd w:fill="E1EFF0"/>
                </w:tcPr>
                <w:p>
                  <w:pPr>
                    <w:spacing w:after="40" w:before="0" w:line="264" w:lineRule="auto"/>
                  </w:pPr>
                  <w:r>
                    <w:rPr>
                      <w:b/>
                      <w:sz w:val="18"/>
                    </w:rPr>
                    <w:t>点数</w:t>
                  </w:r>
                </w:p>
              </w:tc>
              <w:tc>
                <w:tcPr>
                  <w:tcW w:type="dxa" w:w="3666"/>
                  <w:vAlign w:val="top"/>
                  <w:tcMar>
                    <w:top w:w="70" w:type="dxa"/>
                    <w:bottom w:w="70" w:type="dxa"/>
                    <w:left w:w="80" w:type="dxa"/>
                    <w:right w:w="80" w:type="dxa"/>
                  </w:tcMar>
                  <w:shd w:fill="E1EFF0"/>
                </w:tcPr>
                <w:p>
                  <w:pPr>
                    <w:spacing w:after="40" w:before="0" w:line="264" w:lineRule="auto"/>
                  </w:pPr>
                  <w:r>
                    <w:rPr>
                      <w:b/>
                      <w:sz w:val="18"/>
                    </w:rPr>
                    <w:t>当场处理</w:t>
                  </w:r>
                </w:p>
              </w:tc>
            </w:tr>
            <w:tr>
              <w:trPr>
                <w:cantSplit/>
              </w:trPr>
              <w:tc>
                <w:tcPr>
                  <w:tcW w:type="dxa" w:w="2075"/>
                  <w:vAlign w:val="top"/>
                  <w:tcMar>
                    <w:top w:w="70" w:type="dxa"/>
                    <w:bottom w:w="70" w:type="dxa"/>
                    <w:left w:w="80" w:type="dxa"/>
                    <w:right w:w="80" w:type="dxa"/>
                  </w:tcMar>
                  <w:shd w:fill="FFFFFF"/>
                </w:tcPr>
                <w:p>
                  <w:pPr>
                    <w:spacing w:after="40" w:before="0" w:line="264" w:lineRule="auto"/>
                  </w:pPr>
                  <w:r>
                    <w:rPr>
                      <w:b w:val="0"/>
                      <w:sz w:val="18"/>
                    </w:rPr>
                    <w:t>取牌</w:t>
                  </w:r>
                </w:p>
              </w:tc>
              <w:tc>
                <w:tcPr>
                  <w:tcW w:type="dxa" w:w="1176"/>
                  <w:vAlign w:val="top"/>
                  <w:tcMar>
                    <w:top w:w="70" w:type="dxa"/>
                    <w:bottom w:w="70" w:type="dxa"/>
                    <w:left w:w="80" w:type="dxa"/>
                    <w:right w:w="80" w:type="dxa"/>
                  </w:tcMar>
                  <w:shd w:fill="FFFFFF"/>
                </w:tcPr>
                <w:p>
                  <w:pPr>
                    <w:spacing w:after="40" w:before="0" w:line="264" w:lineRule="auto"/>
                  </w:pPr>
                  <w:r>
                    <w:rPr>
                      <w:b w:val="0"/>
                      <w:sz w:val="18"/>
                    </w:rPr>
                    <w:t>1</w:t>
                  </w:r>
                </w:p>
              </w:tc>
              <w:tc>
                <w:tcPr>
                  <w:tcW w:type="dxa" w:w="3666"/>
                  <w:vAlign w:val="top"/>
                  <w:tcMar>
                    <w:top w:w="70" w:type="dxa"/>
                    <w:bottom w:w="70" w:type="dxa"/>
                    <w:left w:w="80" w:type="dxa"/>
                    <w:right w:w="80" w:type="dxa"/>
                  </w:tcMar>
                  <w:shd w:fill="FFFFFF"/>
                </w:tcPr>
                <w:p>
                  <w:pPr>
                    <w:spacing w:after="40" w:before="0" w:line="264" w:lineRule="auto"/>
                  </w:pPr>
                  <w:r>
                    <w:rPr>
                      <w:b w:val="0"/>
                      <w:sz w:val="18"/>
                    </w:rPr>
                    <w:t>取至多2张主牌，选完一次补牌。</w:t>
                  </w:r>
                </w:p>
              </w:tc>
            </w:tr>
            <w:tr>
              <w:trPr>
                <w:cantSplit/>
              </w:trPr>
              <w:tc>
                <w:tcPr>
                  <w:tcW w:type="dxa" w:w="2075"/>
                  <w:vAlign w:val="top"/>
                  <w:tcMar>
                    <w:top w:w="70" w:type="dxa"/>
                    <w:bottom w:w="70" w:type="dxa"/>
                    <w:left w:w="80" w:type="dxa"/>
                    <w:right w:w="80" w:type="dxa"/>
                  </w:tcMar>
                  <w:shd w:fill="F3F7F8"/>
                </w:tcPr>
                <w:p>
                  <w:pPr>
                    <w:spacing w:after="40" w:before="0" w:line="264" w:lineRule="auto"/>
                  </w:pPr>
                  <w:r>
                    <w:rPr>
                      <w:b w:val="0"/>
                      <w:sz w:val="18"/>
                    </w:rPr>
                    <w:t>安装稳定件</w:t>
                  </w:r>
                </w:p>
              </w:tc>
              <w:tc>
                <w:tcPr>
                  <w:tcW w:type="dxa" w:w="1176"/>
                  <w:vAlign w:val="top"/>
                  <w:tcMar>
                    <w:top w:w="70" w:type="dxa"/>
                    <w:bottom w:w="70" w:type="dxa"/>
                    <w:left w:w="80" w:type="dxa"/>
                    <w:right w:w="80" w:type="dxa"/>
                  </w:tcMar>
                  <w:shd w:fill="F3F7F8"/>
                </w:tcPr>
                <w:p>
                  <w:pPr>
                    <w:spacing w:after="40" w:before="0" w:line="264" w:lineRule="auto"/>
                  </w:pPr>
                  <w:r>
                    <w:rPr>
                      <w:b w:val="0"/>
                      <w:sz w:val="18"/>
                    </w:rPr>
                    <w:t>1</w:t>
                  </w:r>
                </w:p>
              </w:tc>
              <w:tc>
                <w:tcPr>
                  <w:tcW w:type="dxa" w:w="3666"/>
                  <w:vAlign w:val="top"/>
                  <w:tcMar>
                    <w:top w:w="70" w:type="dxa"/>
                    <w:bottom w:w="70" w:type="dxa"/>
                    <w:left w:w="80" w:type="dxa"/>
                    <w:right w:w="80" w:type="dxa"/>
                  </w:tcMar>
                  <w:shd w:fill="F3F7F8"/>
                </w:tcPr>
                <w:p>
                  <w:pPr>
                    <w:spacing w:after="40" w:before="0" w:line="264" w:lineRule="auto"/>
                  </w:pPr>
                  <w:r>
                    <w:rPr>
                      <w:b w:val="0"/>
                      <w:sz w:val="18"/>
                    </w:rPr>
                    <w:t>手中1张入库，按关系读卡价，无引用才可换。</w:t>
                  </w:r>
                </w:p>
              </w:tc>
            </w:tr>
            <w:tr>
              <w:trPr>
                <w:cantSplit/>
              </w:trPr>
              <w:tc>
                <w:tcPr>
                  <w:tcW w:type="dxa" w:w="2075"/>
                  <w:vAlign w:val="top"/>
                  <w:tcMar>
                    <w:top w:w="70" w:type="dxa"/>
                    <w:bottom w:w="70" w:type="dxa"/>
                    <w:left w:w="80" w:type="dxa"/>
                    <w:right w:w="80" w:type="dxa"/>
                  </w:tcMar>
                  <w:shd w:fill="FFFFFF"/>
                </w:tcPr>
                <w:p>
                  <w:pPr>
                    <w:spacing w:after="40" w:before="0" w:line="264" w:lineRule="auto"/>
                  </w:pPr>
                  <w:r>
                    <w:rPr>
                      <w:b w:val="0"/>
                      <w:sz w:val="18"/>
                    </w:rPr>
                    <w:t>建立/切换核心合作</w:t>
                  </w:r>
                </w:p>
              </w:tc>
              <w:tc>
                <w:tcPr>
                  <w:tcW w:type="dxa" w:w="1176"/>
                  <w:vAlign w:val="top"/>
                  <w:tcMar>
                    <w:top w:w="70" w:type="dxa"/>
                    <w:bottom w:w="70" w:type="dxa"/>
                    <w:left w:w="80" w:type="dxa"/>
                    <w:right w:w="80" w:type="dxa"/>
                  </w:tcMar>
                  <w:shd w:fill="FFFFFF"/>
                </w:tcPr>
                <w:p>
                  <w:pPr>
                    <w:spacing w:after="40" w:before="0" w:line="264" w:lineRule="auto"/>
                  </w:pPr>
                  <w:r>
                    <w:rPr>
                      <w:b w:val="0"/>
                      <w:sz w:val="18"/>
                    </w:rPr>
                    <w:t>1</w:t>
                  </w:r>
                </w:p>
              </w:tc>
              <w:tc>
                <w:tcPr>
                  <w:tcW w:type="dxa" w:w="3666"/>
                  <w:vAlign w:val="top"/>
                  <w:tcMar>
                    <w:top w:w="70" w:type="dxa"/>
                    <w:bottom w:w="70" w:type="dxa"/>
                    <w:left w:w="80" w:type="dxa"/>
                    <w:right w:w="80" w:type="dxa"/>
                  </w:tcMar>
                  <w:shd w:fill="FFFFFF"/>
                </w:tcPr>
                <w:p>
                  <w:pPr>
                    <w:spacing w:after="40" w:before="0" w:line="264" w:lineRule="auto"/>
                  </w:pPr>
                  <w:r>
                    <w:rPr>
                      <w:b w:val="0"/>
                      <w:sz w:val="18"/>
                    </w:rPr>
                    <w:t>已是本厂伙伴，付12现金，且无未结束联合项目。</w:t>
                  </w:r>
                </w:p>
              </w:tc>
            </w:tr>
            <w:tr>
              <w:trPr>
                <w:cantSplit/>
              </w:trPr>
              <w:tc>
                <w:tcPr>
                  <w:tcW w:type="dxa" w:w="2075"/>
                  <w:vAlign w:val="top"/>
                  <w:tcMar>
                    <w:top w:w="70" w:type="dxa"/>
                    <w:bottom w:w="70" w:type="dxa"/>
                    <w:left w:w="80" w:type="dxa"/>
                    <w:right w:w="80" w:type="dxa"/>
                  </w:tcMar>
                  <w:shd w:fill="F3F7F8"/>
                </w:tcPr>
                <w:p>
                  <w:pPr>
                    <w:spacing w:after="40" w:before="0" w:line="264" w:lineRule="auto"/>
                  </w:pPr>
                  <w:r>
                    <w:rPr>
                      <w:b w:val="0"/>
                      <w:sz w:val="18"/>
                    </w:rPr>
                    <w:t>推进研发</w:t>
                  </w:r>
                </w:p>
              </w:tc>
              <w:tc>
                <w:tcPr>
                  <w:tcW w:type="dxa" w:w="1176"/>
                  <w:vAlign w:val="top"/>
                  <w:tcMar>
                    <w:top w:w="70" w:type="dxa"/>
                    <w:bottom w:w="70" w:type="dxa"/>
                    <w:left w:w="80" w:type="dxa"/>
                    <w:right w:w="80" w:type="dxa"/>
                  </w:tcMar>
                  <w:shd w:fill="F3F7F8"/>
                </w:tcPr>
                <w:p>
                  <w:pPr>
                    <w:spacing w:after="40" w:before="0" w:line="264" w:lineRule="auto"/>
                  </w:pPr>
                  <w:r>
                    <w:rPr>
                      <w:b w:val="0"/>
                      <w:sz w:val="18"/>
                    </w:rPr>
                    <w:t>1</w:t>
                  </w:r>
                </w:p>
              </w:tc>
              <w:tc>
                <w:tcPr>
                  <w:tcW w:type="dxa" w:w="3666"/>
                  <w:vAlign w:val="top"/>
                  <w:tcMar>
                    <w:top w:w="70" w:type="dxa"/>
                    <w:bottom w:w="70" w:type="dxa"/>
                    <w:left w:w="80" w:type="dxa"/>
                    <w:right w:w="80" w:type="dxa"/>
                  </w:tcMar>
                  <w:shd w:fill="F3F7F8"/>
                </w:tcPr>
                <w:p>
                  <w:pPr>
                    <w:spacing w:after="40" w:before="0" w:line="264" w:lineRule="auto"/>
                  </w:pPr>
                  <w:r>
                    <w:rPr>
                      <w:b w:val="0"/>
                      <w:sz w:val="18"/>
                    </w:rPr>
                    <w:t>立项并推进1，或推进/复核已有项目。</w:t>
                  </w:r>
                </w:p>
              </w:tc>
            </w:tr>
            <w:tr>
              <w:trPr>
                <w:cantSplit/>
              </w:trPr>
              <w:tc>
                <w:tcPr>
                  <w:tcW w:type="dxa" w:w="2075"/>
                  <w:vAlign w:val="top"/>
                  <w:tcMar>
                    <w:top w:w="70" w:type="dxa"/>
                    <w:bottom w:w="70" w:type="dxa"/>
                    <w:left w:w="80" w:type="dxa"/>
                    <w:right w:w="80" w:type="dxa"/>
                  </w:tcMar>
                  <w:shd w:fill="FFFFFF"/>
                </w:tcPr>
                <w:p>
                  <w:pPr>
                    <w:spacing w:after="40" w:before="0" w:line="264" w:lineRule="auto"/>
                  </w:pPr>
                  <w:r>
                    <w:rPr>
                      <w:b w:val="0"/>
                      <w:sz w:val="18"/>
                    </w:rPr>
                    <w:t>组装</w:t>
                  </w:r>
                </w:p>
              </w:tc>
              <w:tc>
                <w:tcPr>
                  <w:tcW w:type="dxa" w:w="1176"/>
                  <w:vAlign w:val="top"/>
                  <w:tcMar>
                    <w:top w:w="70" w:type="dxa"/>
                    <w:bottom w:w="70" w:type="dxa"/>
                    <w:left w:w="80" w:type="dxa"/>
                    <w:right w:w="80" w:type="dxa"/>
                  </w:tcMar>
                  <w:shd w:fill="FFFFFF"/>
                </w:tcPr>
                <w:p>
                  <w:pPr>
                    <w:spacing w:after="40" w:before="0" w:line="264" w:lineRule="auto"/>
                  </w:pPr>
                  <w:r>
                    <w:rPr>
                      <w:b w:val="0"/>
                      <w:sz w:val="18"/>
                    </w:rPr>
                    <w:t>1</w:t>
                  </w:r>
                </w:p>
              </w:tc>
              <w:tc>
                <w:tcPr>
                  <w:tcW w:type="dxa" w:w="3666"/>
                  <w:vAlign w:val="top"/>
                  <w:tcMar>
                    <w:top w:w="70" w:type="dxa"/>
                    <w:bottom w:w="70" w:type="dxa"/>
                    <w:left w:w="80" w:type="dxa"/>
                    <w:right w:w="80" w:type="dxa"/>
                  </w:tcMar>
                  <w:shd w:fill="FFFFFF"/>
                </w:tcPr>
                <w:p>
                  <w:pPr>
                    <w:spacing w:after="40" w:before="0" w:line="264" w:lineRule="auto"/>
                  </w:pPr>
                  <w:r>
                    <w:rPr>
                      <w:b w:val="0"/>
                      <w:sz w:val="18"/>
                    </w:rPr>
                    <w:t>1批，先备足制造费和全部授权费，再付款放片。</w:t>
                  </w:r>
                </w:p>
              </w:tc>
            </w:tr>
            <w:tr>
              <w:trPr>
                <w:cantSplit/>
              </w:trPr>
              <w:tc>
                <w:tcPr>
                  <w:tcW w:type="dxa" w:w="2075"/>
                  <w:vAlign w:val="top"/>
                  <w:tcMar>
                    <w:top w:w="70" w:type="dxa"/>
                    <w:bottom w:w="70" w:type="dxa"/>
                    <w:left w:w="80" w:type="dxa"/>
                    <w:right w:w="80" w:type="dxa"/>
                  </w:tcMar>
                  <w:shd w:fill="F3F7F8"/>
                </w:tcPr>
                <w:p>
                  <w:pPr>
                    <w:spacing w:after="40" w:before="0" w:line="264" w:lineRule="auto"/>
                  </w:pPr>
                  <w:r>
                    <w:rPr>
                      <w:b w:val="0"/>
                      <w:sz w:val="18"/>
                    </w:rPr>
                    <w:t>签约</w:t>
                  </w:r>
                </w:p>
              </w:tc>
              <w:tc>
                <w:tcPr>
                  <w:tcW w:type="dxa" w:w="1176"/>
                  <w:vAlign w:val="top"/>
                  <w:tcMar>
                    <w:top w:w="70" w:type="dxa"/>
                    <w:bottom w:w="70" w:type="dxa"/>
                    <w:left w:w="80" w:type="dxa"/>
                    <w:right w:w="80" w:type="dxa"/>
                  </w:tcMar>
                  <w:shd w:fill="F3F7F8"/>
                </w:tcPr>
                <w:p>
                  <w:pPr>
                    <w:spacing w:after="40" w:before="0" w:line="264" w:lineRule="auto"/>
                  </w:pPr>
                  <w:r>
                    <w:rPr>
                      <w:b w:val="0"/>
                      <w:sz w:val="18"/>
                    </w:rPr>
                    <w:t>1</w:t>
                  </w:r>
                </w:p>
              </w:tc>
              <w:tc>
                <w:tcPr>
                  <w:tcW w:type="dxa" w:w="3666"/>
                  <w:vAlign w:val="top"/>
                  <w:tcMar>
                    <w:top w:w="70" w:type="dxa"/>
                    <w:bottom w:w="70" w:type="dxa"/>
                    <w:left w:w="80" w:type="dxa"/>
                    <w:right w:w="80" w:type="dxa"/>
                  </w:tcMar>
                  <w:shd w:fill="F3F7F8"/>
                </w:tcPr>
                <w:p>
                  <w:pPr>
                    <w:spacing w:after="40" w:before="0" w:line="264" w:lineRule="auto"/>
                  </w:pPr>
                  <w:r>
                    <w:rPr>
                      <w:b w:val="0"/>
                      <w:sz w:val="18"/>
                    </w:rPr>
                    <w:t>手中H占合同槽，付卡面费用/押金。</w:t>
                  </w:r>
                </w:p>
              </w:tc>
            </w:tr>
            <w:tr>
              <w:trPr>
                <w:cantSplit/>
              </w:trPr>
              <w:tc>
                <w:tcPr>
                  <w:tcW w:type="dxa" w:w="2075"/>
                  <w:vAlign w:val="top"/>
                  <w:tcMar>
                    <w:top w:w="70" w:type="dxa"/>
                    <w:bottom w:w="70" w:type="dxa"/>
                    <w:left w:w="80" w:type="dxa"/>
                    <w:right w:w="80" w:type="dxa"/>
                  </w:tcMar>
                  <w:shd w:fill="FFFFFF"/>
                </w:tcPr>
                <w:p>
                  <w:pPr>
                    <w:spacing w:after="40" w:before="0" w:line="264" w:lineRule="auto"/>
                  </w:pPr>
                  <w:r>
                    <w:rPr>
                      <w:b w:val="0"/>
                      <w:sz w:val="18"/>
                    </w:rPr>
                    <w:t>建设施</w:t>
                  </w:r>
                </w:p>
              </w:tc>
              <w:tc>
                <w:tcPr>
                  <w:tcW w:type="dxa" w:w="1176"/>
                  <w:vAlign w:val="top"/>
                  <w:tcMar>
                    <w:top w:w="70" w:type="dxa"/>
                    <w:bottom w:w="70" w:type="dxa"/>
                    <w:left w:w="80" w:type="dxa"/>
                    <w:right w:w="80" w:type="dxa"/>
                  </w:tcMar>
                  <w:shd w:fill="FFFFFF"/>
                </w:tcPr>
                <w:p>
                  <w:pPr>
                    <w:spacing w:after="40" w:before="0" w:line="264" w:lineRule="auto"/>
                  </w:pPr>
                  <w:r>
                    <w:rPr>
                      <w:b w:val="0"/>
                      <w:sz w:val="18"/>
                    </w:rPr>
                    <w:t>2</w:t>
                  </w:r>
                </w:p>
              </w:tc>
              <w:tc>
                <w:tcPr>
                  <w:tcW w:type="dxa" w:w="3666"/>
                  <w:vAlign w:val="top"/>
                  <w:tcMar>
                    <w:top w:w="70" w:type="dxa"/>
                    <w:bottom w:w="70" w:type="dxa"/>
                    <w:left w:w="80" w:type="dxa"/>
                    <w:right w:w="80" w:type="dxa"/>
                  </w:tcMar>
                  <w:shd w:fill="FFFFFF"/>
                </w:tcPr>
                <w:p>
                  <w:pPr>
                    <w:spacing w:after="40" w:before="0" w:line="264" w:lineRule="auto"/>
                  </w:pPr>
                  <w:r>
                    <w:rPr>
                      <w:b w:val="0"/>
                      <w:sz w:val="18"/>
                    </w:rPr>
                    <w:t>同一回合付2点及卡面费用/空间。</w:t>
                  </w:r>
                </w:p>
              </w:tc>
            </w:tr>
            <w:tr>
              <w:trPr>
                <w:cantSplit/>
              </w:trPr>
              <w:tc>
                <w:tcPr>
                  <w:tcW w:type="dxa" w:w="2075"/>
                  <w:vAlign w:val="top"/>
                  <w:tcMar>
                    <w:top w:w="70" w:type="dxa"/>
                    <w:bottom w:w="70" w:type="dxa"/>
                    <w:left w:w="80" w:type="dxa"/>
                    <w:right w:w="80" w:type="dxa"/>
                  </w:tcMar>
                  <w:shd w:fill="F3F7F8"/>
                </w:tcPr>
                <w:p>
                  <w:pPr>
                    <w:spacing w:after="40" w:before="0" w:line="264" w:lineRule="auto"/>
                  </w:pPr>
                  <w:r>
                    <w:rPr>
                      <w:b w:val="0"/>
                      <w:sz w:val="18"/>
                    </w:rPr>
                    <w:t>预热</w:t>
                  </w:r>
                </w:p>
              </w:tc>
              <w:tc>
                <w:tcPr>
                  <w:tcW w:type="dxa" w:w="1176"/>
                  <w:vAlign w:val="top"/>
                  <w:tcMar>
                    <w:top w:w="70" w:type="dxa"/>
                    <w:bottom w:w="70" w:type="dxa"/>
                    <w:left w:w="80" w:type="dxa"/>
                    <w:right w:w="80" w:type="dxa"/>
                  </w:tcMar>
                  <w:shd w:fill="F3F7F8"/>
                </w:tcPr>
                <w:p>
                  <w:pPr>
                    <w:spacing w:after="40" w:before="0" w:line="264" w:lineRule="auto"/>
                  </w:pPr>
                  <w:r>
                    <w:rPr>
                      <w:b w:val="0"/>
                      <w:sz w:val="18"/>
                    </w:rPr>
                    <w:t>1</w:t>
                  </w:r>
                </w:p>
              </w:tc>
              <w:tc>
                <w:tcPr>
                  <w:tcW w:type="dxa" w:w="3666"/>
                  <w:vAlign w:val="top"/>
                  <w:tcMar>
                    <w:top w:w="70" w:type="dxa"/>
                    <w:bottom w:w="70" w:type="dxa"/>
                    <w:left w:w="80" w:type="dxa"/>
                    <w:right w:w="80" w:type="dxa"/>
                  </w:tcMar>
                  <w:shd w:fill="F3F7F8"/>
                </w:tcPr>
                <w:p>
                  <w:pPr>
                    <w:spacing w:after="40" w:before="0" w:line="264" w:lineRule="auto"/>
                  </w:pPr>
                  <w:r>
                    <w:rPr>
                      <w:b w:val="0"/>
                      <w:sz w:val="18"/>
                    </w:rPr>
                    <w:t>发布＋1—3，每本人回合一次。</w:t>
                  </w:r>
                </w:p>
              </w:tc>
            </w:tr>
            <w:tr>
              <w:trPr>
                <w:cantSplit/>
              </w:trPr>
              <w:tc>
                <w:tcPr>
                  <w:tcW w:type="dxa" w:w="2075"/>
                  <w:vAlign w:val="top"/>
                  <w:tcMar>
                    <w:top w:w="70" w:type="dxa"/>
                    <w:bottom w:w="70" w:type="dxa"/>
                    <w:left w:w="80" w:type="dxa"/>
                    <w:right w:w="80" w:type="dxa"/>
                  </w:tcMar>
                  <w:shd w:fill="FFFFFF"/>
                </w:tcPr>
                <w:p>
                  <w:pPr>
                    <w:spacing w:after="40" w:before="0" w:line="264" w:lineRule="auto"/>
                  </w:pPr>
                  <w:r>
                    <w:rPr>
                      <w:b w:val="0"/>
                      <w:sz w:val="18"/>
                    </w:rPr>
                    <w:t>技术服务</w:t>
                  </w:r>
                </w:p>
              </w:tc>
              <w:tc>
                <w:tcPr>
                  <w:tcW w:type="dxa" w:w="1176"/>
                  <w:vAlign w:val="top"/>
                  <w:tcMar>
                    <w:top w:w="70" w:type="dxa"/>
                    <w:bottom w:w="70" w:type="dxa"/>
                    <w:left w:w="80" w:type="dxa"/>
                    <w:right w:w="80" w:type="dxa"/>
                  </w:tcMar>
                  <w:shd w:fill="FFFFFF"/>
                </w:tcPr>
                <w:p>
                  <w:pPr>
                    <w:spacing w:after="40" w:before="0" w:line="264" w:lineRule="auto"/>
                  </w:pPr>
                  <w:r>
                    <w:rPr>
                      <w:b w:val="0"/>
                      <w:sz w:val="18"/>
                    </w:rPr>
                    <w:t>1</w:t>
                  </w:r>
                </w:p>
              </w:tc>
              <w:tc>
                <w:tcPr>
                  <w:tcW w:type="dxa" w:w="3666"/>
                  <w:vAlign w:val="top"/>
                  <w:tcMar>
                    <w:top w:w="70" w:type="dxa"/>
                    <w:bottom w:w="70" w:type="dxa"/>
                    <w:left w:w="80" w:type="dxa"/>
                    <w:right w:w="80" w:type="dxa"/>
                  </w:tcMar>
                  <w:shd w:fill="FFFFFF"/>
                </w:tcPr>
                <w:p>
                  <w:pPr>
                    <w:spacing w:after="40" w:before="0" w:line="264" w:lineRule="auto"/>
                  </w:pPr>
                  <w:r>
                    <w:rPr>
                      <w:b w:val="0"/>
                      <w:sz w:val="18"/>
                    </w:rPr>
                    <w:t>无本人完成T得6，有则10，每本人回合一次。</w:t>
                  </w:r>
                </w:p>
              </w:tc>
            </w:tr>
            <w:tr>
              <w:trPr>
                <w:cantSplit/>
              </w:trPr>
              <w:tc>
                <w:tcPr>
                  <w:tcW w:type="dxa" w:w="2075"/>
                  <w:vAlign w:val="top"/>
                  <w:tcMar>
                    <w:top w:w="70" w:type="dxa"/>
                    <w:bottom w:w="70" w:type="dxa"/>
                    <w:left w:w="80" w:type="dxa"/>
                    <w:right w:w="80" w:type="dxa"/>
                  </w:tcMar>
                  <w:shd w:fill="F3F7F8"/>
                </w:tcPr>
                <w:p>
                  <w:pPr>
                    <w:spacing w:after="40" w:before="0" w:line="264" w:lineRule="auto"/>
                  </w:pPr>
                  <w:r>
                    <w:rPr>
                      <w:b w:val="0"/>
                      <w:sz w:val="18"/>
                    </w:rPr>
                    <w:t>独立验证</w:t>
                  </w:r>
                </w:p>
              </w:tc>
              <w:tc>
                <w:tcPr>
                  <w:tcW w:type="dxa" w:w="1176"/>
                  <w:vAlign w:val="top"/>
                  <w:tcMar>
                    <w:top w:w="70" w:type="dxa"/>
                    <w:bottom w:w="70" w:type="dxa"/>
                    <w:left w:w="80" w:type="dxa"/>
                    <w:right w:w="80" w:type="dxa"/>
                  </w:tcMar>
                  <w:shd w:fill="F3F7F8"/>
                </w:tcPr>
                <w:p>
                  <w:pPr>
                    <w:spacing w:after="40" w:before="0" w:line="264" w:lineRule="auto"/>
                  </w:pPr>
                  <w:r>
                    <w:rPr>
                      <w:b w:val="0"/>
                      <w:sz w:val="18"/>
                    </w:rPr>
                    <w:t>2</w:t>
                  </w:r>
                </w:p>
              </w:tc>
              <w:tc>
                <w:tcPr>
                  <w:tcW w:type="dxa" w:w="3666"/>
                  <w:vAlign w:val="top"/>
                  <w:tcMar>
                    <w:top w:w="70" w:type="dxa"/>
                    <w:bottom w:w="70" w:type="dxa"/>
                    <w:left w:w="80" w:type="dxa"/>
                    <w:right w:w="80" w:type="dxa"/>
                  </w:tcMar>
                  <w:shd w:fill="F3F7F8"/>
                </w:tcPr>
                <w:p>
                  <w:pPr>
                    <w:spacing w:after="40" w:before="0" w:line="264" w:lineRule="auto"/>
                  </w:pPr>
                  <w:r>
                    <w:rPr>
                      <w:b w:val="0"/>
                      <w:sz w:val="18"/>
                    </w:rPr>
                    <w:t>付12、合法现货作证，得1科技，每世代一次。</w:t>
                  </w:r>
                </w:p>
              </w:tc>
            </w:tr>
            <w:tr>
              <w:trPr>
                <w:cantSplit/>
              </w:trPr>
              <w:tc>
                <w:tcPr>
                  <w:tcW w:type="dxa" w:w="2075"/>
                  <w:vAlign w:val="top"/>
                  <w:tcMar>
                    <w:top w:w="70" w:type="dxa"/>
                    <w:bottom w:w="70" w:type="dxa"/>
                    <w:left w:w="80" w:type="dxa"/>
                    <w:right w:w="80" w:type="dxa"/>
                  </w:tcMar>
                  <w:shd w:fill="FFFFFF"/>
                </w:tcPr>
                <w:p>
                  <w:pPr>
                    <w:spacing w:after="40" w:before="0" w:line="264" w:lineRule="auto"/>
                  </w:pPr>
                  <w:r>
                    <w:rPr>
                      <w:b w:val="0"/>
                      <w:sz w:val="18"/>
                    </w:rPr>
                    <w:t>取消产品</w:t>
                  </w:r>
                </w:p>
              </w:tc>
              <w:tc>
                <w:tcPr>
                  <w:tcW w:type="dxa" w:w="1176"/>
                  <w:vAlign w:val="top"/>
                  <w:tcMar>
                    <w:top w:w="70" w:type="dxa"/>
                    <w:bottom w:w="70" w:type="dxa"/>
                    <w:left w:w="80" w:type="dxa"/>
                    <w:right w:w="80" w:type="dxa"/>
                  </w:tcMar>
                  <w:shd w:fill="FFFFFF"/>
                </w:tcPr>
                <w:p>
                  <w:pPr>
                    <w:spacing w:after="40" w:before="0" w:line="264" w:lineRule="auto"/>
                  </w:pPr>
                  <w:r>
                    <w:rPr>
                      <w:b w:val="0"/>
                      <w:sz w:val="18"/>
                    </w:rPr>
                    <w:t>0</w:t>
                  </w:r>
                </w:p>
              </w:tc>
              <w:tc>
                <w:tcPr>
                  <w:tcW w:type="dxa" w:w="3666"/>
                  <w:vAlign w:val="top"/>
                  <w:tcMar>
                    <w:top w:w="70" w:type="dxa"/>
                    <w:bottom w:w="70" w:type="dxa"/>
                    <w:left w:w="80" w:type="dxa"/>
                    <w:right w:w="80" w:type="dxa"/>
                  </w:tcMar>
                  <w:shd w:fill="FFFFFF"/>
                </w:tcPr>
                <w:p>
                  <w:pPr>
                    <w:spacing w:after="40" w:before="0" w:line="264" w:lineRule="auto"/>
                  </w:pPr>
                  <w:r>
                    <w:rPr>
                      <w:b w:val="0"/>
                      <w:sz w:val="18"/>
                    </w:rPr>
                    <w:t>本人工作阶段回件，不退制造费/授权费/工作。</w:t>
                  </w:r>
                </w:p>
              </w:tc>
            </w:tr>
          </w:tbl>
          <w:p>
            <w:pPr>
              <w:widowControl/>
            </w:pPr>
          </w:p>
          <w:p>
            <w:pPr>
              <w:keepNext w:val="0"/>
              <w:widowControl/>
            </w:pPr>
            <w:r>
              <w:t>可重复合法工作，也可放弃剩余点。授权直接随组装支付，不另占工作；使用私人独占技术须是研发者本人。</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已有蓝厂伙伴、尚无核心时：花1工作支付12核心费和联合立项费，一并开始项目并到1进度。其余工作可以继续推进。不是免费建立伙伴。</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3.2 一个完整回合怎样结束</w:t>
            </w:r>
          </w:p>
          <w:p>
            <w:pPr>
              <w:keepNext w:val="0"/>
              <w:widowControl/>
            </w:pPr>
            <w:r>
              <w:t>本人回合开始恢复3工作点及“每本人回合”限次，按所选顺序完成各项工作。钱或点不足不能开始；每个工作及即时效果先结清，再进行下一个。</w:t>
            </w:r>
          </w:p>
          <w:p>
            <w:pPr>
              <w:keepNext w:val="0"/>
              <w:widowControl/>
            </w:pPr>
            <w:r>
              <w:t>结束工作后：弃手牌至上限 → 发布轨到顶则完整发布 → 开放待到达的新世代 → 检查最后阶段 → 下一人。</w:t>
            </w:r>
          </w:p>
          <w:p>
            <w:pPr>
              <w:keepNext w:val="0"/>
              <w:widowControl/>
            </w:pPr>
            <w:r>
              <w:t>安装或实际定制组装所建立的新关系，在该整项工作付款及结算后生效，不回溯首笔。普通工作完成联合项目后立即公开，后续工作可用；发布中完成的项目不回头增强本场。</w:t>
            </w:r>
          </w:p>
          <w:p>
            <w:pPr>
              <w:keepNext w:val="0"/>
              <w:widowControl/>
            </w:pPr>
            <w:r>
              <w:t>授权费给研发者，U18最多每准备期触发一次取牌，取到卡只入手，不插入额外组装/研究。U02仍只额外提供一次单批组装专用点。</w:t>
            </w:r>
          </w:p>
          <w:p>
            <w:pPr>
              <w:keepNext w:val="0"/>
              <w:widowControl/>
            </w:pPr>
            <w:r>
              <w:t>发布扩产不产生工作点或新的本人回合；不刷新任何本人回合、准备期或每场限次。</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预热到顶可做完剩余工作，但对手没有额外响应回合。授权转账不会让收款者立即执行一个工作。</w:t>
            </w:r>
          </w:p>
        </w:tc>
      </w:tr>
    </w:tbl>
    <w:p>
      <w:pPr>
        <w:spacing w:after="60" w:before="0" w:line="40" w:lineRule="exact"/>
      </w:pPr>
      <w:r>
        <w:rPr>
          <w:sz w:val="4"/>
        </w:rPr>
        <w:t xml:space="preserve"> </w:t>
      </w:r>
    </w:p>
    <w:p>
      <w:pPr>
        <w:pStyle w:val="Heading1"/>
      </w:pPr>
      <w:r>
        <w:t>04  一个主牌堆，五代卡都能拿</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4.1 先选完，再补一次</w:t>
            </w:r>
          </w:p>
          <w:p>
            <w:pPr>
              <w:keepNext w:val="0"/>
              <w:widowControl/>
            </w:pPr>
            <w:r>
              <w:t>一次取牌工作可取得至多2张：每张选当前公开牌或主堆顶盲抽，可以混选。</w:t>
            </w:r>
            <w:r>
              <w:rPr>
                <w:b/>
              </w:rPr>
              <w:t>稳定与定制取得时都不额外付钱</w:t>
            </w:r>
            <w:r>
              <w:t>，与其他主牌一样先入手并占手牌。</w:t>
            </w:r>
          </w:p>
          <w:p>
            <w:pPr>
              <w:keepNext w:val="0"/>
              <w:widowControl/>
            </w:pPr>
            <w:r>
              <w:t>本次选择期间，牌市空位留空，不左移、不补新牌供本次再挑。全部选完后才从主牌堆一次补满空位。任何连续取牌奖励也按整个奖励结束后补一次；纯取牌不等于安装、立项或签约。</w:t>
            </w:r>
          </w:p>
          <w:p>
            <w:pPr>
              <w:keepNext w:val="0"/>
              <w:widowControl/>
            </w:pPr>
            <w:r>
              <w:t>主牌堆空时，仅洗主弃牌；库内牌、在研、已完成、合同归档、产品中与移出区都不能补入。无牌就只拿实际存在的数量。</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拿走牌市2号和6号，只在两张选完后补两个空位。未来五代配件照样可以拿到手里。</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4.2 换代只开放使用，不再加牌</w:t>
            </w:r>
          </w:p>
          <w:p>
            <w:pPr>
              <w:keepNext w:val="0"/>
              <w:widowControl/>
            </w:pPr>
            <w:r>
              <w:t>全桌首位科技达到3／7／13／20，依次开放II／III／IV／V代，回合末生效。跨多个门槛直接到最高对应世代，不洗新包、不换商店。</w:t>
            </w:r>
          </w:p>
          <w:p>
            <w:pPr>
              <w:keepNext w:val="0"/>
              <w:widowControl/>
            </w:pPr>
            <w:r>
              <w:t>配件和Q方案的印刷世代不得高于当前供应世代，才能参与组装或验证；未来稳定可预先付费入库，但没有提前使用权。研发、合同、设施本版都从I代可用，仍查卡面前置。</w:t>
            </w:r>
          </w:p>
          <w:p>
            <w:pPr>
              <w:keepNext w:val="0"/>
              <w:widowControl/>
            </w:pPr>
            <w:r>
              <w:t>I—V代内容依次对应2017—2018、2019—2020、2021—2022、2023—2024、2025—2026。</w:t>
            </w:r>
            <w:r>
              <w:rPr>
                <w:b/>
              </w:rPr>
              <w:t>这是内容分代，不是固定五轮或现实年份计时。</w:t>
            </w:r>
            <w:r/>
          </w:p>
          <w:p>
            <w:pPr>
              <w:keepNext w:val="0"/>
              <w:widowControl/>
            </w:pPr>
            <w:r>
              <w:t>本准备期的参考世代不随中途换代提高；普通发布末先开放新代，再标下场参考世代。只标代，不提前翻参考。</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早抽到未来芯片可以留手。提前装入四栏会占住位置：这期间该栏不能供当前产品使用，除非改用已开放的定制。</w:t>
            </w:r>
          </w:p>
        </w:tc>
      </w:tr>
    </w:tbl>
    <w:p>
      <w:pPr>
        <w:spacing w:after="60" w:before="0" w:line="40" w:lineRule="exact"/>
      </w:pPr>
      <w:r>
        <w:rPr>
          <w:sz w:val="4"/>
        </w:rPr>
        <w:t xml:space="preserve"> </w:t>
      </w:r>
    </w:p>
    <w:p>
      <w:pPr>
        <w:pStyle w:val="Heading1"/>
      </w:pPr>
      <w:r>
        <w:t>05  供应商关系：用业务建立技术网络</w:t>
      </w:r>
    </w:p>
    <w:p>
      <w:pPr>
        <w:keepNext/>
      </w:pPr>
      <w:r>
        <w:t>五厂是虚构供货网络，不是玩家阵营，也不是芯片真实制造商。所有玩家都可与多厂合作。</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5.1 看供货厂，不数颜色点数</w:t>
            </w:r>
          </w:p>
          <w:p>
            <w:pPr>
              <w:keepNext w:val="0"/>
              <w:widowControl/>
            </w:pPr>
            <w:r>
              <w:t>每张非初始配件印一个供货厂，整张多项定制的所有部件都从该厂读取。初始通用件中立。现实芯片名称与供货厂是不同信息；红厂不代表高通，任何芯片都不凭品牌自动加关系。</w:t>
            </w:r>
          </w:p>
          <w:p>
            <w:pPr>
              <w:keepNext w:val="0"/>
              <w:widowControl/>
            </w:pPr>
            <w:r>
              <w:t>每家公司对五厂各处于普通、伙伴或核心。普通客户可正常拿牌、安装、组装和签开放合同，不封锁未来发展。伙伴可按卡面伙伴价安装，并购买该厂公开技术授权；核心额外可以立项该厂联合研发。</w:t>
            </w:r>
          </w:p>
          <w:p>
            <w:pPr>
              <w:keepNext w:val="0"/>
              <w:widowControl/>
            </w:pPr>
            <w:r>
              <w:t>关系不是六种产品特征，不参与性能/影像入场，不累积成科技点。</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A的蓝厂芯片是“这张供货方案来自蓝厂”，不是把真实芯片制造商改成蓝厂。</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5.2 实际业务结束后，成为伙伴</w:t>
            </w:r>
          </w:p>
          <w:p>
            <w:pPr>
              <w:keepNext w:val="0"/>
              <w:widowControl/>
            </w:pPr>
            <w:r>
              <w:t>发生以下任一行为，整项结算完成后，把相应厂从普通升为伙伴：①实际安装该厂非初始稳定件；②实际付费组装使用该厂定制的一批现货；③完整交付该厂订单或完成其验证合同。</w:t>
            </w:r>
          </w:p>
          <w:p>
            <w:pPr>
              <w:keepNext w:val="0"/>
              <w:widowControl/>
            </w:pPr>
            <w:r>
              <w:t>一次组装有多家定制，可分别建立这些伙伴。已有伙伴/核心不再升级或领奖。拿牌、初始发放、临时样机、单纯签约、免费取消、回购、出口或服务合同自然到期均不触发。</w:t>
            </w:r>
          </w:p>
          <w:p>
            <w:pPr>
              <w:keepNext w:val="0"/>
              <w:widowControl/>
            </w:pPr>
            <w:r>
              <w:t>费用与前置读取行为开始前的关系；不能先享受伙伴价，后用本次业务来补资格。未来稳定合法入库也可建立伙伴，但仍没有提前使用权。</w:t>
            </w:r>
          </w:p>
          <w:p>
            <w:pPr>
              <w:keepNext w:val="0"/>
              <w:widowControl/>
            </w:pPr>
            <w:r>
              <w:t>扩产只是已存在产品组加量，不重新发送组装/建立伙伴事件。</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某卡印普通13／伙伴3：首次安装仍付13，完成后才成为伙伴。以后另一张同厂卡按它自己的伙伴价付款；不退第一次的10点差价。</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5.3 核心合作不是固定技能</w:t>
            </w:r>
          </w:p>
          <w:p>
            <w:pPr>
              <w:keepNext w:val="0"/>
              <w:widowControl/>
            </w:pPr>
            <w:r>
              <w:t>已有目标厂伙伴时，花1工作并付12现金，把核心片放到该厂；全公司同时只有1家，各公司可以选择同一家。核心不占合同槽，不给分，入库待遇仍是伙伴价。</w:t>
            </w:r>
          </w:p>
          <w:p>
            <w:pPr>
              <w:keepNext w:val="0"/>
              <w:widowControl/>
            </w:pPr>
            <w:r/>
            <w:r>
              <w:rPr>
                <w:b/>
              </w:rPr>
              <w:t>首次核心可并入联合立项</w:t>
            </w:r>
            <w:r>
              <w:t>：尚未选择过任何核心时，可以在首次联合立项的同一个工作中确定核心，付12核心费＋该卡联合费，并取得第一格进度。先确认伙伴、项目基础、在研槽、本厂已开放关联部件与全部现金都足够，再一起付款。科研优惠不减核心费；失败则两件事都不执行。</w:t>
            </w:r>
          </w:p>
          <w:p>
            <w:pPr>
              <w:keepNext w:val="0"/>
              <w:widowControl/>
            </w:pPr>
            <w:r>
              <w:t>以后切换核心仍单独花1工作＋12，旧厂降伙伴；有未完成联合项目时不可切换。核心不能主动移除后伪装再次首次。旧厂公开成果与署名不撤回。</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第一次联合T01：核心12＋联合9＝21现金，1工作到进度1，再推进1可完成（仍查样机）。T03联合9／3进度，自主12／6进度，省钱与省时间不是同一选择。</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5.4 数值在哪里读</w:t>
            </w:r>
          </w:p>
          <w:p>
            <w:pPr>
              <w:keepNext w:val="0"/>
              <w:widowControl/>
            </w:pPr>
            <w:r>
              <w:t>稳定卡直接印普通／本厂伙伴入库价，核心同伙伴；每张卡的差价可以不同。其他明确减免再从所选价扣到0，不能再重复扣一次关系价差。</w:t>
            </w:r>
          </w:p>
          <w:p>
            <w:pPr>
              <w:keepNext w:val="0"/>
              <w:widowControl/>
            </w:pPr>
            <w:r>
              <w:t>可联合研发卡分列“联合现金／工期”和“自主现金／工期”。两行均是最终印刷基础值，不存在玩家必须套用的两倍公式。另印完成科技、授权费与关联部件；公司工艺只印自主。</w:t>
            </w:r>
          </w:p>
          <w:p>
            <w:pPr>
              <w:keepNext w:val="0"/>
              <w:widowControl/>
            </w:pPr>
            <w:r>
              <w:t>供应商只用图案＋厂名，不写“供货”前缀或图形名称。芯片、影像的部件行不写“直板”；只有屏幕和机身保留直板／折叠说明。所有主牌取得不另收现金，初始卡开局免费入库；制造仍逐批付费。</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T03联合9／工期3，自主12／工期6；T09联合12／工期3，自主35／工期6。两者价差不同，照各自卡面读。</w:t>
            </w:r>
          </w:p>
        </w:tc>
      </w:tr>
    </w:tbl>
    <w:p>
      <w:pPr>
        <w:spacing w:after="60" w:before="0" w:line="40" w:lineRule="exact"/>
      </w:pPr>
      <w:r>
        <w:rPr>
          <w:sz w:val="4"/>
        </w:rPr>
        <w:t xml:space="preserve"> </w:t>
      </w:r>
    </w:p>
    <w:p>
      <w:pPr>
        <w:pStyle w:val="Heading1"/>
      </w:pPr>
      <w:r>
        <w:t>06  稳定库四栏：实体不动，产品用代替卡</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6.1 拿到和入库，是两件事</w:t>
            </w:r>
          </w:p>
          <w:p>
            <w:pPr>
              <w:keepNext w:val="0"/>
              <w:widowControl/>
            </w:pPr>
            <w:r>
              <w:t>芯片、屏幕、影像、机身各一稳定栏；初始卡也占对应栏，不是额外备用库。安装从手牌选1张稳定件，付卡面</w:t>
            </w:r>
            <w:r>
              <w:rPr>
                <w:b/>
              </w:rPr>
              <w:t>普通入库价或本厂伙伴价</w:t>
            </w:r>
            <w:r>
              <w:t>，替换同类旧卡。</w:t>
            </w:r>
          </w:p>
          <w:p>
            <w:pPr>
              <w:keepNext w:val="0"/>
              <w:widowControl/>
            </w:pPr>
            <w:r>
              <w:t>普通客户用普通价，伙伴与核心都用伙伴价；再叠明确的其他入库减免到最低0。伙伴价已经包含本卡关系优惠，价差不固定，不能再重复扣减。第一次安装后才建立伙伴，因此首笔用原状态价。</w:t>
            </w:r>
          </w:p>
          <w:p>
            <w:pPr>
              <w:keepNext w:val="0"/>
              <w:widowControl/>
            </w:pPr>
            <w:r>
              <w:t>旧非初始稳定进主弃牌；初始S撤下移出，不退钱。定制不能入库，稳定不能绕库直接当定制使用。</w:t>
            </w:r>
          </w:p>
          <w:p>
            <w:pPr>
              <w:keepNext w:val="0"/>
              <w:widowControl/>
            </w:pPr>
            <w:r>
              <w:t>未来稳定允许取得及入库，但不能组装或作证。只要栏内仍有产品引用，就不能撤下、换卡或临时挪动。</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D111印普通13／伙伴3。已有本厂伙伴时付3；若另有明确入库减费，从3继续减到最低0，不付负数、不产生返现。第一次安装仍按原关系。</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6.2 每类代替卡读取同一库栏</w:t>
            </w:r>
          </w:p>
          <w:p>
            <w:pPr>
              <w:keepNext w:val="0"/>
              <w:widowControl/>
            </w:pPr>
            <w:r>
              <w:t>产品用“稳定部件·种类”代替卡，读取本人同类库栏的实体规格、功耗/供电、制造费、供货厂与能力。稳定实体始终留库；初始中立件不冒充任何厂。</w:t>
            </w:r>
          </w:p>
          <w:p>
            <w:pPr>
              <w:keepNext w:val="0"/>
              <w:widowControl/>
            </w:pPr>
            <w:r>
              <w:t>不同产品可同时引用同一栏，每批分别付制造费。代替卡不是独立配件实体，不多给厂标或关系，不占手牌，不可卖弃。多项定制整张同批，不与代替卡重叠部件。</w:t>
            </w:r>
          </w:p>
          <w:p>
            <w:pPr>
              <w:keepNext w:val="0"/>
              <w:widowControl/>
            </w:pPr>
            <w:r/>
            <w:r>
              <w:rPr>
                <w:b/>
              </w:rPr>
              <w:t>只要仍有产品引用，该栏锁定。</w:t>
            </w:r>
            <w:r>
              <w:t xml:space="preserve"> 未售产品跨场不复位；无须另记锁定次数。</w:t>
            </w:r>
          </w:p>
          <w:p>
            <w:pPr>
              <w:keepNext w:val="0"/>
              <w:widowControl/>
            </w:pPr>
            <w:r>
              <w:t>扩产组原批与追加批共用既有代替卡，库中实体不移动；不因＋1复制厂标或解锁库栏。</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A的库内蓝厂屏幕可供A①和A③；两批分别是蓝厂屏幕产品，但公司不会凭代替卡新增两次关系。</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6.3 何时解除引用</w:t>
            </w:r>
          </w:p>
          <w:p>
            <w:pPr>
              <w:keepNext w:val="0"/>
              <w:widowControl/>
            </w:pPr>
            <w:r>
              <w:t>取消产品时，收回该产品的代替卡；其他产品引用不受影响。</w:t>
            </w:r>
          </w:p>
          <w:p>
            <w:pPr>
              <w:keepNext w:val="0"/>
              <w:widowControl/>
            </w:pPr>
            <w:r>
              <w:t>发布时先保存全部产品，确认销售、挑战、研发和处置所需的证据；</w:t>
            </w:r>
            <w:r>
              <w:rPr>
                <w:b/>
              </w:rPr>
              <w:t>证据与相关奖励核验结束后</w:t>
            </w:r>
            <w:r>
              <w:t>，才统一释放已成交、渠道回购、H29出口产品。不可卖掉一批就立刻换卡改变其他批次。</w:t>
            </w:r>
          </w:p>
          <w:p>
            <w:pPr>
              <w:keepNext w:val="0"/>
              <w:widowControl/>
            </w:pPr>
            <w:r>
              <w:t>供货签装发生在上述释放之后，属于本场明确的奖励安装窗口。若仍有未售／留库产品引用，该栏仍锁定，不能利用奖励绕过。</w:t>
            </w:r>
          </w:p>
          <w:p>
            <w:pPr>
              <w:keepNext w:val="0"/>
              <w:widowControl/>
            </w:pPr>
            <w:r>
              <w:t>未售或留库产品跨场保留原配置，不自动解锁。</w:t>
            </w:r>
          </w:p>
          <w:p>
            <w:pPr>
              <w:keepNext w:val="0"/>
              <w:widowControl/>
            </w:pPr>
            <w:r>
              <w:t>被扩产挤掉的原批未成交，仍保留引用。扩产组两批都成交，也只清理一次实际配置和指派。</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两批都引用屏幕，一批售出、一批留库。整理后屏幕仍不能换；供货签装也不能把留下的一批手机暗中升级。</w:t>
            </w:r>
          </w:p>
        </w:tc>
      </w:tr>
    </w:tbl>
    <w:p>
      <w:pPr>
        <w:spacing w:after="60" w:before="0" w:line="40" w:lineRule="exact"/>
      </w:pPr>
      <w:r>
        <w:rPr>
          <w:sz w:val="4"/>
        </w:rPr>
        <w:t xml:space="preserve"> </w:t>
      </w:r>
    </w:p>
    <w:p>
      <w:pPr>
        <w:pStyle w:val="Heading1"/>
      </w:pPr>
      <w:r>
        <w:t>07  一次组装，直接做出一批</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7.1 配齐四类，再验收付款</w:t>
            </w:r>
          </w:p>
          <w:p>
            <w:pPr>
              <w:keepNext w:val="0"/>
              <w:widowControl/>
            </w:pPr>
            <w:r>
              <w:t>花1工作选择一个空产品位，配齐芯片、屏幕、影像、机身，各来自同类稳定代替卡或完整定制卡。可加至多1张手中Q，并指派自有完成部署技术或符合条件的外部联合技术。</w:t>
            </w:r>
          </w:p>
          <w:p>
            <w:pPr>
              <w:keepNext w:val="0"/>
              <w:widowControl/>
            </w:pPr>
            <w:r>
              <w:t>先检查世代、折叠配套、影像兼容、供电、Q前置、技术位、每家公司每技术只占一批、联合适配和伙伴资格；再确认有足够制造费与全部授权费。检查通过才付款、放指派片并取得一批现货。</w:t>
            </w:r>
          </w:p>
          <w:p>
            <w:pPr>
              <w:keepNext w:val="0"/>
              <w:widowControl/>
            </w:pPr>
            <w:r>
              <w:t>外部技术只能从公共联合区取得，付卡面授权费给署名者；不能使用他人的私人自研。部署技术仍占本批技术位；T21的零占位与集成抵消按§7.5，其他集成照常。</w:t>
            </w:r>
          </w:p>
          <w:p>
            <w:pPr>
              <w:keepNext w:val="0"/>
              <w:widowControl/>
            </w:pPr>
            <w:r>
              <w:t>完成本工作后，与实际使用的各家定制供应商建立伙伴；新关系不能倒过来满足本次外部授权资格。</w:t>
            </w:r>
          </w:p>
          <w:p>
            <w:pPr>
              <w:keepNext w:val="0"/>
              <w:widowControl/>
            </w:pPr>
            <w:r>
              <w:t>本节是正常工作阶段的组装。发布中的扩产按§13处理：不另取配件，不新占产品位，不触发普通组装工作。</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拿到蓝厂定制不等于已有蓝厂伙伴。不能先用一项需要蓝厂伙伴的授权，再说这次组装完成会让我成为伙伴。</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7.2 功耗与特征直接看卡</w:t>
            </w:r>
          </w:p>
          <w:p>
            <w:pPr>
              <w:keepNext w:val="0"/>
              <w:widowControl/>
            </w:pPr>
            <w:r>
              <w:t>芯片、屏幕、影像各自有效功耗＝印刷功耗＋锁定调校增量−本机合法减免，各项最低0。三项相加不得超过机身有效供电；供电余量＝有效供电−有效总功耗。</w:t>
            </w:r>
          </w:p>
          <w:p>
            <w:pPr>
              <w:keepNext w:val="0"/>
              <w:widowControl/>
            </w:pPr>
            <w:r>
              <w:t>只用屏幕与机身判断直板／折叠形态：折叠屏与折叠机身必须配套。芯片与影像不承担直板限制，可以用于任一合法机身形态。高级影像按本卡“芯片规格至少…”检查；具有明确兼容能力的芯片或已部署T26／T38可豁免该项，不跳过世代、供电或折叠配套。</w:t>
            </w:r>
          </w:p>
          <w:p>
            <w:pPr>
              <w:keepNext w:val="0"/>
              <w:widowControl/>
            </w:pPr>
            <w:r>
              <w:t>基础竞争力＝四项印刷规格＋明确的通用修正，最低0。市场专长、需求偏好及价格修正不计入基础。卡面“屏幕印刷规格≥7”等条件只读印刷字段，不拿临时市场分来满足。</w:t>
            </w:r>
          </w:p>
          <w:p>
            <w:pPr>
              <w:keepNext w:val="0"/>
              <w:widowControl/>
            </w:pPr>
            <w:r>
              <w:t>多个不同来源合法加分可以相加；同一多项定制的整卡特性每批只执行一次。调校最多一种，组装时选定；取消重组才能改。</w:t>
            </w:r>
          </w:p>
          <w:p>
            <w:pPr>
              <w:keepNext w:val="0"/>
              <w:widowControl/>
            </w:pPr>
            <w:r>
              <w:t>本场扩产继承初步分单前已经算好的竞争力及资格；不靠新增批数再触发配套加成，也不重算原产品能力。</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“影像竞争力＋4”不会提高影像部件的印刷规格。若一张卡的专长未满足条件，仍可使用它的基础规格，不必整批判失败。 芯片卡上的“取得特征”只改产品资格，不抬高部件规格；“可进入某市场”也不自动取得该市场偏好或安全资格。</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7.3 六种特征与入场资格</w:t>
            </w:r>
          </w:p>
          <w:tbl>
            <w:tblPr>
              <w:tblW w:type="auto" w:w="0"/>
              <w:tblLayout w:type="fixed"/>
              <w:tblLook w:firstColumn="1" w:firstRow="1" w:lastColumn="0" w:lastRow="0" w:noHBand="0" w:noVBand="1" w:val="04A0"/>
            </w:tblPr>
            <w:tblGrid>
              <w:gridCol w:w="2006"/>
              <w:gridCol w:w="4911"/>
            </w:tblGrid>
            <w:tr>
              <w:trPr>
                <w:cantSplit/>
                <w:tblHeader/>
              </w:trPr>
              <w:tc>
                <w:tcPr>
                  <w:tcW w:type="dxa" w:w="2006"/>
                  <w:vAlign w:val="top"/>
                  <w:tcMar>
                    <w:top w:w="70" w:type="dxa"/>
                    <w:bottom w:w="70" w:type="dxa"/>
                    <w:left w:w="80" w:type="dxa"/>
                    <w:right w:w="80" w:type="dxa"/>
                  </w:tcMar>
                  <w:shd w:fill="E1EFF0"/>
                </w:tcPr>
                <w:p>
                  <w:pPr>
                    <w:spacing w:after="40" w:before="0" w:line="264" w:lineRule="auto"/>
                  </w:pPr>
                  <w:r>
                    <w:rPr>
                      <w:b/>
                      <w:sz w:val="18"/>
                    </w:rPr>
                    <w:t>特征</w:t>
                  </w:r>
                </w:p>
              </w:tc>
              <w:tc>
                <w:tcPr>
                  <w:tcW w:type="dxa" w:w="4911"/>
                  <w:vAlign w:val="top"/>
                  <w:tcMar>
                    <w:top w:w="70" w:type="dxa"/>
                    <w:bottom w:w="70" w:type="dxa"/>
                    <w:left w:w="80" w:type="dxa"/>
                    <w:right w:w="80" w:type="dxa"/>
                  </w:tcMar>
                  <w:shd w:fill="E1EFF0"/>
                </w:tcPr>
                <w:p>
                  <w:pPr>
                    <w:spacing w:after="40" w:before="0" w:line="264" w:lineRule="auto"/>
                  </w:pPr>
                  <w:r>
                    <w:rPr>
                      <w:b/>
                      <w:sz w:val="18"/>
                    </w:rPr>
                    <w:t>通常来源</w:t>
                  </w:r>
                </w:p>
              </w:tc>
            </w:tr>
            <w:tr>
              <w:trPr>
                <w:cantSplit/>
              </w:trPr>
              <w:tc>
                <w:tcPr>
                  <w:tcW w:type="dxa" w:w="2006"/>
                  <w:vAlign w:val="top"/>
                  <w:tcMar>
                    <w:top w:w="70" w:type="dxa"/>
                    <w:bottom w:w="70" w:type="dxa"/>
                    <w:left w:w="80" w:type="dxa"/>
                    <w:right w:w="80" w:type="dxa"/>
                  </w:tcMar>
                  <w:shd w:fill="FFFFFF"/>
                </w:tcPr>
                <w:p>
                  <w:pPr>
                    <w:spacing w:after="40" w:before="0" w:line="264" w:lineRule="auto"/>
                  </w:pPr>
                  <w:r>
                    <w:rPr>
                      <w:b w:val="0"/>
                      <w:sz w:val="18"/>
                    </w:rPr>
                    <w:t>性能</w:t>
                  </w:r>
                </w:p>
              </w:tc>
              <w:tc>
                <w:tcPr>
                  <w:tcW w:type="dxa" w:w="4911"/>
                  <w:vAlign w:val="top"/>
                  <w:tcMar>
                    <w:top w:w="70" w:type="dxa"/>
                    <w:bottom w:w="70" w:type="dxa"/>
                    <w:left w:w="80" w:type="dxa"/>
                    <w:right w:w="80" w:type="dxa"/>
                  </w:tcMar>
                  <w:shd w:fill="FFFFFF"/>
                </w:tcPr>
                <w:p>
                  <w:pPr>
                    <w:spacing w:after="40" w:before="0" w:line="264" w:lineRule="auto"/>
                  </w:pPr>
                  <w:r>
                    <w:rPr>
                      <w:b w:val="0"/>
                      <w:sz w:val="18"/>
                    </w:rPr>
                    <w:t>芯片规格≥6</w:t>
                  </w:r>
                </w:p>
              </w:tc>
            </w:tr>
            <w:tr>
              <w:trPr>
                <w:cantSplit/>
              </w:trPr>
              <w:tc>
                <w:tcPr>
                  <w:tcW w:type="dxa" w:w="2006"/>
                  <w:vAlign w:val="top"/>
                  <w:tcMar>
                    <w:top w:w="70" w:type="dxa"/>
                    <w:bottom w:w="70" w:type="dxa"/>
                    <w:left w:w="80" w:type="dxa"/>
                    <w:right w:w="80" w:type="dxa"/>
                  </w:tcMar>
                  <w:shd w:fill="F3F7F8"/>
                </w:tcPr>
                <w:p>
                  <w:pPr>
                    <w:spacing w:after="40" w:before="0" w:line="264" w:lineRule="auto"/>
                  </w:pPr>
                  <w:r>
                    <w:rPr>
                      <w:b w:val="0"/>
                      <w:sz w:val="18"/>
                    </w:rPr>
                    <w:t>影像</w:t>
                  </w:r>
                </w:p>
              </w:tc>
              <w:tc>
                <w:tcPr>
                  <w:tcW w:type="dxa" w:w="4911"/>
                  <w:vAlign w:val="top"/>
                  <w:tcMar>
                    <w:top w:w="70" w:type="dxa"/>
                    <w:bottom w:w="70" w:type="dxa"/>
                    <w:left w:w="80" w:type="dxa"/>
                    <w:right w:w="80" w:type="dxa"/>
                  </w:tcMar>
                  <w:shd w:fill="F3F7F8"/>
                </w:tcPr>
                <w:p>
                  <w:pPr>
                    <w:spacing w:after="40" w:before="0" w:line="264" w:lineRule="auto"/>
                  </w:pPr>
                  <w:r>
                    <w:rPr>
                      <w:b w:val="0"/>
                      <w:sz w:val="18"/>
                    </w:rPr>
                    <w:t>影像规格≥6</w:t>
                  </w:r>
                </w:p>
              </w:tc>
            </w:tr>
            <w:tr>
              <w:trPr>
                <w:cantSplit/>
              </w:trPr>
              <w:tc>
                <w:tcPr>
                  <w:tcW w:type="dxa" w:w="2006"/>
                  <w:vAlign w:val="top"/>
                  <w:tcMar>
                    <w:top w:w="70" w:type="dxa"/>
                    <w:bottom w:w="70" w:type="dxa"/>
                    <w:left w:w="80" w:type="dxa"/>
                    <w:right w:w="80" w:type="dxa"/>
                  </w:tcMar>
                  <w:shd w:fill="FFFFFF"/>
                </w:tcPr>
                <w:p>
                  <w:pPr>
                    <w:spacing w:after="40" w:before="0" w:line="264" w:lineRule="auto"/>
                  </w:pPr>
                  <w:r>
                    <w:rPr>
                      <w:b w:val="0"/>
                      <w:sz w:val="18"/>
                    </w:rPr>
                    <w:t>轻薄</w:t>
                  </w:r>
                </w:p>
              </w:tc>
              <w:tc>
                <w:tcPr>
                  <w:tcW w:type="dxa" w:w="4911"/>
                  <w:vAlign w:val="top"/>
                  <w:tcMar>
                    <w:top w:w="70" w:type="dxa"/>
                    <w:bottom w:w="70" w:type="dxa"/>
                    <w:left w:w="80" w:type="dxa"/>
                    <w:right w:w="80" w:type="dxa"/>
                  </w:tcMar>
                  <w:shd w:fill="FFFFFF"/>
                </w:tcPr>
                <w:p>
                  <w:pPr>
                    <w:spacing w:after="40" w:before="0" w:line="264" w:lineRule="auto"/>
                  </w:pPr>
                  <w:r>
                    <w:rPr>
                      <w:b w:val="0"/>
                      <w:sz w:val="18"/>
                    </w:rPr>
                    <w:t>机身有轻薄标识</w:t>
                  </w:r>
                </w:p>
              </w:tc>
            </w:tr>
            <w:tr>
              <w:trPr>
                <w:cantSplit/>
              </w:trPr>
              <w:tc>
                <w:tcPr>
                  <w:tcW w:type="dxa" w:w="2006"/>
                  <w:vAlign w:val="top"/>
                  <w:tcMar>
                    <w:top w:w="70" w:type="dxa"/>
                    <w:bottom w:w="70" w:type="dxa"/>
                    <w:left w:w="80" w:type="dxa"/>
                    <w:right w:w="80" w:type="dxa"/>
                  </w:tcMar>
                  <w:shd w:fill="F3F7F8"/>
                </w:tcPr>
                <w:p>
                  <w:pPr>
                    <w:spacing w:after="40" w:before="0" w:line="264" w:lineRule="auto"/>
                  </w:pPr>
                  <w:r>
                    <w:rPr>
                      <w:b w:val="0"/>
                      <w:sz w:val="18"/>
                    </w:rPr>
                    <w:t>续航</w:t>
                  </w:r>
                </w:p>
              </w:tc>
              <w:tc>
                <w:tcPr>
                  <w:tcW w:type="dxa" w:w="4911"/>
                  <w:vAlign w:val="top"/>
                  <w:tcMar>
                    <w:top w:w="70" w:type="dxa"/>
                    <w:bottom w:w="70" w:type="dxa"/>
                    <w:left w:w="80" w:type="dxa"/>
                    <w:right w:w="80" w:type="dxa"/>
                  </w:tcMar>
                  <w:shd w:fill="F3F7F8"/>
                </w:tcPr>
                <w:p>
                  <w:pPr>
                    <w:spacing w:after="40" w:before="0" w:line="264" w:lineRule="auto"/>
                  </w:pPr>
                  <w:r>
                    <w:rPr>
                      <w:b w:val="0"/>
                      <w:sz w:val="18"/>
                    </w:rPr>
                    <w:t>有效供电余量≥4</w:t>
                  </w:r>
                </w:p>
              </w:tc>
            </w:tr>
            <w:tr>
              <w:trPr>
                <w:cantSplit/>
              </w:trPr>
              <w:tc>
                <w:tcPr>
                  <w:tcW w:type="dxa" w:w="2006"/>
                  <w:vAlign w:val="top"/>
                  <w:tcMar>
                    <w:top w:w="70" w:type="dxa"/>
                    <w:bottom w:w="70" w:type="dxa"/>
                    <w:left w:w="80" w:type="dxa"/>
                    <w:right w:w="80" w:type="dxa"/>
                  </w:tcMar>
                  <w:shd w:fill="FFFFFF"/>
                </w:tcPr>
                <w:p>
                  <w:pPr>
                    <w:spacing w:after="40" w:before="0" w:line="264" w:lineRule="auto"/>
                  </w:pPr>
                  <w:r>
                    <w:rPr>
                      <w:b w:val="0"/>
                      <w:sz w:val="18"/>
                    </w:rPr>
                    <w:t>折叠</w:t>
                  </w:r>
                </w:p>
              </w:tc>
              <w:tc>
                <w:tcPr>
                  <w:tcW w:type="dxa" w:w="4911"/>
                  <w:vAlign w:val="top"/>
                  <w:tcMar>
                    <w:top w:w="70" w:type="dxa"/>
                    <w:bottom w:w="70" w:type="dxa"/>
                    <w:left w:w="80" w:type="dxa"/>
                    <w:right w:w="80" w:type="dxa"/>
                  </w:tcMar>
                  <w:shd w:fill="FFFFFF"/>
                </w:tcPr>
                <w:p>
                  <w:pPr>
                    <w:spacing w:after="40" w:before="0" w:line="264" w:lineRule="auto"/>
                  </w:pPr>
                  <w:r>
                    <w:rPr>
                      <w:b w:val="0"/>
                      <w:sz w:val="18"/>
                    </w:rPr>
                    <w:t>折叠屏＋折叠机身配套</w:t>
                  </w:r>
                </w:p>
              </w:tc>
            </w:tr>
            <w:tr>
              <w:trPr>
                <w:cantSplit/>
              </w:trPr>
              <w:tc>
                <w:tcPr>
                  <w:tcW w:type="dxa" w:w="2006"/>
                  <w:vAlign w:val="top"/>
                  <w:tcMar>
                    <w:top w:w="70" w:type="dxa"/>
                    <w:bottom w:w="70" w:type="dxa"/>
                    <w:left w:w="80" w:type="dxa"/>
                    <w:right w:w="80" w:type="dxa"/>
                  </w:tcMar>
                  <w:shd w:fill="F3F7F8"/>
                </w:tcPr>
                <w:p>
                  <w:pPr>
                    <w:spacing w:after="40" w:before="0" w:line="264" w:lineRule="auto"/>
                  </w:pPr>
                  <w:r>
                    <w:rPr>
                      <w:b w:val="0"/>
                      <w:sz w:val="18"/>
                    </w:rPr>
                    <w:t>生态</w:t>
                  </w:r>
                </w:p>
              </w:tc>
              <w:tc>
                <w:tcPr>
                  <w:tcW w:type="dxa" w:w="4911"/>
                  <w:vAlign w:val="top"/>
                  <w:tcMar>
                    <w:top w:w="70" w:type="dxa"/>
                    <w:bottom w:w="70" w:type="dxa"/>
                    <w:left w:w="80" w:type="dxa"/>
                    <w:right w:w="80" w:type="dxa"/>
                  </w:tcMar>
                  <w:shd w:fill="F3F7F8"/>
                </w:tcPr>
                <w:p>
                  <w:pPr>
                    <w:spacing w:after="40" w:before="0" w:line="264" w:lineRule="auto"/>
                  </w:pPr>
                  <w:r>
                    <w:rPr>
                      <w:b w:val="0"/>
                      <w:sz w:val="18"/>
                    </w:rPr>
                    <w:t>芯片生态标识，或卡面明确授予</w:t>
                  </w:r>
                </w:p>
              </w:tc>
            </w:tr>
          </w:tbl>
          <w:p>
            <w:pPr>
              <w:widowControl/>
            </w:pPr>
          </w:p>
          <w:p>
            <w:pPr>
              <w:keepNext w:val="0"/>
              <w:widowControl/>
            </w:pPr>
            <w:r>
              <w:t>大众消费接受所有合法产品；电竞通常需性能，摄影需影像，商务需续航／生态／折叠之一。卡牌可以放宽。安全与耐候仅为合同资格。</w:t>
            </w:r>
          </w:p>
          <w:p>
            <w:pPr>
              <w:keepNext w:val="0"/>
              <w:widowControl/>
            </w:pPr>
            <w:r>
              <w:t>卡面标识不一定自动成为整机特征：低规格影像上的“影像”字样不替代规格≥6；牌面明说取得才算。上述条件也印在部件与产品速查卡。</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同一产品可能合格于三个市场，但只有一批货，锁定时仍只能选择其中一处。</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7.4 组装费、部件费、方案费</w:t>
            </w:r>
          </w:p>
          <w:p>
            <w:pPr>
              <w:keepNext w:val="0"/>
              <w:widowControl/>
            </w:pPr>
            <w:r>
              <w:t>先算付银行的制造款：</w:t>
            </w:r>
            <w:r>
              <w:rPr>
                <w:b/>
              </w:rPr>
              <w:t>四部件制造费＋有效组装费＋Q方案费−明确制造总费优惠</w:t>
            </w:r>
            <w:r>
              <w:t>，最低6。组装费原为8，只减组装费先到0；多项定制按各行相加。</w:t>
            </w:r>
          </w:p>
          <w:p>
            <w:pPr>
              <w:keepNext w:val="0"/>
              <w:widowControl/>
            </w:pPr>
            <w:r>
              <w:t>再单独相加付给各研发者的外部授权费。</w:t>
            </w:r>
            <w:r>
              <w:rPr>
                <w:b/>
              </w:rPr>
              <w:t>入库费不预付制造；制造总费减免不减少授权费。</w:t>
            </w:r>
            <w:r>
              <w:t xml:space="preserve"> 本版授权费固定，不议价、不欠账、不相互抵销；只改关系适配的能力也不免付费。</w:t>
            </w:r>
          </w:p>
          <w:p>
            <w:pPr>
              <w:keepNext w:val="0"/>
              <w:widowControl/>
            </w:pPr>
            <w:r>
              <w:t>开始组装前须持有制造款和所有授权款的总和，不能先收本次随后奖励再补缴。原作者使用自己技术不向自己付授权费，但联合适配照查。</w:t>
            </w:r>
          </w:p>
          <w:p>
            <w:pPr>
              <w:keepNext w:val="0"/>
              <w:widowControl/>
            </w:pPr>
            <w:r>
              <w:t>芯片规格、等效负载与费用按6.9卡面读；它们不是现实跑分、瓦数或采购报价。旧配件不自动折价。</w:t>
            </w:r>
          </w:p>
          <w:p>
            <w:pPr>
              <w:keepNext w:val="0"/>
              <w:widowControl/>
            </w:pPr>
            <w:r>
              <w:t>扩产按发布开始的原配置和公司持续能力重新算一批制造款及授权款，不抄原先支付金额。正常工作/首次/取消改款优惠不用于扩产；见§13.4。</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制造款23＋给A授权3＋给C授权4，B须先有30。付银行23、给A3、给C4。取消时三笔都不退。</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7.5 集成占位与T21：不增加产品格</w:t>
            </w:r>
          </w:p>
          <w:p>
            <w:pPr>
              <w:keepNext w:val="0"/>
              <w:widowControl/>
            </w:pPr>
            <w:r>
              <w:t>产品通常有2个技术位。先加总部件印刷集成占位；除T21外，每张部署技术再占1位，合计不得超过2。集成占位不是研发，不给科技或本人科研资格。</w:t>
            </w:r>
          </w:p>
          <w:p>
            <w:pPr>
              <w:keepNext w:val="0"/>
              <w:widowControl/>
            </w:pPr>
            <w:r/>
            <w:r>
              <w:rPr>
                <w:b/>
              </w:rPr>
              <w:t>T21高密度封装是例外</w:t>
            </w:r>
            <w:r>
              <w:t>：只有原始部件集成合计至少1时才能部署；T21自身占0位，并把集成合计减1、最低0。总上限仍为2，不叠加、不扩大成3或4位。无集成产品不能挂T21来补挑战资格。</w:t>
            </w:r>
          </w:p>
          <w:p>
            <w:pPr>
              <w:keepNext w:val="0"/>
              <w:widowControl/>
            </w:pPr>
            <w:r>
              <w:t>T21仍要真实完成或合法付费授权，并用原有产品指派片表示；最多T21＋两项其他部署，现有每产品3枚片足够。不另放减位片。联合适配、世代与技术使用限制照查。</w:t>
            </w:r>
          </w:p>
          <w:p>
            <w:pPr>
              <w:keepNext w:val="0"/>
              <w:widowControl/>
            </w:pPr>
            <w:r>
              <w:t>扩产沿用已经合法的配置，不把两批位数相加，也不再次应用T21抵消。临时样机同样检查，不能用尚未完成的T21证明自己。</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集成1＋T21＋T07＋T26：集成变0，T21占0，另两项占2，合法。集成2＋T21只剩1个位置可部署其他技术。无集成＋T21不合法。</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7.6 芯片规格是压缩档，不是跑分或瓦数</w:t>
            </w:r>
          </w:p>
          <w:p>
            <w:pPr>
              <w:keepNext w:val="0"/>
              <w:widowControl/>
            </w:pPr>
            <w:r/>
            <w:r>
              <w:rPr>
                <w:b/>
              </w:rPr>
              <w:t>规格</w:t>
            </w:r>
            <w:r>
              <w:t>表示CPU/GPU综合能力的压缩档。同一分数只表示落在同一桌游档位，不代表两颗芯片现实完全相等；ISP、AI、图形与散热协同另由卡面专长表现。</w:t>
            </w:r>
          </w:p>
          <w:p>
            <w:pPr>
              <w:keepNext w:val="0"/>
              <w:widowControl/>
            </w:pPr>
            <w:r/>
            <w:r>
              <w:rPr>
                <w:b/>
              </w:rPr>
              <w:t>功耗</w:t>
            </w:r>
            <w:r>
              <w:t>仍按原规则相加并与机身供电比较，但这里是本游戏的等效负载，不能读成实测瓦数。降低功耗的技术是游戏工程修正。制造费与入库费表示经营投入，不是人民币或美元报价。</w:t>
            </w:r>
          </w:p>
          <w:p>
            <w:pPr>
              <w:keepNext w:val="0"/>
              <w:widowControl/>
            </w:pPr>
            <w:r>
              <w:t>只用当前卡上的固定数字和条件，不按工艺节点、核心数量、现实品牌自行加分。前瞻/待核型号也有固定可用游戏值，但没有真实参数保证。</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设计边界</w:t>
            </w:r>
          </w:p>
          <w:p>
            <w:pPr>
              <w:widowControl/>
              <w:spacing w:line="312" w:lineRule="auto" w:after="140"/>
            </w:pPr>
            <w:r>
              <w:rPr>
                <w:color w:val="3C606B"/>
                <w:sz w:val="18"/>
              </w:rPr>
              <w:t>50款保留相对能效取舍。骁龙8 Gen 1、猎户座990和骁龙888仍为8负载；T760是低成本补充，不假装旗舰。供货窗口、现实发布时间和游戏等效负载分别记录。</w:t>
            </w:r>
          </w:p>
        </w:tc>
      </w:tr>
    </w:tbl>
    <w:p>
      <w:pPr>
        <w:spacing w:after="60" w:before="0" w:line="40" w:lineRule="exact"/>
      </w:pPr>
      <w:r>
        <w:rPr>
          <w:sz w:val="4"/>
        </w:rPr>
        <w:t xml:space="preserve"> </w:t>
      </w:r>
    </w:p>
    <w:p>
      <w:pPr>
        <w:pStyle w:val="Heading1"/>
      </w:pPr>
      <w:r>
        <w:t>08  取消、改款与跨场等待</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8.1 取消是收回配置，不是退款</w:t>
            </w:r>
          </w:p>
          <w:p>
            <w:pPr>
              <w:keepNext w:val="0"/>
              <w:widowControl/>
            </w:pPr>
            <w:r>
              <w:t>本人正常工作阶段，可免费取消尚未成交的一批。定制与Q回手，代替卡收回，所有该批技术指派片收回，产品位清空；已付现金、授权费、工作与已领科研成果均不退。</w:t>
            </w:r>
          </w:p>
          <w:p>
            <w:pPr>
              <w:keepNext w:val="0"/>
              <w:widowControl/>
            </w:pPr>
            <w:r>
              <w:t>稳定实体留库，公共技术及永久作者署名留原厂。其他玩家在同一公共技术上的指派不受影响。未售原配置可跨场保留，不再支付原授权费。</w:t>
            </w:r>
          </w:p>
          <w:p>
            <w:pPr>
              <w:keepNext w:val="0"/>
              <w:widowControl/>
            </w:pPr>
            <w:r>
              <w:t>发布锁定后不能取消、换库、替换指派或补授权。没有把A③指派片直接挪到A②继续免费用的规则。</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B取消③，只收B·③指派。A的作者片和D的使用片照旧。B再组装另一批要重新付授权费。</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8.2 改款＝取消，再组装</w:t>
            </w:r>
          </w:p>
          <w:p>
            <w:pPr>
              <w:keepNext w:val="0"/>
              <w:widowControl/>
            </w:pPr>
            <w:r>
              <w:t>改款就是取消，再正常组装一批，重新检查并付费，不另设空型号或库存模板。T31/U14只奖励取消后紧接同位组装；不能跨中间其他工作追溯。</w:t>
            </w:r>
          </w:p>
          <w:p>
            <w:pPr>
              <w:keepNext w:val="0"/>
              <w:widowControl/>
            </w:pPr>
            <w:r>
              <w:t>同配置再造一批要用另一空产品位。定制需另一实体；</w:t>
            </w:r>
            <w:r>
              <w:rPr>
                <w:b/>
              </w:rPr>
              <w:t>同一技术在同一家公司同一时刻只能供一批</w:t>
            </w:r>
            <w:r>
              <w:t>，自主、作者自用和外部授权均相同。不同公司可同时使用同一公共技术。</w:t>
            </w:r>
          </w:p>
          <w:p>
            <w:pPr>
              <w:keepNext w:val="0"/>
              <w:widowControl/>
            </w:pPr>
            <w:r>
              <w:t>免费取消不复位本人回合/准备期限次，不增加已完成研发数，不重新领关系或科研分。</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A已用公共T09供①，不能再付一次费给A②；但B可以给B③购买同一项公开T09。</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8.3 未售原样留下，成交则结束</w:t>
            </w:r>
          </w:p>
          <w:p>
            <w:pPr>
              <w:keepNext w:val="0"/>
              <w:widowControl/>
            </w:pPr>
            <w:r>
              <w:t>未售/留库完整配置原样跨场，不减分、不回手、不付款，不记录代龄，仍占产品位和全部引用。下场可重选价格与唯一去向；公开过的技术指派不再反扣隐藏。</w:t>
            </w:r>
          </w:p>
          <w:p>
            <w:pPr>
              <w:keepNext w:val="0"/>
              <w:widowControl/>
            </w:pPr>
            <w:r>
              <w:t>零售/合同成交在全场证据及奖励检查后清空：定制/Q移出，Q21按自身真实成交例外；代替卡与使用指派片收回。永久署名不收，不为下一批保留旧授权。</w:t>
            </w:r>
          </w:p>
          <w:p>
            <w:pPr>
              <w:keepNext w:val="0"/>
              <w:widowControl/>
            </w:pPr>
            <w:r>
              <w:t>渠道回购、H29出口不算真实成交，不加收入、不挑战、不触发Q21等成交能力，也不建立成交型供应商关系；按消耗结束占用，同批不重复处置。</w:t>
            </w:r>
          </w:p>
          <w:p>
            <w:pPr>
              <w:keepNext w:val="0"/>
              <w:widowControl/>
            </w:pPr>
            <w:r>
              <w:t>临时订单被扩产挤掉，按未售原批处理。成功扩产只有当场成交两批的结果，不能故意留库、取消扩产或制造第二套可回手实体。</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联合技术的作者拿过授权费，产品没卖掉也不用退；批次还在，买方下场也无需再次付费。</w:t>
            </w:r>
          </w:p>
        </w:tc>
      </w:tr>
    </w:tbl>
    <w:p>
      <w:pPr>
        <w:spacing w:after="60" w:before="0" w:line="40" w:lineRule="exact"/>
      </w:pPr>
      <w:r>
        <w:rPr>
          <w:sz w:val="4"/>
        </w:rPr>
        <w:t xml:space="preserve"> </w:t>
      </w:r>
    </w:p>
    <w:p>
      <w:pPr>
        <w:pStyle w:val="Heading1"/>
      </w:pPr>
      <w:r>
        <w:t>09  研发与证据：不记录产品历史</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9.1 先选模式，再读费用与工期</w:t>
            </w:r>
          </w:p>
          <w:p>
            <w:pPr>
              <w:keepNext w:val="0"/>
              <w:widowControl/>
            </w:pPr>
            <w:r>
              <w:t>从手牌立项T，先满足卡面“本人此前完成项目数”，确认在研空槽。选择自主或允许的联合，花1工作，支付所选一行的研发费并推进到1。适用减免后最低6；两种模式使用相同基础前置、基础证据和完成科技。</w:t>
            </w:r>
          </w:p>
          <w:p>
            <w:pPr>
              <w:keepNext w:val="0"/>
              <w:widowControl/>
            </w:pPr>
            <w:r/>
            <w:r>
              <w:rPr>
                <w:b/>
              </w:rPr>
              <w:t>联合</w:t>
            </w:r>
            <w:r>
              <w:t>：直接读取本卡联合费用与工期，不能根据科技点反推。需已有相应核心，先展示可用本厂关联部件，完成仍需原证据与本厂合法样机。首次核心可按§5.3同工作并入，12核心费另付。</w:t>
            </w:r>
          </w:p>
          <w:p>
            <w:pPr>
              <w:keepNext w:val="0"/>
              <w:widowControl/>
            </w:pPr>
            <w:r/>
            <w:r>
              <w:rPr>
                <w:b/>
              </w:rPr>
              <w:t>自主</w:t>
            </w:r>
            <w:r>
              <w:t>：直接读取本卡自主费用与工期，不要求供应商关系；成果公开展示但只由本人使用。费用与工期不按联合数值乘二；同一张卡中自主仍更贵且更久。只有自主路径的公司工艺也只读卡面。</w:t>
            </w:r>
          </w:p>
          <w:p>
            <w:pPr>
              <w:keepNext w:val="0"/>
              <w:widowControl/>
            </w:pPr>
            <w:r>
              <w:t>以后通常每工作推进1，可同回合连续投入；按所选模式工期封顶。到线且证据满足才领取一次科技。缺证据放待验证片，以后1工作复核。放弃项目不退费，牌入主弃牌；立项后不改模式、不补差。</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T16联合9／工期4，自主17／工期6；T28联合12／工期3，自主30／工期5。低现金项目未必快，较大价差也不一定有相同时间倍率。</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9.2 用现货或临时样机作证</w:t>
            </w:r>
          </w:p>
          <w:p>
            <w:pPr>
              <w:keepNext w:val="0"/>
              <w:widowControl/>
            </w:pPr>
            <w:r>
              <w:t>完成项目的证明可用现存合法产品，也可临时拼样机。临时样机用本人库内已开放稳定、手中未占用定制和本人未占用完成技术，不付款生产、不产库存，展示后归原位。</w:t>
            </w:r>
          </w:p>
          <w:p>
            <w:pPr>
              <w:keepNext w:val="0"/>
              <w:widowControl/>
            </w:pPr>
            <w:r>
              <w:t>样机仍检查完整四类、世代、形态、供电、兼容、集成/部署位及联合适配。两样机须同时合法，定制/技术不得在本公司重复占用；稳定可共享。正在完成的研发不能证明自己。</w:t>
            </w:r>
          </w:p>
          <w:p>
            <w:pPr>
              <w:keepNext w:val="0"/>
              <w:widowControl/>
            </w:pPr>
            <w:r/>
            <w:r>
              <w:rPr>
                <w:b/>
              </w:rPr>
              <w:t>联合完成除原证据外，至少有一款证明样机使用合作厂的卡面关联部件。</w:t>
            </w:r>
            <w:r>
              <w:t xml:space="preserve"> 原证据为“无”也要提供这款样机。相关部件来自单项稳定或多项定制均可，后者厂标对其所有部件有效。</w:t>
            </w:r>
          </w:p>
          <w:p>
            <w:pPr>
              <w:keepNext w:val="0"/>
              <w:widowControl/>
            </w:pPr>
            <w:r>
              <w:t>不能为临时样机免费借用他人的公共技术。本人已经制造、实际付过授权费且授权仍有效的完整产品可以作证；取消后不能把借用技术移到临时样机。独立验证只用真实现货。</w:t>
            </w:r>
          </w:p>
          <w:p>
            <w:pPr>
              <w:keepNext w:val="0"/>
              <w:widowControl/>
            </w:pPr>
            <w:r>
              <w:t>原产品的扩产批不构成第二款独立样机；需要两款同时存在的样机，仍须两个原产品位或两套合法临时配置。</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蓝厂T09关联屏幕：要有合法蓝厂屏幕样机，芯片、影像和机身不必蓝厂。T09自己的减功耗不能拿来使这台证明机合法。</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9.3 工艺与部署的区别</w:t>
            </w:r>
          </w:p>
          <w:p>
            <w:pPr>
              <w:keepNext w:val="0"/>
              <w:widowControl/>
            </w:pPr>
            <w:r>
              <w:t>完成自主研发，原卡进入本人公开完成区；工艺立即作用于公司，部署技术在后续组装中分配。完成联合研发，原卡进入合作厂公共技术区，放永久作者圆片；同项科技仅由该作者领取一次。</w:t>
            </w:r>
          </w:p>
          <w:p>
            <w:pPr>
              <w:keepNext w:val="0"/>
              <w:widowControl/>
            </w:pPr>
            <w:r>
              <w:t>统计本人完成项目与领域时，计算私人完成区和公共区本人署名卡；不计算外部授权或指派片。已完成成果不能退回在研、自主转公开、公开转独占，不能移动合作厂。</w:t>
            </w:r>
          </w:p>
          <w:p>
            <w:pPr>
              <w:keepNext w:val="0"/>
              <w:widowControl/>
            </w:pPr>
            <w:r>
              <w:t>联合作者也须满足关联部件同厂，并放使用指派片才能给自己的产品生效；只是署名不会覆盖全公司。其他公司的使用不占作者那一格。</w:t>
            </w:r>
          </w:p>
          <w:p>
            <w:pPr>
              <w:keepNext w:val="0"/>
              <w:widowControl/>
            </w:pPr>
            <w:r>
              <w:t>工艺不占技术位、不可联合授权；本版35张部署技术可联合。新研究不自动强化已经制造的产品，需取消重组；发布中完成不重算本场结果。</w:t>
            </w:r>
          </w:p>
          <w:p>
            <w:pPr>
              <w:keepNext w:val="0"/>
              <w:widowControl/>
            </w:pPr>
            <w:r>
              <w:t>同产品扩产只扩大本场交付数量；不重复领取研究完成科技、不改变署名，也不开放新的技术使用目标。</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公共T09上有作者A，使用B③、D①。只有A增加完成项目数；B、D只是各有一批使用权。</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9.4 独立验证按公司和世代限次</w:t>
            </w:r>
          </w:p>
          <w:p>
            <w:pPr>
              <w:keepNext w:val="0"/>
              <w:widowControl/>
            </w:pPr>
            <w:r>
              <w:t>独立验证：2工作、12现金，展示基础竞争力≥10且至少2特征的真实现货，得1科技。每公司每当前供应世代一次，不因取消、改号、换授权或切核心复位。</w:t>
            </w:r>
          </w:p>
          <w:p>
            <w:pPr>
              <w:keepNext w:val="0"/>
              <w:widowControl/>
            </w:pPr>
            <w:r>
              <w:t>T32改门槛，T39减工作，U12/Q22减现金，均不加次数。Q22另须本人研发与外部授权共同部署。</w:t>
            </w:r>
          </w:p>
          <w:p>
            <w:pPr>
              <w:keepNext w:val="0"/>
              <w:widowControl/>
            </w:pPr>
            <w:r>
              <w:t>技术服务每本人回合一次：没有本人完成T得6现金，有则10；包括公共区本人署名。外部授权不当作完成。U18已改为许可经营取牌，不再把服务提高到16。</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商业玩家用真实授权产品做一次独立验证仍合法；但仅借技术不会直接拿研发卡印刷科技，也不自动获得科技挑战资格。</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9.5 一枚进度片，沿模式走到目标</w:t>
            </w:r>
          </w:p>
          <w:p>
            <w:pPr>
              <w:keepNext w:val="0"/>
              <w:widowControl/>
            </w:pPr>
            <w:r>
              <w:t>每个项目只用一枚进度片。联合在研片表示联合，无此片表示自主；沿同一条0—8进度条记录。目标直接看已选模式，可能是3、5、7等整数。到线缺证据仍放待验证片，不新加计时组件。</w:t>
            </w:r>
          </w:p>
          <w:p>
            <w:pPr>
              <w:keepNext w:val="0"/>
              <w:widowControl/>
            </w:pPr>
            <w:r>
              <w:t>实验室、工程试验等合法加速按卡面适用，进度不超过本模式目标，不能转给其他项目。两种模式约两倍只曾用于整体设计参考，不是当前游戏的结算规则，也不保证实际耗时倍率。</w:t>
            </w:r>
          </w:p>
          <w:p>
            <w:pPr>
              <w:keepNext w:val="0"/>
              <w:widowControl/>
            </w:pPr>
            <w:r>
              <w:t>完成两种模式领取相同科技与技术效果。自主多付的现金和工期换取独占与适配自由，不另送分。U16只减卡面联合费用（最低6），不减核心投入、工期或授权费。</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T18自主目标8、当前6：工程奖励加3，只到8。T03联合费9，U16减4后因最低6而支付6；自主仍读12，不用把6乘二来决定价格。</w:t>
            </w:r>
          </w:p>
        </w:tc>
      </w:tr>
    </w:tbl>
    <w:p>
      <w:pPr>
        <w:spacing w:after="60" w:before="0" w:line="40" w:lineRule="exact"/>
      </w:pPr>
      <w:r>
        <w:rPr>
          <w:sz w:val="4"/>
        </w:rPr>
        <w:t xml:space="preserve"> </w:t>
      </w:r>
    </w:p>
    <w:p>
      <w:pPr>
        <w:pStyle w:val="Heading1"/>
      </w:pPr>
      <w:r>
        <w:t>10  公开技术：署名与每批使用权</w:t>
      </w:r>
    </w:p>
    <w:p>
      <w:pPr>
        <w:keepNext/>
      </w:pPr>
      <w:r>
        <w:t>工艺只自主；可联合部署技术完成后公开。作者、供货厂和实际使用者是三种独立信息。</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10.1 厂区、圆署名、长方指派</w:t>
            </w:r>
          </w:p>
          <w:p>
            <w:pPr>
              <w:keepNext w:val="0"/>
              <w:widowControl/>
            </w:pPr>
            <w:r>
              <w:t>联合完成后，原T卡放在合作厂公共技术区；圆形署名片放卡的作者栏，永久标出A/B/C/D。该厂由卡所在区域表示，不额外复制T卡。</w:t>
            </w:r>
          </w:p>
          <w:p>
            <w:pPr>
              <w:keepNext w:val="0"/>
              <w:widowControl/>
            </w:pPr>
            <w:r>
              <w:t>T卡下沿另有A/B/C/D四个使用位置。准备期把公司的长方指派片反扣在本公司格，背面只写公司，不显示产品号；揭晓时翻成公司字母+产品①—④。</w:t>
            </w:r>
          </w:p>
          <w:p>
            <w:pPr>
              <w:keepNext w:val="0"/>
              <w:widowControl/>
            </w:pPr>
            <w:r>
              <w:t>原作者使用也放自己的指派片。没有片就没有部署；圆片只证明科研所有权，不占产品技术位。未售公开产品的片保持正面。</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蓝厂T09：圆A＝作者A。长方B③＝B③正在使用。B取消③只收B片，不能动A圆片。</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10.2 普通组装授权与扩产例外</w:t>
            </w:r>
          </w:p>
          <w:p>
            <w:pPr>
              <w:keepNext w:val="0"/>
              <w:widowControl/>
            </w:pPr>
            <w:r>
              <w:t>本人至少是该公共技术所在厂的伙伴，本批卡面关联部件来自该厂，且满足技术实际条件，才可在组装中使用。多项定制覆盖关联部件时读整张厂标。</w:t>
            </w:r>
          </w:p>
          <w:p>
            <w:pPr>
              <w:keepNext w:val="0"/>
              <w:widowControl/>
            </w:pPr>
            <w:r>
              <w:t>向原作者支付卡面授权费，和制造付款一起预先备足，才能放使用片；不额外花工作，不议价，不得拒绝合格付费者，不免其制造成本。作者自用无授权费，但也受同厂适配、技术位与本公司占用限制。</w:t>
            </w:r>
          </w:p>
          <w:p>
            <w:pPr>
              <w:keepNext w:val="0"/>
              <w:widowControl/>
            </w:pPr>
            <w:r>
              <w:t>同项技术每公司同时最多供1批；不同公司可各供1批。普通合作或核心状态改变不回溯已经合法付费的批次；未来批次重新检查。</w:t>
            </w:r>
          </w:p>
          <w:p>
            <w:pPr>
              <w:keepNext w:val="0"/>
              <w:widowControl/>
            </w:pPr>
            <w:r>
              <w:t>T34/Q08只可使本批另一项联合技术豁免同厂部件条件，两者合计最多1项；只有一项关联部件不匹配时，它就是该批被豁免对象，不另记选择片；两项不匹配不能用。不能免该厂伙伴关系、授权费、技术位或技术自身效果前置。</w:t>
            </w:r>
          </w:p>
          <w:p>
            <w:pPr>
              <w:keepNext w:val="0"/>
              <w:widowControl/>
            </w:pPr>
            <w:r/>
            <w:r>
              <w:rPr>
                <w:b/>
              </w:rPr>
              <w:t>扩产例外：沿用这组已经合法的技术指派，追加一批并按卡面重新付每项外部授权费。</w:t>
            </w:r>
            <w:r>
              <w:t xml:space="preserve"> 原作者自用仍免费。不准借此加入新技术、换目标或给另一产品授权；本公司同项技术的唯一使用格仍指向原产品号。</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B付A4现金取得T09供B③；A仍可供A①，C也能依法取得。B不能再付4让自己的②也同时使用。</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10.3 付款不等于完成科研</w:t>
            </w:r>
          </w:p>
          <w:p>
            <w:pPr>
              <w:keepNext w:val="0"/>
              <w:widowControl/>
            </w:pPr>
            <w:r>
              <w:t>原作者领完成科技一次，公共卡只计原作者的完成项目与领域。使用者获得本批能力，不获得项目数或印刷科技，不把集成占位当研发。</w:t>
            </w:r>
          </w:p>
          <w:p>
            <w:pPr>
              <w:keepNext w:val="0"/>
              <w:widowControl/>
            </w:pPr>
            <w:r>
              <w:t>检查“已完成T”“本人完成并部署”“技术挑战/工程奖励”时，须是本公司私有完成卡或公共区本人署名，且相应指派确实给这批。一般卡面只写部署某领域技术，合法外部授权可发挥能力；明确本人完成则不可替代。</w:t>
            </w:r>
          </w:p>
          <w:p>
            <w:pPr>
              <w:keepNext w:val="0"/>
              <w:widowControl/>
            </w:pPr>
            <w:r>
              <w:t>T41/Q22等要求同时有本人和外部技术时，必须是两张不同T；自己的联合成果不是外部。</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作者A的T09与B自己的T07都部署B③：T09是外部，T07是本人。只有T09时，不能选参考机科技奖。</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10.4 一枚使用片，就是这一批的有效授权</w:t>
            </w:r>
          </w:p>
          <w:p>
            <w:pPr>
              <w:keepNext w:val="0"/>
              <w:widowControl/>
            </w:pPr>
            <w:r>
              <w:t>组装时付一次，未售原样跨场就不重复付；不能直接将片从产品③改给②。取消或成交/处置统一整理后收片，原授权结束；重新造一批重新付。</w:t>
            </w:r>
          </w:p>
          <w:p>
            <w:pPr>
              <w:keepNext w:val="0"/>
              <w:widowControl/>
            </w:pPr>
            <w:r>
              <w:t>公共技术不被买走、用掉、移入某玩家手牌或恢复私有；圆署名永远不因取消或售出收回。别人署名与使用片都不能移动。</w:t>
            </w:r>
          </w:p>
          <w:p>
            <w:pPr>
              <w:keepNext w:val="0"/>
              <w:widowControl/>
            </w:pPr>
            <w:r>
              <w:t>所有合法批次保留至本场奖励和科研证据核验完，再统一释放。不能先卖一台释放授权，现场给另一台补用；没有需要记的跨期授权费或授权次数。</w:t>
            </w:r>
          </w:p>
          <w:p>
            <w:pPr>
              <w:keepNext w:val="0"/>
              <w:widowControl/>
            </w:pPr>
            <w:r>
              <w:t>原产品旁有＋1，只表示本场已为第二批付费并即将一起交付。产品结束收长方片与＋1，圆形署名永久保留；不会留下第二批未售许可。</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取消原批次不退给A的4现金；返修再造再付4。原作者这时换核心，也不会撤销B尚未结束的合法批次。</w:t>
            </w:r>
          </w:p>
        </w:tc>
      </w:tr>
    </w:tbl>
    <w:p>
      <w:pPr>
        <w:spacing w:after="60" w:before="0" w:line="40" w:lineRule="exact"/>
      </w:pPr>
      <w:r>
        <w:rPr>
          <w:sz w:val="4"/>
        </w:rPr>
        <w:t xml:space="preserve"> </w:t>
      </w:r>
    </w:p>
    <w:p>
      <w:pPr>
        <w:pStyle w:val="Heading1"/>
      </w:pPr>
      <w:r>
        <w:t>11  合同与设施围绕实际批次工作</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11.1 签合同，押金直接放真钱</w:t>
            </w:r>
          </w:p>
          <w:p>
            <w:pPr>
              <w:keepNext w:val="0"/>
              <w:widowControl/>
            </w:pPr>
            <w:r>
              <w:t>花1工作从手牌签H，默认1合同槽A；U10增加B，共2。所有订单、验证、供货与渠道合同都占槽，关系和核心身份不占槽。</w:t>
            </w:r>
          </w:p>
          <w:p>
            <w:pPr>
              <w:keepNext w:val="0"/>
              <w:widowControl/>
            </w:pPr>
            <w:r>
              <w:t>先查卡面前置，付费用或押金（真钱筹码压在卡上），放期限片；签约后马上发生的发布也计一次期限。本人工作阶段可免费终止，不退费用，押金没收。</w:t>
            </w:r>
          </w:p>
          <w:p>
            <w:pPr>
              <w:keepNext w:val="0"/>
              <w:widowControl/>
            </w:pPr>
            <w:r>
              <w:t>普通客户也能签约，除非卡面明确要求伙伴/核心。</w:t>
            </w:r>
            <w:r>
              <w:rPr>
                <w:b/>
              </w:rPr>
              <w:t>签约本身不建立伙伴。</w:t>
            </w:r>
            <w:r>
              <w:t xml:space="preserve"> 完整交付订单、完成验证合同后才与其厂建立关系；供货/渠道合同自然到期不算履约触发。</w:t>
            </w:r>
          </w:p>
          <w:p>
            <w:pPr>
              <w:keepNext w:val="0"/>
              <w:widowControl/>
            </w:pPr>
            <w:r>
              <w:t>H30仍为独立单批订单；H21—H25改要求本人完成对应厂联合研发，属于核心合作的选择而非所有合同共通门槛。</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只签一张验证合同还不能联合立项：先通过真实供货业务成为伙伴，再投入核心合作，才有联合入口。</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11.2 两批订单由两个产品位交货</w:t>
            </w:r>
          </w:p>
          <w:p>
            <w:pPr>
              <w:keepNext w:val="0"/>
              <w:widowControl/>
            </w:pPr>
            <w:r>
              <w:t>H01—H15及H30按卡面一次恰好交齐。每产品位1批，各自满足全部条件；不足、超额或一批不合格均整单不交付，不可揭晓后改投。</w:t>
            </w:r>
          </w:p>
          <w:p>
            <w:pPr>
              <w:keepNext w:val="0"/>
              <w:widowControl/>
            </w:pPr>
            <w:r>
              <w:t>交货不占零售订单，不受需求预算/参考机影响；领取整单现金、收入与退押，Q18等明确逐批效果另计。同一批不得重复交两张订单。</w:t>
            </w:r>
          </w:p>
          <w:p>
            <w:pPr>
              <w:keepNext w:val="0"/>
              <w:widowControl/>
            </w:pPr>
            <w:r>
              <w:t>H30：交1批含黑厂部件、具有生态/安全且基础≥12的现货，得40现金、4收入、退6押金，期限2次发布。无需另一合同。</w:t>
            </w:r>
          </w:p>
          <w:p>
            <w:pPr>
              <w:keepNext w:val="0"/>
              <w:widowControl/>
            </w:pPr>
            <w:r>
              <w:t>H21—H25：在期限内由本人完成指定厂、指定领域的联合研发。可签约前立项，不可签约前已完成；署名必须本人，一项项目只履行一张验证合同。结案立即领取卡面奖励，伙伴关系在整项结案后生效。</w:t>
            </w:r>
          </w:p>
          <w:p>
            <w:pPr>
              <w:keepNext w:val="0"/>
              <w:widowControl/>
            </w:pPr>
            <w:r>
              <w:t>扩产只用于零售，不可补交合同。此时只核验原有现货的整单结果，合同款、押金退还和履约奖励必须等所有市场扩产结束后再领取。</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借来黄厂影像技术不算完成H22。自己与黄厂联合完成影像研发，才是这张委托的成果。</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11.3 设施与限次放在来源卡上</w:t>
            </w:r>
          </w:p>
          <w:p>
            <w:pPr>
              <w:keepNext w:val="0"/>
              <w:widowControl/>
            </w:pPr>
            <w:r>
              <w:t>建设从手牌付2工作、卡面现金及空间，通常3格。免费拆除设施后移出无残值；此前已经支付的费用不回溯。</w:t>
            </w:r>
          </w:p>
          <w:p>
            <w:pPr>
              <w:keepNext w:val="0"/>
              <w:widowControl/>
            </w:pPr>
            <w:r>
              <w:t>U16仅降低联合立项费；U18在别人实际付正数授权费后触发取牌，限每准备期一次，不提高服务现金。限次片放来源卡，取消不复位。</w:t>
            </w:r>
          </w:p>
          <w:p>
            <w:pPr>
              <w:keepNext w:val="0"/>
              <w:widowControl/>
            </w:pPr>
            <w:r>
              <w:t>U10将合同1增至2；U13只加手牌。U02每本人回合提供一次单批组装点；普通发布末未付6维护则停用，仍占空间。</w:t>
            </w:r>
          </w:p>
          <w:p>
            <w:pPr>
              <w:keepNext w:val="0"/>
              <w:widowControl/>
            </w:pPr>
            <w:r>
              <w:t>建设支持在发布统一清理后的窗口使用，仍检查手牌、费用、空间和前置。新设施不补领本场奖励、不在本场追加组装，也不支付本场维护。</w:t>
            </w:r>
          </w:p>
          <w:p>
            <w:pPr>
              <w:keepNext w:val="0"/>
              <w:widowControl/>
            </w:pPr>
            <w:r>
              <w:t>U18也可由真实扩产授权费触发，仍每准备期一次；新取牌只入手，不重组、不变更本场价格、资格或费用条件。U01/U02/U11/U14的普通工作能力不会因扩产再次触发。</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授权付款后U18可拿一张主牌，但不能借此在别人的回合立即建好刚抽到的设施。</w:t>
            </w:r>
          </w:p>
        </w:tc>
      </w:tr>
    </w:tbl>
    <w:p>
      <w:pPr>
        <w:spacing w:after="60" w:before="0" w:line="40" w:lineRule="exact"/>
      </w:pPr>
      <w:r>
        <w:rPr>
          <w:sz w:val="4"/>
        </w:rPr>
        <w:t xml:space="preserve"> </w:t>
      </w:r>
    </w:p>
    <w:p>
      <w:pPr>
        <w:pStyle w:val="Heading1"/>
      </w:pPr>
      <w:r>
        <w:t>12  锁好价格和去向，再抽竞品</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12.1 每批只选一个去处</w:t>
            </w:r>
          </w:p>
          <w:p>
            <w:pPr>
              <w:keepNext w:val="0"/>
              <w:widowControl/>
            </w:pPr>
            <w:r>
              <w:t>各产品从18/28/38/48价牌选一张，再放唯一去向到四市场、合同A/已开放B或留库。全员锁定后才揭晓产品、价格、去向和技术指派，再抽本场参考机。</w:t>
            </w:r>
          </w:p>
          <w:p>
            <w:pPr>
              <w:keepNext w:val="0"/>
              <w:widowControl/>
            </w:pPr>
            <w:r>
              <w:t>通常48价要求基础≥22且一部件规格≥8，明确卡面许可除外；全部零售仍查预算。T18/H26等入场许可按本产品实际配置应用。</w:t>
            </w:r>
          </w:p>
          <w:p>
            <w:pPr>
              <w:keepNext w:val="0"/>
              <w:widowControl/>
            </w:pPr>
            <w:r>
              <w:t>联合技术的署名、供货厂、授权付款和指派在组装时已确定，发布时只是翻片确认，不能临时购买、换目标、补付款或重选跨厂适配对象。</w:t>
            </w:r>
          </w:p>
          <w:p>
            <w:pPr>
              <w:keepNext w:val="0"/>
              <w:widowControl/>
            </w:pPr>
            <w:r>
              <w:t>未售且先前公开过的产品保持公开配置。各人已锁定后不可取消、换库、改价或改投。</w:t>
            </w:r>
          </w:p>
          <w:p>
            <w:pPr>
              <w:keepNext w:val="0"/>
              <w:widowControl/>
            </w:pPr>
            <w:r>
              <w:t>扩产机会是公开分单之后的追加决定，不需要预先锁定。选择扩产时只能原价、原市场、原配置，不是揭晓后免费改投。</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公共卡上B公司的片一直扣着③；揭晓后确认它给B③，不是让B现在才选择给哪批。</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12.2 发布时现抽，不提前猜中</w:t>
            </w:r>
          </w:p>
          <w:p>
            <w:pPr>
              <w:keepNext w:val="0"/>
              <w:widowControl/>
            </w:pPr>
            <w:r>
              <w:t>本场需求和参考世代预先公开。所有人锁定后，揭晓玩家配置、价格、去向，再把标定世代全部6张V洗匀现抽1张，全桌共用。</w:t>
            </w:r>
          </w:p>
          <w:p>
            <w:pPr>
              <w:keepNext w:val="0"/>
              <w:widowControl/>
            </w:pPr>
            <w:r>
              <w:t>每场都放回全部6张再抽，允许重复；不得预看、挑选或重抽。参考每市场最多占1订单，它的数值已经完成计算，不再叠价格、偏好或玩家预算。</w:t>
            </w:r>
          </w:p>
          <w:p>
            <w:pPr>
              <w:keepNext w:val="0"/>
              <w:widowControl/>
            </w:pPr>
            <w:r>
              <w:t>中途供应换代不会改变本场参考世代；最终发布也照常锁定后现抽。</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I代有低强度与强专长竞品。你只知道候选范围；看到本场是哪张时，配置与价格已经锁好。</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12.3 放错或配置违法</w:t>
            </w:r>
          </w:p>
          <w:p>
            <w:pPr>
              <w:keepNext w:val="0"/>
              <w:widowControl/>
            </w:pPr>
            <w:r>
              <w:t>漏价或多价按28；无48资格选48按38，不重选去向。缺去向按留库；一批多去向整批留库。无市场资格或超预算本场不能成交，原样保留。</w:t>
            </w:r>
          </w:p>
          <w:p>
            <w:pPr>
              <w:keepNext w:val="0"/>
              <w:widowControl/>
            </w:pPr>
            <w:r>
              <w:t>配置自身违法（未来配件、超功耗、技术超位、同公司重复部署、无授权/未付款、联合适配不符等），本场不能成交、作证或挑战，留原位待本人回合取消，不现场修正。</w:t>
            </w:r>
          </w:p>
          <w:p>
            <w:pPr>
              <w:keepNext w:val="0"/>
              <w:widowControl/>
            </w:pPr>
            <w:r>
              <w:t>署名片确定作者，指派片确定使用公司与产品；不许移动别人指派，不许以“有厂标”代替伙伴资格。没有合法指派就没有该部署能力。</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作者A片不在B③的技术位里；它只说明谁研究。B③的技术位数看其实际指派和部件集成占位。</w:t>
            </w:r>
          </w:p>
        </w:tc>
      </w:tr>
    </w:tbl>
    <w:p>
      <w:pPr>
        <w:spacing w:after="60" w:before="0" w:line="40" w:lineRule="exact"/>
      </w:pPr>
      <w:r>
        <w:rPr>
          <w:sz w:val="4"/>
        </w:rPr>
        <w:t xml:space="preserve"> </w:t>
      </w:r>
    </w:p>
    <w:p>
      <w:pPr>
        <w:pStyle w:val="Heading1"/>
      </w:pPr>
      <w:r>
        <w:t>13  先扩产争单，再确认成交与挑战</w:t>
      </w:r>
    </w:p>
    <w:p>
      <w:pPr>
        <w:keepNext/>
      </w:pPr>
      <w:r>
        <w:t>订单先是临时的。按排名选择扩产后，才决定谁真正卖出；全部市场结束以前不领取销售款。</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13.1 算本市场竞争力</w:t>
            </w:r>
          </w:p>
          <w:p>
            <w:pPr>
              <w:keepNext w:val="0"/>
              <w:widowControl/>
            </w:pPr>
            <w:r>
              <w:t>从N卡2/3/4人对应列取订单片。先查资格与售价≤预算，只有合格实际投放参与。</w:t>
            </w:r>
          </w:p>
          <w:p>
            <w:pPr>
              <w:keepNext w:val="0"/>
              <w:widowControl/>
            </w:pPr>
            <w:r>
              <w:t>最终竞争力＝四项规格和通用修正＋本市场能力＋已满足偏好奖励＋价牌修正，最低0。</w:t>
            </w:r>
            <w:r>
              <w:rPr>
                <w:b/>
              </w:rPr>
              <w:t>不扣年龄，也不查旧配件折价表。</w:t>
            </w:r>
            <w:r/>
          </w:p>
          <w:tbl>
            <w:tblPr>
              <w:tblW w:type="auto" w:w="0"/>
              <w:tblLayout w:type="fixed"/>
              <w:tblLook w:firstColumn="1" w:firstRow="1" w:lastColumn="0" w:lastRow="0" w:noHBand="0" w:noVBand="1" w:val="04A0"/>
            </w:tblPr>
            <w:tblGrid>
              <w:gridCol w:w="1729"/>
              <w:gridCol w:w="1729"/>
              <w:gridCol w:w="1729"/>
              <w:gridCol w:w="1729"/>
            </w:tblGrid>
            <w:tr>
              <w:trPr>
                <w:cantSplit/>
                <w:tblHeader/>
              </w:trPr>
              <w:tc>
                <w:tcPr>
                  <w:tcW w:type="dxa" w:w="1729"/>
                  <w:vAlign w:val="top"/>
                  <w:tcMar>
                    <w:top w:w="70" w:type="dxa"/>
                    <w:bottom w:w="70" w:type="dxa"/>
                    <w:left w:w="80" w:type="dxa"/>
                    <w:right w:w="80" w:type="dxa"/>
                  </w:tcMar>
                  <w:shd w:fill="E1EFF0"/>
                </w:tcPr>
                <w:p>
                  <w:pPr>
                    <w:spacing w:after="40" w:before="0" w:line="264" w:lineRule="auto"/>
                  </w:pPr>
                  <w:r>
                    <w:rPr>
                      <w:b/>
                      <w:sz w:val="18"/>
                    </w:rPr>
                    <w:t>售价</w:t>
                  </w:r>
                </w:p>
              </w:tc>
              <w:tc>
                <w:tcPr>
                  <w:tcW w:type="dxa" w:w="1729"/>
                  <w:vAlign w:val="top"/>
                  <w:tcMar>
                    <w:top w:w="70" w:type="dxa"/>
                    <w:bottom w:w="70" w:type="dxa"/>
                    <w:left w:w="80" w:type="dxa"/>
                    <w:right w:w="80" w:type="dxa"/>
                  </w:tcMar>
                  <w:shd w:fill="E1EFF0"/>
                </w:tcPr>
                <w:p>
                  <w:pPr>
                    <w:spacing w:after="40" w:before="0" w:line="264" w:lineRule="auto"/>
                  </w:pPr>
                  <w:r>
                    <w:rPr>
                      <w:b/>
                      <w:sz w:val="18"/>
                    </w:rPr>
                    <w:t>修正</w:t>
                  </w:r>
                </w:p>
              </w:tc>
              <w:tc>
                <w:tcPr>
                  <w:tcW w:type="dxa" w:w="1729"/>
                  <w:vAlign w:val="top"/>
                  <w:tcMar>
                    <w:top w:w="70" w:type="dxa"/>
                    <w:bottom w:w="70" w:type="dxa"/>
                    <w:left w:w="80" w:type="dxa"/>
                    <w:right w:w="80" w:type="dxa"/>
                  </w:tcMar>
                  <w:shd w:fill="E1EFF0"/>
                </w:tcPr>
                <w:p>
                  <w:pPr>
                    <w:spacing w:after="40" w:before="0" w:line="264" w:lineRule="auto"/>
                  </w:pPr>
                  <w:r>
                    <w:rPr>
                      <w:b/>
                      <w:sz w:val="18"/>
                    </w:rPr>
                    <w:t>一批现金</w:t>
                  </w:r>
                </w:p>
              </w:tc>
              <w:tc>
                <w:tcPr>
                  <w:tcW w:type="dxa" w:w="1729"/>
                  <w:vAlign w:val="top"/>
                  <w:tcMar>
                    <w:top w:w="70" w:type="dxa"/>
                    <w:bottom w:w="70" w:type="dxa"/>
                    <w:left w:w="80" w:type="dxa"/>
                    <w:right w:w="80" w:type="dxa"/>
                  </w:tcMar>
                  <w:shd w:fill="E1EFF0"/>
                </w:tcPr>
                <w:p>
                  <w:pPr>
                    <w:spacing w:after="40" w:before="0" w:line="264" w:lineRule="auto"/>
                  </w:pPr>
                  <w:r>
                    <w:rPr>
                      <w:b/>
                      <w:sz w:val="18"/>
                    </w:rPr>
                    <w:t>一批收入</w:t>
                  </w:r>
                </w:p>
              </w:tc>
            </w:tr>
            <w:tr>
              <w:trPr>
                <w:cantSplit/>
              </w:trPr>
              <w:tc>
                <w:tcPr>
                  <w:tcW w:type="dxa" w:w="1729"/>
                  <w:vAlign w:val="top"/>
                  <w:tcMar>
                    <w:top w:w="70" w:type="dxa"/>
                    <w:bottom w:w="70" w:type="dxa"/>
                    <w:left w:w="80" w:type="dxa"/>
                    <w:right w:w="80" w:type="dxa"/>
                  </w:tcMar>
                  <w:shd w:fill="FFFFFF"/>
                </w:tcPr>
                <w:p>
                  <w:pPr>
                    <w:spacing w:after="40" w:before="0" w:line="264" w:lineRule="auto"/>
                  </w:pPr>
                  <w:r>
                    <w:rPr>
                      <w:b w:val="0"/>
                      <w:sz w:val="18"/>
                    </w:rPr>
                    <w:t>18</w:t>
                  </w:r>
                </w:p>
              </w:tc>
              <w:tc>
                <w:tcPr>
                  <w:tcW w:type="dxa" w:w="1729"/>
                  <w:vAlign w:val="top"/>
                  <w:tcMar>
                    <w:top w:w="70" w:type="dxa"/>
                    <w:bottom w:w="70" w:type="dxa"/>
                    <w:left w:w="80" w:type="dxa"/>
                    <w:right w:w="80" w:type="dxa"/>
                  </w:tcMar>
                  <w:shd w:fill="FFFFFF"/>
                </w:tcPr>
                <w:p>
                  <w:pPr>
                    <w:spacing w:after="40" w:before="0" w:line="264" w:lineRule="auto"/>
                  </w:pPr>
                  <w:r>
                    <w:rPr>
                      <w:b w:val="0"/>
                      <w:sz w:val="18"/>
                    </w:rPr>
                    <w:t>＋6</w:t>
                  </w:r>
                </w:p>
              </w:tc>
              <w:tc>
                <w:tcPr>
                  <w:tcW w:type="dxa" w:w="1729"/>
                  <w:vAlign w:val="top"/>
                  <w:tcMar>
                    <w:top w:w="70" w:type="dxa"/>
                    <w:bottom w:w="70" w:type="dxa"/>
                    <w:left w:w="80" w:type="dxa"/>
                    <w:right w:w="80" w:type="dxa"/>
                  </w:tcMar>
                  <w:shd w:fill="FFFFFF"/>
                </w:tcPr>
                <w:p>
                  <w:pPr>
                    <w:spacing w:after="40" w:before="0" w:line="264" w:lineRule="auto"/>
                  </w:pPr>
                  <w:r>
                    <w:rPr>
                      <w:b w:val="0"/>
                      <w:sz w:val="18"/>
                    </w:rPr>
                    <w:t>18</w:t>
                  </w:r>
                </w:p>
              </w:tc>
              <w:tc>
                <w:tcPr>
                  <w:tcW w:type="dxa" w:w="1729"/>
                  <w:vAlign w:val="top"/>
                  <w:tcMar>
                    <w:top w:w="70" w:type="dxa"/>
                    <w:bottom w:w="70" w:type="dxa"/>
                    <w:left w:w="80" w:type="dxa"/>
                    <w:right w:w="80" w:type="dxa"/>
                  </w:tcMar>
                  <w:shd w:fill="FFFFFF"/>
                </w:tcPr>
                <w:p>
                  <w:pPr>
                    <w:spacing w:after="40" w:before="0" w:line="264" w:lineRule="auto"/>
                  </w:pPr>
                  <w:r>
                    <w:rPr>
                      <w:b w:val="0"/>
                      <w:sz w:val="18"/>
                    </w:rPr>
                    <w:t>1</w:t>
                  </w:r>
                </w:p>
              </w:tc>
            </w:tr>
            <w:tr>
              <w:trPr>
                <w:cantSplit/>
              </w:trPr>
              <w:tc>
                <w:tcPr>
                  <w:tcW w:type="dxa" w:w="1729"/>
                  <w:vAlign w:val="top"/>
                  <w:tcMar>
                    <w:top w:w="70" w:type="dxa"/>
                    <w:bottom w:w="70" w:type="dxa"/>
                    <w:left w:w="80" w:type="dxa"/>
                    <w:right w:w="80" w:type="dxa"/>
                  </w:tcMar>
                  <w:shd w:fill="F3F7F8"/>
                </w:tcPr>
                <w:p>
                  <w:pPr>
                    <w:spacing w:after="40" w:before="0" w:line="264" w:lineRule="auto"/>
                  </w:pPr>
                  <w:r>
                    <w:rPr>
                      <w:b w:val="0"/>
                      <w:sz w:val="18"/>
                    </w:rPr>
                    <w:t>28</w:t>
                  </w:r>
                </w:p>
              </w:tc>
              <w:tc>
                <w:tcPr>
                  <w:tcW w:type="dxa" w:w="1729"/>
                  <w:vAlign w:val="top"/>
                  <w:tcMar>
                    <w:top w:w="70" w:type="dxa"/>
                    <w:bottom w:w="70" w:type="dxa"/>
                    <w:left w:w="80" w:type="dxa"/>
                    <w:right w:w="80" w:type="dxa"/>
                  </w:tcMar>
                  <w:shd w:fill="F3F7F8"/>
                </w:tcPr>
                <w:p>
                  <w:pPr>
                    <w:spacing w:after="40" w:before="0" w:line="264" w:lineRule="auto"/>
                  </w:pPr>
                  <w:r>
                    <w:rPr>
                      <w:b w:val="0"/>
                      <w:sz w:val="18"/>
                    </w:rPr>
                    <w:t>＋2</w:t>
                  </w:r>
                </w:p>
              </w:tc>
              <w:tc>
                <w:tcPr>
                  <w:tcW w:type="dxa" w:w="1729"/>
                  <w:vAlign w:val="top"/>
                  <w:tcMar>
                    <w:top w:w="70" w:type="dxa"/>
                    <w:bottom w:w="70" w:type="dxa"/>
                    <w:left w:w="80" w:type="dxa"/>
                    <w:right w:w="80" w:type="dxa"/>
                  </w:tcMar>
                  <w:shd w:fill="F3F7F8"/>
                </w:tcPr>
                <w:p>
                  <w:pPr>
                    <w:spacing w:after="40" w:before="0" w:line="264" w:lineRule="auto"/>
                  </w:pPr>
                  <w:r>
                    <w:rPr>
                      <w:b w:val="0"/>
                      <w:sz w:val="18"/>
                    </w:rPr>
                    <w:t>28</w:t>
                  </w:r>
                </w:p>
              </w:tc>
              <w:tc>
                <w:tcPr>
                  <w:tcW w:type="dxa" w:w="1729"/>
                  <w:vAlign w:val="top"/>
                  <w:tcMar>
                    <w:top w:w="70" w:type="dxa"/>
                    <w:bottom w:w="70" w:type="dxa"/>
                    <w:left w:w="80" w:type="dxa"/>
                    <w:right w:w="80" w:type="dxa"/>
                  </w:tcMar>
                  <w:shd w:fill="F3F7F8"/>
                </w:tcPr>
                <w:p>
                  <w:pPr>
                    <w:spacing w:after="40" w:before="0" w:line="264" w:lineRule="auto"/>
                  </w:pPr>
                  <w:r>
                    <w:rPr>
                      <w:b w:val="0"/>
                      <w:sz w:val="18"/>
                    </w:rPr>
                    <w:t>2</w:t>
                  </w:r>
                </w:p>
              </w:tc>
            </w:tr>
            <w:tr>
              <w:trPr>
                <w:cantSplit/>
              </w:trPr>
              <w:tc>
                <w:tcPr>
                  <w:tcW w:type="dxa" w:w="1729"/>
                  <w:vAlign w:val="top"/>
                  <w:tcMar>
                    <w:top w:w="70" w:type="dxa"/>
                    <w:bottom w:w="70" w:type="dxa"/>
                    <w:left w:w="80" w:type="dxa"/>
                    <w:right w:w="80" w:type="dxa"/>
                  </w:tcMar>
                  <w:shd w:fill="FFFFFF"/>
                </w:tcPr>
                <w:p>
                  <w:pPr>
                    <w:spacing w:after="40" w:before="0" w:line="264" w:lineRule="auto"/>
                  </w:pPr>
                  <w:r>
                    <w:rPr>
                      <w:b w:val="0"/>
                      <w:sz w:val="18"/>
                    </w:rPr>
                    <w:t>38</w:t>
                  </w:r>
                </w:p>
              </w:tc>
              <w:tc>
                <w:tcPr>
                  <w:tcW w:type="dxa" w:w="1729"/>
                  <w:vAlign w:val="top"/>
                  <w:tcMar>
                    <w:top w:w="70" w:type="dxa"/>
                    <w:bottom w:w="70" w:type="dxa"/>
                    <w:left w:w="80" w:type="dxa"/>
                    <w:right w:w="80" w:type="dxa"/>
                  </w:tcMar>
                  <w:shd w:fill="FFFFFF"/>
                </w:tcPr>
                <w:p>
                  <w:pPr>
                    <w:spacing w:after="40" w:before="0" w:line="264" w:lineRule="auto"/>
                  </w:pPr>
                  <w:r>
                    <w:rPr>
                      <w:b w:val="0"/>
                      <w:sz w:val="18"/>
                    </w:rPr>
                    <w:t>−2</w:t>
                  </w:r>
                </w:p>
              </w:tc>
              <w:tc>
                <w:tcPr>
                  <w:tcW w:type="dxa" w:w="1729"/>
                  <w:vAlign w:val="top"/>
                  <w:tcMar>
                    <w:top w:w="70" w:type="dxa"/>
                    <w:bottom w:w="70" w:type="dxa"/>
                    <w:left w:w="80" w:type="dxa"/>
                    <w:right w:w="80" w:type="dxa"/>
                  </w:tcMar>
                  <w:shd w:fill="FFFFFF"/>
                </w:tcPr>
                <w:p>
                  <w:pPr>
                    <w:spacing w:after="40" w:before="0" w:line="264" w:lineRule="auto"/>
                  </w:pPr>
                  <w:r>
                    <w:rPr>
                      <w:b w:val="0"/>
                      <w:sz w:val="18"/>
                    </w:rPr>
                    <w:t>38</w:t>
                  </w:r>
                </w:p>
              </w:tc>
              <w:tc>
                <w:tcPr>
                  <w:tcW w:type="dxa" w:w="1729"/>
                  <w:vAlign w:val="top"/>
                  <w:tcMar>
                    <w:top w:w="70" w:type="dxa"/>
                    <w:bottom w:w="70" w:type="dxa"/>
                    <w:left w:w="80" w:type="dxa"/>
                    <w:right w:w="80" w:type="dxa"/>
                  </w:tcMar>
                  <w:shd w:fill="FFFFFF"/>
                </w:tcPr>
                <w:p>
                  <w:pPr>
                    <w:spacing w:after="40" w:before="0" w:line="264" w:lineRule="auto"/>
                  </w:pPr>
                  <w:r>
                    <w:rPr>
                      <w:b w:val="0"/>
                      <w:sz w:val="18"/>
                    </w:rPr>
                    <w:t>3</w:t>
                  </w:r>
                </w:p>
              </w:tc>
            </w:tr>
            <w:tr>
              <w:trPr>
                <w:cantSplit/>
              </w:trPr>
              <w:tc>
                <w:tcPr>
                  <w:tcW w:type="dxa" w:w="1729"/>
                  <w:vAlign w:val="top"/>
                  <w:tcMar>
                    <w:top w:w="70" w:type="dxa"/>
                    <w:bottom w:w="70" w:type="dxa"/>
                    <w:left w:w="80" w:type="dxa"/>
                    <w:right w:w="80" w:type="dxa"/>
                  </w:tcMar>
                  <w:shd w:fill="F3F7F8"/>
                </w:tcPr>
                <w:p>
                  <w:pPr>
                    <w:spacing w:after="40" w:before="0" w:line="264" w:lineRule="auto"/>
                  </w:pPr>
                  <w:r>
                    <w:rPr>
                      <w:b w:val="0"/>
                      <w:sz w:val="18"/>
                    </w:rPr>
                    <w:t>48</w:t>
                  </w:r>
                </w:p>
              </w:tc>
              <w:tc>
                <w:tcPr>
                  <w:tcW w:type="dxa" w:w="1729"/>
                  <w:vAlign w:val="top"/>
                  <w:tcMar>
                    <w:top w:w="70" w:type="dxa"/>
                    <w:bottom w:w="70" w:type="dxa"/>
                    <w:left w:w="80" w:type="dxa"/>
                    <w:right w:w="80" w:type="dxa"/>
                  </w:tcMar>
                  <w:shd w:fill="F3F7F8"/>
                </w:tcPr>
                <w:p>
                  <w:pPr>
                    <w:spacing w:after="40" w:before="0" w:line="264" w:lineRule="auto"/>
                  </w:pPr>
                  <w:r>
                    <w:rPr>
                      <w:b w:val="0"/>
                      <w:sz w:val="18"/>
                    </w:rPr>
                    <w:t>−6</w:t>
                  </w:r>
                </w:p>
              </w:tc>
              <w:tc>
                <w:tcPr>
                  <w:tcW w:type="dxa" w:w="1729"/>
                  <w:vAlign w:val="top"/>
                  <w:tcMar>
                    <w:top w:w="70" w:type="dxa"/>
                    <w:bottom w:w="70" w:type="dxa"/>
                    <w:left w:w="80" w:type="dxa"/>
                    <w:right w:w="80" w:type="dxa"/>
                  </w:tcMar>
                  <w:shd w:fill="F3F7F8"/>
                </w:tcPr>
                <w:p>
                  <w:pPr>
                    <w:spacing w:after="40" w:before="0" w:line="264" w:lineRule="auto"/>
                  </w:pPr>
                  <w:r>
                    <w:rPr>
                      <w:b w:val="0"/>
                      <w:sz w:val="18"/>
                    </w:rPr>
                    <w:t>48</w:t>
                  </w:r>
                </w:p>
              </w:tc>
              <w:tc>
                <w:tcPr>
                  <w:tcW w:type="dxa" w:w="1729"/>
                  <w:vAlign w:val="top"/>
                  <w:tcMar>
                    <w:top w:w="70" w:type="dxa"/>
                    <w:bottom w:w="70" w:type="dxa"/>
                    <w:left w:w="80" w:type="dxa"/>
                    <w:right w:w="80" w:type="dxa"/>
                  </w:tcMar>
                  <w:shd w:fill="F3F7F8"/>
                </w:tcPr>
                <w:p>
                  <w:pPr>
                    <w:spacing w:after="40" w:before="0" w:line="264" w:lineRule="auto"/>
                  </w:pPr>
                  <w:r>
                    <w:rPr>
                      <w:b w:val="0"/>
                      <w:sz w:val="18"/>
                    </w:rPr>
                    <w:t>4</w:t>
                  </w:r>
                </w:p>
              </w:tc>
            </w:tr>
          </w:tbl>
          <w:p>
            <w:pPr>
              <w:widowControl/>
            </w:pPr>
          </w:p>
          <w:p>
            <w:pPr>
              <w:keepNext w:val="0"/>
              <w:widowControl/>
            </w:pPr>
            <w:r>
              <w:t>N卡每项偏好通常＋3，各一次；替代匹配不重复叠，T14／T16等明确例外按卡面。</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基础18，满足一个偏好＋3，选28再＋2＝23。等了两场仍这样算，不需要回忆哪场生产。</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13.2 临时分单：原批、扩产批与参考</w:t>
            </w:r>
          </w:p>
          <w:p>
            <w:pPr>
              <w:keepNext w:val="0"/>
              <w:widowControl/>
            </w:pPr>
            <w:r>
              <w:t>按需求N的对应人数列取订单。原先合法投放的产品各是一批；参考机各市场最多占1份，剩余订单不跨市场转移。先按竞争力从高到低临时分单，不付款、不放已收款片。</w:t>
            </w:r>
          </w:p>
          <w:p>
            <w:pPr>
              <w:keepNext w:val="0"/>
              <w:widowControl/>
            </w:pPr>
            <w:r/>
            <w:r>
              <w:rPr>
                <w:b/>
              </w:rPr>
              <w:t>同分按「真人原批→真人扩产批→参考机」。同一真人身份内，满足Q16者优先；再按发布触发者下一位起顺时针，同公司按产品位小者。</w:t>
            </w:r>
            <w:r>
              <w:t xml:space="preserve"> Q16的扩产批也不能越过同分的真人原批。</w:t>
            </w:r>
          </w:p>
          <w:p>
            <w:pPr>
              <w:keepNext w:val="0"/>
              <w:widowControl/>
            </w:pPr>
            <w:r>
              <w:t>初步计算结束，冻结分数、特征、原市场许可、配套能力及价格。只允许插入复制批重新排队，不重抽参考、不重算加成。</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关联规则</w:t>
            </w:r>
          </w:p>
          <w:p>
            <w:pPr>
              <w:widowControl/>
              <w:spacing w:line="312" w:lineRule="auto" w:after="140"/>
            </w:pPr>
            <w:r>
              <w:rPr>
                <w:color w:val="3C606B"/>
                <w:sz w:val="18"/>
              </w:rPr>
              <w:t>甲原批23，乙原批23，甲扩产23：两个原批先于扩产；真人仍先于同分参考。扩产不能只凭座次挤掉同分原货。</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13.3 依序询问：每公司一场只扩一次</w:t>
            </w:r>
          </w:p>
          <w:p>
            <w:pPr>
              <w:keepNext w:val="0"/>
              <w:widowControl/>
            </w:pPr>
            <w:r>
              <w:t>依大众消费、电竞娱乐、摄影创作、商务办公顺序处理，每个市场按冻结的初步原批队列从高到低询问。仅初步获单、轮到时仍临时获单且公司尚未扩产的原产品可选。</w:t>
            </w:r>
          </w:p>
          <w:p>
            <w:pPr>
              <w:keepNext w:val="0"/>
              <w:widowControl/>
            </w:pPr>
            <w:r>
              <w:t>每家公司全场至多选择一款原产品追加1批。可以放弃，把机会留给后面的产品或市场；已放弃的产品不再回头询问。不能委托别人扩产，参考机、合同、留库、非法投放和复制批均无资格。</w:t>
            </w:r>
          </w:p>
          <w:p>
            <w:pPr>
              <w:keepNext w:val="0"/>
              <w:widowControl/>
            </w:pPr>
            <w:r>
              <w:t>每次先试插入复制批。</w:t>
            </w:r>
            <w:r>
              <w:rPr>
                <w:b/>
              </w:rPr>
              <w:t>只有原批和复制批都在临时订单内，且有足够现款，才可实际扩产。</w:t>
            </w:r>
            <w:r>
              <w:t xml:space="preserve"> 付完钱后插片，重新分单，再问下一个原批；已被挤掉者跳过。不能事后撤销。</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关联规则</w:t>
            </w:r>
          </w:p>
          <w:p>
            <w:pPr>
              <w:widowControl/>
              <w:spacing w:line="312" w:lineRule="auto" w:after="140"/>
            </w:pPr>
            <w:r>
              <w:rPr>
                <w:color w:val="3C606B"/>
                <w:sz w:val="18"/>
              </w:rPr>
              <w:t>一个市场抢不到额外订单，可以把公司机会留给摄影。已经扩产过大众机，就不能在摄影再扩一次。</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13.4 先付第二批全部费用，不用销售款垫付</w:t>
            </w:r>
          </w:p>
          <w:p>
            <w:pPr>
              <w:keepNext w:val="0"/>
              <w:widowControl/>
            </w:pPr>
            <w:r>
              <w:t>扩产不花工作点、不收额外手续费、不再收入库费，但照付一批完整制造费：当前原配置的四项制造费＋有效组装费＋Q费−明确持续制造减免，最低6；外部授权另付各作者。全部金额先备足再一次付清。</w:t>
            </w:r>
          </w:p>
          <w:p>
            <w:pPr>
              <w:keepNext w:val="0"/>
              <w:widowControl/>
            </w:pPr>
            <w:r>
              <w:t>费用按发布开始已有的原配置、关系和公司持续能力计算，不回忆原批历史成本。部件的持续减费、已部署T05/T33、H17、U15及合格Q减费可以应用；T31、H16/H20、U01/U02/U11/U14等本人工作、首次或改款能力不触发。T37/Q05必须有另一原产品位，自身扩产不补条件。</w:t>
            </w:r>
          </w:p>
          <w:p>
            <w:pPr>
              <w:keepNext w:val="0"/>
              <w:widowControl/>
            </w:pPr>
            <w:r>
              <w:t>任何合同回款、退押、销售、挑战和本场成果都尚未发放，不得预支。实际收到其他玩家支付的扩产授权现金已属于现款，可用于自己随后机会；不许抵销、赊欠或先承诺再收款。</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关联规则</w:t>
            </w:r>
          </w:p>
          <w:p>
            <w:pPr>
              <w:widowControl/>
              <w:spacing w:line="312" w:lineRule="auto" w:after="140"/>
            </w:pPr>
            <w:r>
              <w:rPr>
                <w:color w:val="3C606B"/>
                <w:sz w:val="18"/>
              </w:rPr>
              <w:t>原批曾用U11少付6，不代表第二批也减6。第二批按现在卡面重新算；售价38尚未收到，不能先拿来生产。</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13.5 用＋1复制配置，不增加卡牌和产品位</w:t>
            </w:r>
          </w:p>
          <w:p>
            <w:pPr>
              <w:keepNext w:val="0"/>
              <w:widowControl/>
            </w:pPr>
            <w:r>
              <w:t>付费后把公司状态片移到已用，原产品旁放「扩产＋1」，市场队列放公司/产品号＋片，例如B③＋。它完整沿用原部件、Q、技术、自研/外部身份、集成位、调校、售价、去向和冻结竞争力，不能更换任何一项。</w:t>
            </w:r>
          </w:p>
          <w:p>
            <w:pPr>
              <w:keepNext w:val="0"/>
              <w:widowControl/>
            </w:pPr>
            <w:r>
              <w:t>原批与扩产批共用实际定制/Q、稳定代替卡及技术指派；这是本场明示例外，平时仍禁止同实体装两位。外部技术仍逐批另付授权费；原作者免费，不新增或改号指派。四产品位全满也可扩产。</w:t>
            </w:r>
          </w:p>
          <w:p>
            <w:pPr>
              <w:keepNext w:val="0"/>
              <w:widowControl/>
            </w:pPr>
            <w:r>
              <w:t>扩产批没有第二套配置，不算另一个产品位、不同机型或独立样机，不能作为另一项扩产的来源。它必在本场成交，不留库存；两批结束后每张实际卡与每枚指派仅清理一次。</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关联规则</w:t>
            </w:r>
          </w:p>
          <w:p>
            <w:pPr>
              <w:widowControl/>
              <w:spacing w:line="312" w:lineRule="auto" w:after="140"/>
            </w:pPr>
            <w:r>
              <w:rPr>
                <w:color w:val="3C606B"/>
                <w:sz w:val="18"/>
              </w:rPr>
              <w:t>公共T09仍只有B③一枚使用片；产品旁＋1说明它本场供两批，第二批已付授权费。不能改给B②。</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13.6 最终结果：按批收款，按原有限次触发</w:t>
            </w:r>
          </w:p>
          <w:p>
            <w:pPr>
              <w:keepNext w:val="0"/>
              <w:widowControl/>
            </w:pPr>
            <w:r>
              <w:t>四市场扩产全部完成，才冻结最终成交、参考挑战、成果、回购与出口资格。原批临时获单后被挤出，就不算成交，配置原样保留；不能领取临时收入或挑战。</w:t>
            </w:r>
          </w:p>
          <w:p>
            <w:pPr>
              <w:keepNext w:val="0"/>
              <w:widowControl/>
            </w:pPr>
            <w:r>
              <w:t>原批与扩产批各按自己的同一价牌领一份现金与收入。明确「每批成交」的Q15可算两批；H28全公司每场仍最多2批，产品位小者先，同位原批在先。T41只转换所选产品组原批的价牌收入，扩产批照常拿收入。</w:t>
            </w:r>
          </w:p>
          <w:p>
            <w:pPr>
              <w:keepNext w:val="0"/>
              <w:widowControl/>
            </w:pPr>
            <w:r>
              <w:t>每公司/每场一次的挑战、U17、Q24等不翻倍。科研完成、伙伴建立、Q21返还及其他按产品组的事件不复制。两批不能自称两种不同产品、两市场或两样机。全部证据与奖励处理完后统一收回＋片，定制/Q实体只处置一次。</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关联规则</w:t>
            </w:r>
          </w:p>
          <w:p>
            <w:pPr>
              <w:widowControl/>
              <w:spacing w:line="312" w:lineRule="auto" w:after="140"/>
            </w:pPr>
            <w:r>
              <w:rPr>
                <w:color w:val="3C606B"/>
                <w:sz w:val="18"/>
              </w:rPr>
              <w:t>38价扩产两批：基础拿76现金、6收入。若T41生效，仅其中原批的3收入换1科技，仍有3收入；不是同时拿两次科技。</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13.7 例子：追加一批挤掉第三名</w:t>
            </w:r>
          </w:p>
          <w:p>
            <w:pPr>
              <w:keepNext w:val="0"/>
              <w:widowControl/>
            </w:pPr>
            <w:r>
              <w:t>本市场3订单。甲①竞争力28、乙①25、乙②22、参考20，初步三款真人各有订单。</w:t>
            </w:r>
          </w:p>
          <w:p>
            <w:pPr>
              <w:keepNext w:val="0"/>
              <w:widowControl/>
            </w:pPr>
            <w:r>
              <w:t>甲①付清扩产费用，加入甲①＋（28）。新队列为甲①、甲①＋、乙①、乙②、参考，订单给前三。乙②被挤出。</w:t>
            </w:r>
          </w:p>
          <w:p>
            <w:pPr>
              <w:keepNext w:val="0"/>
              <w:widowControl/>
            </w:pPr>
            <w:r>
              <w:t>轮到乙①，若复制会排在第四，不能取得订单，因此不能扩产；乙②已无单，跳过。甲卖两批，乙①卖一批，乙②继续占自己的产品位、配件和技术。</w:t>
            </w:r>
          </w:p>
          <w:p>
            <w:pPr>
              <w:keepNext w:val="0"/>
              <w:widowControl/>
            </w:pPr>
            <w:r>
              <w:t>若只有2订单且甲、乙原批同为28，甲的扩产28只能排在两个原批之后，不能扩产。若另一例中订单充足，两家公司都能按顺序扩产；没有「只有第一名能扩」的限制。</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关联规则</w:t>
            </w:r>
          </w:p>
          <w:p>
            <w:pPr>
              <w:widowControl/>
              <w:spacing w:line="312" w:lineRule="auto" w:after="140"/>
            </w:pPr>
            <w:r>
              <w:rPr>
                <w:color w:val="3C606B"/>
                <w:sz w:val="18"/>
              </w:rPr>
              <w:t>从高到低、分数冻结且原批同分优先，使已合法插入的复制批不会被后续更低的复制批挤掉。只有原批可能失单。</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13.8 最终成交后，每公司只选一份挑战</w:t>
            </w:r>
          </w:p>
          <w:p>
            <w:pPr>
              <w:keepNext w:val="0"/>
              <w:widowControl/>
            </w:pPr>
            <w:r>
              <w:t>扩产全部结束后实际零售成交、竞争力严格超过对应市场参考值且该格至少1星，才可挑战。每家公司每场最多选一批一格，在收入、科技、特色中三选一。</w:t>
            </w:r>
          </w:p>
          <w:p>
            <w:pPr>
              <w:keepNext w:val="0"/>
              <w:widowControl/>
            </w:pPr>
            <w:r/>
            <w:r>
              <w:rPr>
                <w:b/>
              </w:rPr>
              <w:t>科技或工程试验要求锁定时本批实际部署至少1项本人完成研发</w:t>
            </w:r>
            <w:r>
              <w:t>：私人自研，或公共区本人署名的联合技术。只有外部授权或部件集成占位不够。</w:t>
            </w:r>
          </w:p>
          <w:p>
            <w:pPr>
              <w:keepNext w:val="0"/>
              <w:widowControl/>
            </w:pPr>
            <w:r>
              <w:t>0星无奖，1/2/3星通常为2/4/6收入或1/2/3科技，实际读参考卡。不能跨市场选更高星级。</w:t>
            </w:r>
          </w:p>
          <w:p>
            <w:pPr>
              <w:keepNext w:val="0"/>
              <w:widowControl/>
            </w:pPr>
            <w:r>
              <w:t>供货签装/建设支持选择片只留到本场清理后窗口，执行即收回，不跨期存券。新关系与新完成研发不能补本场科技挑战资格。</w:t>
            </w:r>
          </w:p>
          <w:p>
            <w:pPr>
              <w:keepNext w:val="0"/>
              <w:widowControl/>
            </w:pPr>
            <w:r>
              <w:t>原产品组有两批成交，也只使用公司的同一份挑战机会；被挤掉的原批不能挑战。科技/工程条件仍查锁定时的原产品技术。</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B③只用作者A的T09：可以收入奖，不能科技奖。若还实际部署B自己完成的T07，才具备科技/工程选择。</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13.9 六种特色奖励</w:t>
            </w:r>
          </w:p>
          <w:tbl>
            <w:tblPr>
              <w:tblW w:type="auto" w:w="0"/>
              <w:tblLayout w:type="fixed"/>
              <w:tblLook w:firstColumn="1" w:firstRow="1" w:lastColumn="0" w:lastRow="0" w:noHBand="0" w:noVBand="1" w:val="04A0"/>
            </w:tblPr>
            <w:tblGrid>
              <w:gridCol w:w="2006"/>
              <w:gridCol w:w="4911"/>
            </w:tblGrid>
            <w:tr>
              <w:trPr>
                <w:cantSplit/>
                <w:tblHeader/>
              </w:trPr>
              <w:tc>
                <w:tcPr>
                  <w:tcW w:type="dxa" w:w="2006"/>
                  <w:vAlign w:val="top"/>
                  <w:tcMar>
                    <w:top w:w="70" w:type="dxa"/>
                    <w:bottom w:w="70" w:type="dxa"/>
                    <w:left w:w="80" w:type="dxa"/>
                    <w:right w:w="80" w:type="dxa"/>
                  </w:tcMar>
                  <w:shd w:fill="E1EFF0"/>
                </w:tcPr>
                <w:p>
                  <w:pPr>
                    <w:spacing w:after="40" w:before="0" w:line="264" w:lineRule="auto"/>
                  </w:pPr>
                  <w:r>
                    <w:rPr>
                      <w:b/>
                      <w:sz w:val="18"/>
                    </w:rPr>
                    <w:t>特色</w:t>
                  </w:r>
                </w:p>
              </w:tc>
              <w:tc>
                <w:tcPr>
                  <w:tcW w:type="dxa" w:w="4911"/>
                  <w:vAlign w:val="top"/>
                  <w:tcMar>
                    <w:top w:w="70" w:type="dxa"/>
                    <w:bottom w:w="70" w:type="dxa"/>
                    <w:left w:w="80" w:type="dxa"/>
                    <w:right w:w="80" w:type="dxa"/>
                  </w:tcMar>
                  <w:shd w:fill="E1EFF0"/>
                </w:tcPr>
                <w:p>
                  <w:pPr>
                    <w:spacing w:after="40" w:before="0" w:line="264" w:lineRule="auto"/>
                  </w:pPr>
                  <w:r>
                    <w:rPr>
                      <w:b/>
                      <w:sz w:val="18"/>
                    </w:rPr>
                    <w:t>1／2／3星的印刷效果</w:t>
                  </w:r>
                </w:p>
              </w:tc>
            </w:tr>
            <w:tr>
              <w:trPr>
                <w:cantSplit/>
              </w:trPr>
              <w:tc>
                <w:tcPr>
                  <w:tcW w:type="dxa" w:w="2006"/>
                  <w:vAlign w:val="top"/>
                  <w:tcMar>
                    <w:top w:w="70" w:type="dxa"/>
                    <w:bottom w:w="70" w:type="dxa"/>
                    <w:left w:w="80" w:type="dxa"/>
                    <w:right w:w="80" w:type="dxa"/>
                  </w:tcMar>
                  <w:shd w:fill="FFFFFF"/>
                </w:tcPr>
                <w:p>
                  <w:pPr>
                    <w:spacing w:after="40" w:before="0" w:line="264" w:lineRule="auto"/>
                  </w:pPr>
                  <w:r>
                    <w:rPr>
                      <w:b w:val="0"/>
                      <w:sz w:val="18"/>
                    </w:rPr>
                    <w:t>市场回款</w:t>
                  </w:r>
                </w:p>
              </w:tc>
              <w:tc>
                <w:tcPr>
                  <w:tcW w:type="dxa" w:w="4911"/>
                  <w:vAlign w:val="top"/>
                  <w:tcMar>
                    <w:top w:w="70" w:type="dxa"/>
                    <w:bottom w:w="70" w:type="dxa"/>
                    <w:left w:w="80" w:type="dxa"/>
                    <w:right w:w="80" w:type="dxa"/>
                  </w:tcMar>
                  <w:shd w:fill="FFFFFF"/>
                </w:tcPr>
                <w:p>
                  <w:pPr>
                    <w:spacing w:after="40" w:before="0" w:line="264" w:lineRule="auto"/>
                  </w:pPr>
                  <w:r>
                    <w:rPr>
                      <w:b w:val="0"/>
                      <w:sz w:val="18"/>
                    </w:rPr>
                    <w:t>当场拿8／16／24现金。</w:t>
                  </w:r>
                </w:p>
              </w:tc>
            </w:tr>
            <w:tr>
              <w:trPr>
                <w:cantSplit/>
              </w:trPr>
              <w:tc>
                <w:tcPr>
                  <w:tcW w:type="dxa" w:w="2006"/>
                  <w:vAlign w:val="top"/>
                  <w:tcMar>
                    <w:top w:w="70" w:type="dxa"/>
                    <w:bottom w:w="70" w:type="dxa"/>
                    <w:left w:w="80" w:type="dxa"/>
                    <w:right w:w="80" w:type="dxa"/>
                  </w:tcMar>
                  <w:shd w:fill="F3F7F8"/>
                </w:tcPr>
                <w:p>
                  <w:pPr>
                    <w:spacing w:after="40" w:before="0" w:line="264" w:lineRule="auto"/>
                  </w:pPr>
                  <w:r>
                    <w:rPr>
                      <w:b w:val="0"/>
                      <w:sz w:val="18"/>
                    </w:rPr>
                    <w:t>商情报告</w:t>
                  </w:r>
                </w:p>
              </w:tc>
              <w:tc>
                <w:tcPr>
                  <w:tcW w:type="dxa" w:w="4911"/>
                  <w:vAlign w:val="top"/>
                  <w:tcMar>
                    <w:top w:w="70" w:type="dxa"/>
                    <w:bottom w:w="70" w:type="dxa"/>
                    <w:left w:w="80" w:type="dxa"/>
                    <w:right w:w="80" w:type="dxa"/>
                  </w:tcMar>
                  <w:shd w:fill="F3F7F8"/>
                </w:tcPr>
                <w:p>
                  <w:pPr>
                    <w:spacing w:after="40" w:before="0" w:line="264" w:lineRule="auto"/>
                  </w:pPr>
                  <w:r>
                    <w:rPr>
                      <w:b w:val="0"/>
                      <w:sz w:val="18"/>
                    </w:rPr>
                    <w:t>主牌市或盲抽取1／2／3张；整次结束补牌。</w:t>
                  </w:r>
                </w:p>
              </w:tc>
            </w:tr>
            <w:tr>
              <w:trPr>
                <w:cantSplit/>
              </w:trPr>
              <w:tc>
                <w:tcPr>
                  <w:tcW w:type="dxa" w:w="2006"/>
                  <w:vAlign w:val="top"/>
                  <w:tcMar>
                    <w:top w:w="70" w:type="dxa"/>
                    <w:bottom w:w="70" w:type="dxa"/>
                    <w:left w:w="80" w:type="dxa"/>
                    <w:right w:w="80" w:type="dxa"/>
                  </w:tcMar>
                  <w:shd w:fill="FFFFFF"/>
                </w:tcPr>
                <w:p>
                  <w:pPr>
                    <w:spacing w:after="40" w:before="0" w:line="264" w:lineRule="auto"/>
                  </w:pPr>
                  <w:r>
                    <w:rPr>
                      <w:b w:val="0"/>
                      <w:sz w:val="18"/>
                    </w:rPr>
                    <w:t>工程试验</w:t>
                  </w:r>
                </w:p>
              </w:tc>
              <w:tc>
                <w:tcPr>
                  <w:tcW w:type="dxa" w:w="4911"/>
                  <w:vAlign w:val="top"/>
                  <w:tcMar>
                    <w:top w:w="70" w:type="dxa"/>
                    <w:bottom w:w="70" w:type="dxa"/>
                    <w:left w:w="80" w:type="dxa"/>
                    <w:right w:w="80" w:type="dxa"/>
                  </w:tcMar>
                  <w:shd w:fill="FFFFFF"/>
                </w:tcPr>
                <w:p>
                  <w:pPr>
                    <w:spacing w:after="40" w:before="0" w:line="264" w:lineRule="auto"/>
                  </w:pPr>
                  <w:r>
                    <w:rPr>
                      <w:b w:val="0"/>
                      <w:sz w:val="18"/>
                    </w:rPr>
                    <w:t>已有1个在研项目增加1／2／3进度；另查技术挑战资格。</w:t>
                  </w:r>
                </w:p>
              </w:tc>
            </w:tr>
            <w:tr>
              <w:trPr>
                <w:cantSplit/>
              </w:trPr>
              <w:tc>
                <w:tcPr>
                  <w:tcW w:type="dxa" w:w="2006"/>
                  <w:vAlign w:val="top"/>
                  <w:tcMar>
                    <w:top w:w="70" w:type="dxa"/>
                    <w:bottom w:w="70" w:type="dxa"/>
                    <w:left w:w="80" w:type="dxa"/>
                    <w:right w:w="80" w:type="dxa"/>
                  </w:tcMar>
                  <w:shd w:fill="F3F7F8"/>
                </w:tcPr>
                <w:p>
                  <w:pPr>
                    <w:spacing w:after="40" w:before="0" w:line="264" w:lineRule="auto"/>
                  </w:pPr>
                  <w:r>
                    <w:rPr>
                      <w:b w:val="0"/>
                      <w:sz w:val="18"/>
                    </w:rPr>
                    <w:t>渠道回购</w:t>
                  </w:r>
                </w:p>
              </w:tc>
              <w:tc>
                <w:tcPr>
                  <w:tcW w:type="dxa" w:w="4911"/>
                  <w:vAlign w:val="top"/>
                  <w:tcMar>
                    <w:top w:w="70" w:type="dxa"/>
                    <w:bottom w:w="70" w:type="dxa"/>
                    <w:left w:w="80" w:type="dxa"/>
                    <w:right w:w="80" w:type="dxa"/>
                  </w:tcMar>
                  <w:shd w:fill="F3F7F8"/>
                </w:tcPr>
                <w:p>
                  <w:pPr>
                    <w:spacing w:after="40" w:before="0" w:line="264" w:lineRule="auto"/>
                  </w:pPr>
                  <w:r>
                    <w:rPr>
                      <w:b w:val="0"/>
                      <w:sz w:val="18"/>
                    </w:rPr>
                    <w:t>另一批合法零售投放但未成交的产品，以12／20／28现金回购，消耗后解除占用。</w:t>
                  </w:r>
                </w:p>
              </w:tc>
            </w:tr>
            <w:tr>
              <w:trPr>
                <w:cantSplit/>
              </w:trPr>
              <w:tc>
                <w:tcPr>
                  <w:tcW w:type="dxa" w:w="2006"/>
                  <w:vAlign w:val="top"/>
                  <w:tcMar>
                    <w:top w:w="70" w:type="dxa"/>
                    <w:bottom w:w="70" w:type="dxa"/>
                    <w:left w:w="80" w:type="dxa"/>
                    <w:right w:w="80" w:type="dxa"/>
                  </w:tcMar>
                  <w:shd w:fill="FFFFFF"/>
                </w:tcPr>
                <w:p>
                  <w:pPr>
                    <w:spacing w:after="40" w:before="0" w:line="264" w:lineRule="auto"/>
                  </w:pPr>
                  <w:r>
                    <w:rPr>
                      <w:b w:val="0"/>
                      <w:sz w:val="18"/>
                    </w:rPr>
                    <w:t>供货签装</w:t>
                  </w:r>
                </w:p>
              </w:tc>
              <w:tc>
                <w:tcPr>
                  <w:tcW w:type="dxa" w:w="4911"/>
                  <w:vAlign w:val="top"/>
                  <w:tcMar>
                    <w:top w:w="70" w:type="dxa"/>
                    <w:bottom w:w="70" w:type="dxa"/>
                    <w:left w:w="80" w:type="dxa"/>
                    <w:right w:w="80" w:type="dxa"/>
                  </w:tcMar>
                  <w:shd w:fill="FFFFFF"/>
                </w:tcPr>
                <w:p>
                  <w:pPr>
                    <w:spacing w:after="40" w:before="0" w:line="264" w:lineRule="auto"/>
                  </w:pPr>
                  <w:r>
                    <w:rPr>
                      <w:b w:val="0"/>
                      <w:sz w:val="18"/>
                    </w:rPr>
                    <w:t>整理后从手牌安装1张稳定，不花工作；入库费减3／6／9至最低0。</w:t>
                  </w:r>
                </w:p>
              </w:tc>
            </w:tr>
            <w:tr>
              <w:trPr>
                <w:cantSplit/>
              </w:trPr>
              <w:tc>
                <w:tcPr>
                  <w:tcW w:type="dxa" w:w="2006"/>
                  <w:vAlign w:val="top"/>
                  <w:tcMar>
                    <w:top w:w="70" w:type="dxa"/>
                    <w:bottom w:w="70" w:type="dxa"/>
                    <w:left w:w="80" w:type="dxa"/>
                    <w:right w:w="80" w:type="dxa"/>
                  </w:tcMar>
                  <w:shd w:fill="F3F7F8"/>
                </w:tcPr>
                <w:p>
                  <w:pPr>
                    <w:spacing w:after="40" w:before="0" w:line="264" w:lineRule="auto"/>
                  </w:pPr>
                  <w:r>
                    <w:rPr>
                      <w:b w:val="0"/>
                      <w:sz w:val="18"/>
                    </w:rPr>
                    <w:t>建设支持</w:t>
                  </w:r>
                </w:p>
              </w:tc>
              <w:tc>
                <w:tcPr>
                  <w:tcW w:type="dxa" w:w="4911"/>
                  <w:vAlign w:val="top"/>
                  <w:tcMar>
                    <w:top w:w="70" w:type="dxa"/>
                    <w:bottom w:w="70" w:type="dxa"/>
                    <w:left w:w="80" w:type="dxa"/>
                    <w:right w:w="80" w:type="dxa"/>
                  </w:tcMar>
                  <w:shd w:fill="F3F7F8"/>
                </w:tcPr>
                <w:p>
                  <w:pPr>
                    <w:spacing w:after="40" w:before="0" w:line="264" w:lineRule="auto"/>
                  </w:pPr>
                  <w:r>
                    <w:rPr>
                      <w:b w:val="0"/>
                      <w:sz w:val="18"/>
                    </w:rPr>
                    <w:t>整理后从手牌建设1设施，不花工作；建设费减0／3／6至最低0。</w:t>
                  </w:r>
                </w:p>
              </w:tc>
            </w:tr>
          </w:tbl>
          <w:p>
            <w:pPr>
              <w:widowControl/>
            </w:pPr>
          </w:p>
          <w:p>
            <w:pPr>
              <w:keepNext w:val="0"/>
              <w:widowControl/>
            </w:pPr>
            <w:r>
              <w:t>工程试验只推进原有项目，不免费立项、不叠普通工作加速、不溢出。到工期时按奖励前已具备的证据复核；缺证据仍待验证，新成果不影响本场结果。</w:t>
            </w:r>
          </w:p>
          <w:p>
            <w:pPr>
              <w:keepNext w:val="0"/>
              <w:widowControl/>
            </w:pPr>
            <w:r>
              <w:t>即时拿牌只入手，不自动安装、研发或建设。所有特色均当场结清，不发保留券。</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回购必须有另一批实际投向零售、合法但没售出的货；留库、错市场或超预算的批次不能拿来回购。</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13.10 回购、签装和建设在最终结果之后</w:t>
            </w:r>
          </w:p>
          <w:p>
            <w:pPr>
              <w:keepNext w:val="0"/>
              <w:widowControl/>
            </w:pPr>
            <w:r/>
            <w:r>
              <w:rPr>
                <w:b/>
              </w:rPr>
              <w:t>先把本场结果算完，再处理奖励安装和建设。</w:t>
            </w:r>
            <w:r>
              <w:t xml:space="preserve"> 普通成果、挑战资格、研发证据与回购对象都在配置尚完整时检查。</w:t>
            </w:r>
          </w:p>
          <w:p>
            <w:pPr>
              <w:keepNext w:val="0"/>
              <w:widowControl/>
            </w:pPr>
            <w:r>
              <w:t>渠道回购只处置本公司的另一批合格未售零售货，不加收入，不触发成交奖励。先标定回购对象，H29随后只能选择仍未处置的另一批；同一产品不能两次收钱。</w:t>
            </w:r>
          </w:p>
          <w:p>
            <w:pPr>
              <w:keepNext w:val="0"/>
              <w:widowControl/>
            </w:pPr>
            <w:r>
              <w:t>完成这些核验和即时奖励后，全桌统一收回已售／回购／出口配置。随后按触发者下一位起，结清已选供货签装或建设支持。可用本场已经到账的现金，不能借未来收入。</w:t>
            </w:r>
          </w:p>
          <w:p>
            <w:pPr>
              <w:keepNext w:val="0"/>
              <w:widowControl/>
            </w:pPr>
            <w:r>
              <w:t>签装仍查手牌、实际入库费与引用锁定；建设仍查手牌、现金、空间和前置。两者均不是正常工作，不触发T36的一次安装两类或其他仅限正常工作的能力。</w:t>
            </w:r>
          </w:p>
          <w:p>
            <w:pPr>
              <w:keepNext w:val="0"/>
              <w:widowControl/>
            </w:pPr>
            <w:r>
              <w:t>选奖励时可先检查对象是否可行；一旦选择不能因为随后不满足而改奖。无法执行就放弃，此次机会不带到下一回合。</w:t>
            </w:r>
          </w:p>
          <w:p>
            <w:pPr>
              <w:keepNext w:val="0"/>
              <w:widowControl/>
            </w:pPr>
            <w:r>
              <w:t>被扩产挤掉的合法原批可以成为回购/出口对象；复制批本身不可回购/出口。签装必须等该栏所有已结束引用都清理完，未售引用仍锁定。</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一批售出、最后一个芯片引用释放，才可用供货签装升级。若另一批留库仍锁芯片，就改装可换的屏幕，或选收入等奖励。</w:t>
            </w:r>
          </w:p>
        </w:tc>
      </w:tr>
    </w:tbl>
    <w:p>
      <w:pPr>
        <w:spacing w:after="60" w:before="0" w:line="40" w:lineRule="exact"/>
      </w:pPr>
      <w:r>
        <w:rPr>
          <w:sz w:val="4"/>
        </w:rPr>
        <w:t xml:space="preserve"> </w:t>
      </w:r>
    </w:p>
    <w:p>
      <w:pPr>
        <w:pStyle w:val="Heading1"/>
      </w:pPr>
      <w:r>
        <w:t>14  发布完整顺序与整理</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14.1 先确认结果，再逐笔领取</w:t>
            </w:r>
          </w:p>
          <w:p>
            <w:pPr>
              <w:keepNext w:val="0"/>
              <w:widowControl/>
            </w:pPr>
            <w:r>
              <w:t>①全员锁价与唯一去向，揭晓产品及技术指派，再从本场参考代6张V现抽1张。</w:t>
            </w:r>
          </w:p>
          <w:p>
            <w:pPr>
              <w:keepNext w:val="0"/>
              <w:widowControl/>
            </w:pPr>
            <w:r>
              <w:t>②核验事先现货的整单交付，暂不发合同款、退押或履约奖，原卡不清。</w:t>
            </w:r>
          </w:p>
          <w:p>
            <w:pPr>
              <w:keepNext w:val="0"/>
              <w:widowControl/>
            </w:pPr>
            <w:r>
              <w:t>③冻结原产品的市场分数与扩产计费条件，按大众→电竞→摄影→商务，逐市场临时分单、从高到低询问扩产；先付款、放＋片、重分，再继续。</w:t>
            </w:r>
          </w:p>
          <w:p>
            <w:pPr>
              <w:keepNext w:val="0"/>
              <w:widowControl/>
            </w:pPr>
            <w:r>
              <w:t>④四市场都结束，冻结最终成交、挑战、T41/U17/Q24等成果、合法授权、回购和样机证据。扩产所得使用片不算新科研或新关系。</w:t>
            </w:r>
          </w:p>
          <w:p>
            <w:pPr>
              <w:keepNext w:val="0"/>
              <w:widowControl/>
            </w:pPr>
            <w:r>
              <w:t>⑤触发者下一位起领取合同、零售与普通成果，再结算现金、取牌、工程或回购。履约伙伴在整项奖励后记，不重算本场资格。</w:t>
            </w:r>
          </w:p>
          <w:p>
            <w:pPr>
              <w:keepNext w:val="0"/>
              <w:widowControl/>
            </w:pPr>
            <w:r>
              <w:t>⑥完成H29等处置、Q21返还与全部证据核验后，统一释放已售/回购/出口的原产品配置和指派。扩产组每个实体只处理一次，＋片收回；作者圆片永久保留。</w:t>
            </w:r>
          </w:p>
          <w:p>
            <w:pPr>
              <w:keepNext w:val="0"/>
              <w:widowControl/>
            </w:pPr>
            <w:r>
              <w:t>⑦结清供货签装/建设支持，再处理合同期限、维护、期标记、牌市/N刷新、世代与发布复位；扩产状态恢复可用。未售配置与原授权保留。</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只把临时订单片放在队列旁。所有市场扩产结束前，不移到已收款；否则前面市场的钱会被错误用于后面扩产。</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14.2 每份钱只领一次</w:t>
            </w:r>
          </w:p>
          <w:p>
            <w:pPr>
              <w:keepNext w:val="0"/>
              <w:widowControl/>
            </w:pPr>
            <w:r>
              <w:t>合同按原有整单结算与退押，扩产不可补单；零售按每个最终成交批次结算。普通组收1批，带＋1组收2批，放已收款片防重复。</w:t>
            </w:r>
          </w:p>
          <w:p>
            <w:pPr>
              <w:keepNext w:val="0"/>
              <w:widowControl/>
            </w:pPr>
            <w:r>
              <w:t>T41每场只对所选生态产品组的原批价牌收入转1科技；扩产批收入照拿，Q15等独立奖励不受转换。H28前2批上限含扩产；U17只看最终市场覆盖，Q24只加1次，Q21只归还实际一张Q。</w:t>
            </w:r>
          </w:p>
          <w:p>
            <w:pPr>
              <w:keepNext w:val="0"/>
              <w:widowControl/>
            </w:pPr>
            <w:r>
              <w:t>制造款给银行，外部授权逐批给原作者；授权款不是收入/科技。扩产曾支付第二批授权，销售结算时不再付第三次。新授权触发U18仍共用准备期限次。</w:t>
            </w:r>
          </w:p>
          <w:p>
            <w:pPr>
              <w:keepNext w:val="0"/>
              <w:widowControl/>
            </w:pPr>
            <w:r>
              <w:t>回购/出口不叠销售、收入、挑战、Q21或新伙伴。签装和建设在统一释放后使用已经到账现金，不能借未来款。</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A收到B的第二批4授权现金，不增加收入。B扩产两批卖38，基本拿76现金与6收入；没有第三次授权收费。</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14.3 一次刷新，其他只移标记</w:t>
            </w:r>
          </w:p>
          <w:p>
            <w:pPr>
              <w:keepNext w:val="0"/>
              <w:widowControl/>
            </w:pPr>
            <w:r>
              <w:t>本场已经在⑥清掉的产品不再次清理。供货签装／建设支持在⑦执行完就收回挑战选择片；没有未用券保留。</w:t>
            </w:r>
          </w:p>
          <w:p>
            <w:pPr>
              <w:keepNext w:val="0"/>
              <w:widowControl/>
            </w:pPr>
            <w:r>
              <w:t>普通发布末，已完成合同归档；未完成合同减1期限，到0没收押金。H29先于到期。维护只检查发布开始已有设施；建设支持的新设施本场不维护，也不补领收益。复位每期能力，不复位公司世代验证。</w:t>
            </w:r>
          </w:p>
          <w:p>
            <w:pPr>
              <w:keepNext w:val="0"/>
              <w:widowControl/>
            </w:pPr>
            <w:r>
              <w:t>主牌市弃最左2张、其余左移、补8，一次完成。N进需求弃牌并抽新N；堆空才洗同类弃牌。V归还该代六张候选。处理待开的供应世代，标定下场参考代，发布归0；全桌各弃至手牌上限。</w:t>
            </w:r>
          </w:p>
          <w:p>
            <w:pPr>
              <w:keepNext w:val="0"/>
              <w:widowControl/>
            </w:pPr>
            <w:r>
              <w:t>换代不另刷新，不维护分类商店。</w:t>
            </w:r>
          </w:p>
          <w:p>
            <w:pPr>
              <w:keepNext w:val="0"/>
              <w:widowControl/>
            </w:pPr>
            <w:r>
              <w:t>普通发布整理后把每家公司扩产状态恢复可用。临时＋片不能跨场保留，也不因进入第二市场就复位。</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新设施从接下来的工作使用。已售／回购／出口三种片都解除占用，只有真实成交的Q21能回手。</w:t>
            </w:r>
          </w:p>
        </w:tc>
      </w:tr>
    </w:tbl>
    <w:p>
      <w:pPr>
        <w:spacing w:after="60" w:before="0" w:line="40" w:lineRule="exact"/>
      </w:pPr>
      <w:r>
        <w:rPr>
          <w:sz w:val="4"/>
        </w:rPr>
        <w:t xml:space="preserve"> </w:t>
      </w:r>
    </w:p>
    <w:p>
      <w:pPr>
        <w:pStyle w:val="Heading1"/>
      </w:pPr>
      <w:r>
        <w:t>15  最后阶段、速查与测试边界</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15.1 所有人各再一个回合</w:t>
            </w:r>
          </w:p>
          <w:p>
            <w:pPr>
              <w:keepNext w:val="0"/>
              <w:widowControl/>
            </w:pPr>
            <w:r>
              <w:t>任意玩家收入≥60或科技≥30，完成当前玩家回合全部结算后触发。当前行动者下一位起，每人再1个完整回合，当前行动者最后；即使达标者是别人，顺序不变。</w:t>
            </w:r>
          </w:p>
          <w:p>
            <w:pPr>
              <w:keepNext w:val="0"/>
              <w:widowControl/>
            </w:pPr>
            <w:r>
              <w:t>最后回合仍可工作、取消、组装与回合末开放世代；推轨到顶只等统一最终发布，不中途再开普通发布。最后一人结束后，按本场参考世代锁定后现抽V。</w:t>
            </w:r>
          </w:p>
          <w:p>
            <w:pPr>
              <w:keepNext w:val="0"/>
              <w:widowControl/>
            </w:pPr>
            <w:r>
              <w:t>最终发布照常交货、按同样限制扩产、挑战、回购、工程试验及本场签装／建设；工程奖励完成的验证合同可以结案。之后终止剩余合同并没收押金，不换N、不补牌、不准备下场、不付下一期维护。未售无自动残值。</w:t>
            </w:r>
          </w:p>
          <w:p>
            <w:pPr>
              <w:keepNext w:val="0"/>
              <w:widowControl/>
            </w:pPr>
            <w:r>
              <w:t>签装／建设本身不提供终局分，新设施也不能追溯最后销售；没后续工作时慎选这类奖。</w:t>
            </w:r>
          </w:p>
          <w:p>
            <w:pPr>
              <w:keepNext w:val="0"/>
              <w:widowControl/>
            </w:pPr>
            <w:r>
              <w:t>扩产支付与最终分单仍在所有销售款之前；本场扩产收益触及终局线不打断流程、不追加第二轮最后回合。</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科技主线仍能超过30，最终挑战可以继续增长。此例只说明时序，不能据此推断每局都能走到36科技。</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15.2 计分与几个不会发生的事</w:t>
            </w:r>
          </w:p>
          <w:p>
            <w:pPr>
              <w:keepNext w:val="0"/>
              <w:widowControl/>
            </w:pPr>
            <w:r>
              <w:t>按§1比较收入与2倍科技较高者。超收入100或科技36用越界片继续记录；每科技＋36片对应企业成绩＋72。同分看另一项，再看现金。</w:t>
            </w:r>
          </w:p>
          <w:p>
            <w:pPr>
              <w:keepNext w:val="0"/>
              <w:widowControl/>
            </w:pPr>
            <w:r>
              <w:t>空发布也现抽V、合同计时、刷新N与牌市；但不制造产品年龄。仅现有待售批次也能正常成交与挑战。</w:t>
            </w:r>
          </w:p>
          <w:p>
            <w:pPr>
              <w:keepNext w:val="0"/>
              <w:widowControl/>
            </w:pPr>
            <w:r>
              <w:t>普通组装工作仍只产一批；仅发布扩产可在同原产品组追加一批；没有首发奖可通过取消重造复位；已完成T不重复领奖；公司验证只看当前世代已用格。</w:t>
            </w:r>
          </w:p>
          <w:p>
            <w:pPr>
              <w:keepNext w:val="0"/>
              <w:widowControl/>
            </w:pPr>
            <w:r>
              <w:t>规则正文写必须执行的条件，侧栏只给例子与索引。卡面明确例外优先，不凭主题想象跳过世代、付款、实体或锁定。</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例子 / 摆法</w:t>
            </w:r>
          </w:p>
          <w:p>
            <w:pPr>
              <w:widowControl/>
              <w:spacing w:line="312" w:lineRule="auto" w:after="140"/>
            </w:pPr>
            <w:r>
              <w:rPr>
                <w:color w:val="3C606B"/>
                <w:sz w:val="18"/>
              </w:rPr>
              <w:t>查锁定看§6；查取消看§8；查研发证据看§9；查现抽参考看§12；查挑战看§13；查完整结算看§14。</w:t>
            </w:r>
          </w:p>
        </w:tc>
      </w:tr>
    </w:tbl>
    <w:p>
      <w:pPr>
        <w:spacing w:after="60" w:before="0" w:line="40" w:lineRule="exact"/>
      </w:pPr>
      <w:r>
        <w:rPr>
          <w:sz w:val="4"/>
        </w:rPr>
        <w:t xml:space="preserve"> </w:t>
      </w:r>
    </w:p>
    <w:tbl>
      <w:tblPr>
        <w:tblW w:type="auto" w:w="0"/>
        <w:jc w:val="center"/>
        <w:tblLayout w:type="fixed"/>
        <w:tblLook w:firstColumn="1" w:firstRow="1" w:lastColumn="0" w:lastRow="0" w:noHBand="0" w:noVBand="1" w:val="04A0"/>
      </w:tblPr>
      <w:tblGrid>
        <w:gridCol w:w="7143"/>
        <w:gridCol w:w="283"/>
        <w:gridCol w:w="2778"/>
      </w:tblGrid>
      <w:tr>
        <w:trPr>
          <w:cantSplit/>
        </w:trPr>
        <w:tc>
          <w:tcPr>
            <w:tcW w:type="dxa" w:w="7143"/>
            <w:vAlign w:val="top"/>
            <w:tcMar>
              <w:top w:w="70" w:type="dxa"/>
              <w:bottom w:w="70" w:type="dxa"/>
              <w:left w:w="80" w:type="dxa"/>
              <w:right w:w="80" w:type="dxa"/>
            </w:tcMar>
          </w:tcPr>
          <w:p>
            <w:pPr>
              <w:pStyle w:val="Heading2"/>
              <w:widowControl/>
              <w:spacing w:before="0"/>
            </w:pPr>
            <w:r>
              <w:t>15.3 哪些需要重新实测</w:t>
            </w:r>
          </w:p>
          <w:p>
            <w:pPr>
              <w:keepNext w:val="0"/>
              <w:widowControl/>
            </w:pPr>
            <w:r>
              <w:t>本版保留用户指定40款，补入6款猎户座、2款Google Tensor及2款展锐；共50个唯一主牌芯片。20稳定、30含芯片定制不变，每代4＋6。苹果使用A11—A16 Bionic和A17—A20 Pro完整名称；初始通用芯片另计。</w:t>
            </w:r>
          </w:p>
          <w:p>
            <w:pPr>
              <w:keepNext w:val="0"/>
              <w:widowControl/>
            </w:pPr>
            <w:r>
              <w:t>部分改名平台重标芯片行与专长；套装内非芯片部件、研发费用/工期、伙伴待遇（C112新平台除外）、需求、参考、授权和扩产机制保持6.8。</w:t>
            </w:r>
          </w:p>
          <w:p>
            <w:pPr>
              <w:keepNext w:val="0"/>
              <w:widowControl/>
            </w:pPr>
            <w:r>
              <w:t>逐卡数字与效果是游戏设计；前瞻型号、家族后缀及T760首发资料缺口明列，不用虚构跑分或采购价填空。表上年份是游戏供货窗口，不构成每款真实首发证明。</w:t>
            </w:r>
          </w:p>
          <w:p>
            <w:pPr>
              <w:keepNext w:val="0"/>
              <w:widowControl/>
            </w:pPr>
            <w:r>
              <w:t>测试应观察：新低成本路线能否反击；各芯片专长有无实际可行配套；苹果十代的差异是否容易理解；授权与扩产叠加后有无统治组合。文件、规则情境和配套扫描均不等于多人平衡。</w:t>
            </w:r>
          </w:p>
        </w:tc>
        <w:tc>
          <w:tcPr>
            <w:tcW w:type="dxa" w:w="283"/>
            <w:vAlign w:val="top"/>
            <w:tcMar>
              <w:top w:w="70" w:type="dxa"/>
              <w:bottom w:w="70" w:type="dxa"/>
              <w:left w:w="80" w:type="dxa"/>
              <w:right w:w="80" w:type="dxa"/>
            </w:tcMar>
          </w:tcPr>
          <w:p>
            <w:pPr>
              <w:widowControl/>
            </w:pPr>
          </w:p>
        </w:tc>
        <w:tc>
          <w:tcPr>
            <w:tcW w:type="dxa" w:w="2778"/>
            <w:vAlign w:val="top"/>
            <w:tcMar>
              <w:top w:w="70" w:type="dxa"/>
              <w:bottom w:w="70" w:type="dxa"/>
              <w:left w:w="80" w:type="dxa"/>
              <w:right w:w="80" w:type="dxa"/>
            </w:tcMar>
            <w:shd w:fill="EEF5F6"/>
          </w:tcPr>
          <w:p>
            <w:pPr>
              <w:widowControl/>
              <w:spacing w:after="140"/>
            </w:pPr>
            <w:r>
              <w:rPr>
                <w:b/>
              </w:rPr>
              <w:t>设计边界</w:t>
            </w:r>
          </w:p>
          <w:p>
            <w:pPr>
              <w:widowControl/>
              <w:spacing w:line="312" w:lineRule="auto" w:after="140"/>
            </w:pPr>
            <w:r>
              <w:rPr>
                <w:color w:val="3C606B"/>
                <w:sz w:val="18"/>
              </w:rPr>
              <w:t>芯片名录给出全部50款、卡号、数值、特色与前后差异。没有减少主牌，也不额外增加供应市场。对缺资料的型号保留标识，实际打印机套准仍须试印。</w:t>
            </w:r>
          </w:p>
        </w:tc>
      </w:tr>
    </w:tbl>
    <w:p>
      <w:pPr>
        <w:spacing w:after="60" w:before="0" w:line="40" w:lineRule="exact"/>
      </w:pPr>
      <w:r>
        <w:rPr>
          <w:sz w:val="4"/>
        </w:rPr>
        <w:t xml:space="preserve"> </w:t>
      </w:r>
    </w:p>
    <w:sectPr w:rsidR="00FC693F" w:rsidRPr="0006063C" w:rsidSect="00034616">
      <w:headerReference w:type="default" r:id="rId9"/>
      <w:footerReference w:type="default" r:id="rId10"/>
      <w:pgSz w:w="11906" w:h="16838"/>
      <w:pgMar w:top="964" w:right="850" w:bottom="964" w:left="850"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FLAGSHIP ERA  /  6.9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7707A"/>
        <w:sz w:val="16"/>
      </w:rPr>
      <w:t>旗舰元年  /  完整规则书                                         6.9  五十平台与芯片专长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88" w:lineRule="auto"/>
    </w:pPr>
    <w:rPr>
      <w:rFonts w:ascii="Noto Serif CJK SC" w:hAnsi="Noto Serif CJK SC" w:eastAsia="Noto Serif CJK SC"/>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88" w:lineRule="auto"/>
      <w:outlineLvl w:val="0"/>
    </w:pPr>
    <w:rPr>
      <w:rFonts w:asciiTheme="majorHAnsi" w:eastAsiaTheme="majorEastAsia" w:hAnsiTheme="majorHAnsi" w:cstheme="majorBidi" w:ascii="Noto Sans CJK SC" w:hAnsi="Noto Sans CJK SC" w:eastAsia="Noto Sans CJK SC"/>
      <w:b/>
      <w:bCs/>
      <w:color w:val="146A76"/>
      <w:sz w:val="34"/>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88" w:lineRule="auto"/>
      <w:outlineLvl w:val="1"/>
    </w:pPr>
    <w:rPr>
      <w:rFonts w:asciiTheme="majorHAnsi" w:eastAsiaTheme="majorEastAsia" w:hAnsiTheme="majorHAnsi" w:cstheme="majorBidi" w:ascii="Noto Sans CJK SC" w:hAnsi="Noto Sans CJK SC" w:eastAsia="Noto Sans CJK SC"/>
      <w:b/>
      <w:bCs/>
      <w:color w:val="146A7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88" w:lineRule="auto"/>
      <w:contextualSpacing/>
    </w:pPr>
    <w:rPr>
      <w:rFonts w:asciiTheme="majorHAnsi" w:eastAsiaTheme="majorEastAsia" w:hAnsiTheme="majorHAnsi" w:cstheme="majorBidi" w:ascii="Noto Sans CJK SC" w:hAnsi="Noto Sans CJK SC" w:eastAsia="Noto Sans CJK SC"/>
      <w:b/>
      <w:color w:val="17365D" w:themeColor="text2" w:themeShade="BF"/>
      <w:spacing w:val="5"/>
      <w:kern w:val="28"/>
      <w:sz w:val="6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88" w:lineRule="auto"/>
    </w:pPr>
    <w:rPr>
      <w:rFonts w:asciiTheme="majorHAnsi" w:eastAsiaTheme="majorEastAsia" w:hAnsiTheme="majorHAnsi" w:cstheme="majorBidi" w:ascii="Noto Serif CJK SC" w:hAnsi="Noto Serif CJK SC" w:eastAsia="Noto Serif CJK SC"/>
      <w:b w:val="0"/>
      <w:i/>
      <w:iCs/>
      <w:color w:val="4F81BD" w:themeColor="accent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旗舰元年6.9 完整规则书</dc:title>
  <dc:subject>正文与侧栏 / 隐藏参考 / 实体操作</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