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pPr>
      <w:r>
        <w:rPr>
          <w:rFonts w:ascii="Noto Sans CJK SC" w:hAnsi="Noto Sans CJK SC" w:eastAsia="Noto Sans CJK SC"/>
          <w:b/>
          <w:color w:val="A47E45"/>
          <w:sz w:val="24"/>
        </w:rPr>
        <w:t>FLAGSHIP ERA   /   5.0</w:t>
      </w:r>
    </w:p>
    <w:p>
      <w:pPr>
        <w:pStyle w:val="Title"/>
        <w:spacing w:before="640" w:after="240"/>
      </w:pPr>
      <w:r>
        <w:t>旗舰元年</w:t>
      </w:r>
    </w:p>
    <w:p>
      <w:pPr>
        <w:pStyle w:val="Subtitle"/>
      </w:pPr>
      <w:r>
        <w:t>完整规则书</w:t>
      </w:r>
    </w:p>
    <w:p>
      <w:pPr>
        <w:spacing w:before="360"/>
      </w:pPr>
      <w:r>
        <w:rPr>
          <w:rFonts w:ascii="Noto Sans CJK SC" w:hAnsi="Noto Sans CJK SC" w:eastAsia="Noto Sans CJK SC"/>
          <w:color w:val="244C42"/>
          <w:sz w:val="26"/>
        </w:rPr>
        <w:t>五厂协同  ·  供应链竞争  ·  技术成果</w:t>
      </w:r>
    </w:p>
    <w:p>
      <w:pPr>
        <w:spacing w:before="560"/>
      </w:pPr>
      <w:r>
        <w:rPr>
          <w:rFonts w:ascii="Noto Sans CJK SC" w:hAnsi="Noto Sans CJK SC" w:eastAsia="Noto Sans CJK SC"/>
          <w:color w:val="A47E45"/>
          <w:sz w:val="20"/>
        </w:rPr>
        <w:t>2—4人     90—150分钟（待实测）</w:t>
      </w:r>
    </w:p>
    <w:p>
      <w:pPr>
        <w:spacing w:before="400" w:after="440"/>
      </w:pPr>
      <w:r>
        <w:rPr>
          <w:rFonts w:ascii="Noto Serif CJK SC" w:hAnsi="Noto Serif CJK SC" w:eastAsia="Noto Serif CJK SC"/>
          <w:color w:val="244C42"/>
          <w:sz w:val="32"/>
        </w:rPr>
        <w:t>公开抢到的零件，只是别人看得见的一半。</w:t>
        <w:br/>
        <w:t>真正的旗舰，在共同发布时才揭晓。</w:t>
      </w:r>
    </w:p>
    <w:tbl>
      <w:tblPr>
        <w:tblW w:type="auto" w:w="0"/>
        <w:jc w:val="center"/>
        <w:tblLayout w:type="fixed"/>
        <w:tblLook w:firstColumn="1" w:firstRow="1" w:lastColumn="0" w:lastRow="0" w:noHBand="0" w:noVBand="1" w:val="04A0"/>
        <w:tblBorders>
          <w:top w:val="single" w:sz="4" w:color="CFDAD2"/>
          <w:bottom w:val="single" w:sz="4" w:color="CFDAD2"/>
          <w:left w:val="single" w:sz="4" w:color="CFDAD2"/>
          <w:right w:val="single" w:sz="4" w:color="CFDAD2"/>
          <w:insideH w:val="single" w:sz="4" w:color="CFDAD2"/>
          <w:insideV w:val="single" w:sz="4" w:color="CFDAD2"/>
        </w:tblBorders>
      </w:tblPr>
      <w:tblGrid>
        <w:gridCol w:w="3288"/>
        <w:gridCol w:w="3288"/>
        <w:gridCol w:w="3288"/>
      </w:tblGrid>
      <w:tr>
        <w:trPr>
          <w:cantSplit/>
          <w:tblHeader/>
        </w:trPr>
        <w:tc>
          <w:tcPr>
            <w:tcW w:type="dxa" w:w="3288"/>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20"/>
              </w:rPr>
              <w:t>保留骨架</w:t>
            </w:r>
          </w:p>
        </w:tc>
        <w:tc>
          <w:tcPr>
            <w:tcW w:type="dxa" w:w="3288"/>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20"/>
              </w:rPr>
              <w:t>本次整合</w:t>
            </w:r>
          </w:p>
        </w:tc>
        <w:tc>
          <w:tcPr>
            <w:tcW w:type="dxa" w:w="3288"/>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20"/>
              </w:rPr>
              <w:t>配套图鉴</w:t>
            </w:r>
          </w:p>
        </w:tc>
      </w:tr>
      <w:tr>
        <w:trPr>
          <w:cantSplit/>
        </w:trPr>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20"/>
              </w:rPr>
              <w:t>五行动强度</w:t>
              <w:br/>
              <w:t>双轨与共同发布</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20"/>
              </w:rPr>
              <w:t>五厂标签＋多源科技</w:t>
              <w:br/>
              <w:t>从4.8继续迭代</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20"/>
              </w:rPr>
              <w:t>302种内容牌</w:t>
              <w:br/>
              <w:t>按份数准备374张</w:t>
            </w:r>
          </w:p>
        </w:tc>
      </w:tr>
    </w:tbl>
    <w:p>
      <w:pPr>
        <w:spacing w:after="40" w:line="40" w:lineRule="exact" w:before="0"/>
      </w:pPr>
    </w:p>
    <w:p>
      <w:pPr>
        <w:spacing w:before="400"/>
      </w:pPr>
      <w:r>
        <w:rPr>
          <w:rFonts w:ascii="Noto Sans CJK SC" w:hAnsi="Noto Sans CJK SC" w:eastAsia="Noto Sans CJK SC"/>
          <w:color w:val="A47E45"/>
          <w:sz w:val="20"/>
        </w:rPr>
        <w:t>综合测试版  /  2026年9月20日</w:t>
      </w:r>
    </w:p>
    <w:p>
      <w:r>
        <w:rPr>
          <w:rFonts w:ascii="Noto Sans CJK SC" w:hAnsi="Noto Sans CJK SC" w:eastAsia="Noto Sans CJK SC"/>
          <w:color w:val="65766A"/>
          <w:sz w:val="18"/>
        </w:rPr>
        <w:t>科技0—36；前八步每步跨2格，其后每步跨3格。</w:t>
        <w:br/>
        <w:t>以双轨相遇判终局；不使用纸笔。尚待多人平衡实测。</w:t>
      </w:r>
    </w:p>
    <w:p>
      <w:r>
        <w:br w:type="page"/>
      </w:r>
    </w:p>
    <w:p>
      <w:pPr>
        <w:pStyle w:val="Heading1"/>
      </w:pPr>
      <w:r>
        <w:t>阅读导航</w:t>
      </w:r>
    </w:p>
    <w:p>
      <w:r>
        <w:t>初次游玩先读第一至第十三节；遇到结算疑问查第十四节。全卡数值与完整效果见配套图鉴，第十六节提供编号和供货批次索引。</w:t>
      </w:r>
    </w:p>
    <w:p>
      <w:pPr>
        <w:tabs>
          <w:tab w:pos="9581" w:val="right"/>
        </w:tabs>
        <w:spacing w:after="120"/>
      </w:pPr>
      <w:hyperlink w:anchor="ch_1">
        <w:r>
          <w:rPr>
            <w:color w:val="244C42"/>
            <w:rFonts w:ascii="Noto Sans CJK SC" w:hAnsi="Noto Sans CJK SC" w:eastAsia="Noto Sans CJK SC"/>
          </w:rPr>
          <w:t>一 游戏目标与基本概念</w:t>
        </w:r>
      </w:hyperlink>
      <w:r>
        <w:tab/>
      </w:r>
      <w:fldSimple w:instr="PAGEREF ch_1 \h"/>
    </w:p>
    <w:p>
      <w:pPr>
        <w:tabs>
          <w:tab w:pos="9581" w:val="right"/>
        </w:tabs>
        <w:spacing w:after="120"/>
      </w:pPr>
      <w:hyperlink w:anchor="ch_2">
        <w:r>
          <w:rPr>
            <w:color w:val="244C42"/>
            <w:rFonts w:ascii="Noto Sans CJK SC" w:hAnsi="Noto Sans CJK SC" w:eastAsia="Noto Sans CJK SC"/>
          </w:rPr>
          <w:t>二 组件与开局</w:t>
        </w:r>
      </w:hyperlink>
      <w:r>
        <w:tab/>
      </w:r>
      <w:fldSimple w:instr="PAGEREF ch_2 \h"/>
    </w:p>
    <w:p>
      <w:pPr>
        <w:tabs>
          <w:tab w:pos="9581" w:val="right"/>
        </w:tabs>
        <w:spacing w:after="120"/>
      </w:pPr>
      <w:hyperlink w:anchor="ch_3">
        <w:r>
          <w:rPr>
            <w:color w:val="244C42"/>
            <w:rFonts w:ascii="Noto Sans CJK SC" w:hAnsi="Noto Sans CJK SC" w:eastAsia="Noto Sans CJK SC"/>
          </w:rPr>
          <w:t>三 类别标签与厂家标签</w:t>
        </w:r>
      </w:hyperlink>
      <w:r>
        <w:tab/>
      </w:r>
      <w:fldSimple w:instr="PAGEREF ch_3 \h"/>
    </w:p>
    <w:p>
      <w:pPr>
        <w:tabs>
          <w:tab w:pos="9581" w:val="right"/>
        </w:tabs>
        <w:spacing w:after="120"/>
      </w:pPr>
      <w:hyperlink w:anchor="ch_4">
        <w:r>
          <w:rPr>
            <w:color w:val="244C42"/>
            <w:rFonts w:ascii="Noto Sans CJK SC" w:hAnsi="Noto Sans CJK SC" w:eastAsia="Noto Sans CJK SC"/>
          </w:rPr>
          <w:t>四 玩家回合与五种行动</w:t>
        </w:r>
      </w:hyperlink>
      <w:r>
        <w:tab/>
      </w:r>
      <w:fldSimple w:instr="PAGEREF ch_4 \h"/>
    </w:p>
    <w:p>
      <w:pPr>
        <w:tabs>
          <w:tab w:pos="9581" w:val="right"/>
        </w:tabs>
        <w:spacing w:after="120"/>
      </w:pPr>
      <w:hyperlink w:anchor="ch_5">
        <w:r>
          <w:rPr>
            <w:color w:val="244C42"/>
            <w:rFonts w:ascii="Noto Sans CJK SC" w:hAnsi="Noto Sans CJK SC" w:eastAsia="Noto Sans CJK SC"/>
          </w:rPr>
          <w:t>五 分代供应链</w:t>
        </w:r>
      </w:hyperlink>
      <w:r>
        <w:tab/>
      </w:r>
      <w:fldSimple w:instr="PAGEREF ch_5 \h"/>
    </w:p>
    <w:p>
      <w:pPr>
        <w:tabs>
          <w:tab w:pos="9581" w:val="right"/>
        </w:tabs>
        <w:spacing w:after="120"/>
      </w:pPr>
      <w:hyperlink w:anchor="ch_6">
        <w:r>
          <w:rPr>
            <w:color w:val="244C42"/>
            <w:rFonts w:ascii="Noto Sans CJK SC" w:hAnsi="Noto Sans CJK SC" w:eastAsia="Noto Sans CJK SC"/>
          </w:rPr>
          <w:t>六 配件与秘密筹备</w:t>
        </w:r>
      </w:hyperlink>
      <w:r>
        <w:tab/>
      </w:r>
      <w:fldSimple w:instr="PAGEREF ch_6 \h"/>
    </w:p>
    <w:p>
      <w:pPr>
        <w:tabs>
          <w:tab w:pos="9581" w:val="right"/>
        </w:tabs>
        <w:spacing w:after="120"/>
      </w:pPr>
      <w:hyperlink w:anchor="ch_7">
        <w:r>
          <w:rPr>
            <w:color w:val="244C42"/>
            <w:rFonts w:ascii="Noto Sans CJK SC" w:hAnsi="Noto Sans CJK SC" w:eastAsia="Noto Sans CJK SC"/>
          </w:rPr>
          <w:t>七 发布前如何计算手机</w:t>
        </w:r>
      </w:hyperlink>
      <w:r>
        <w:tab/>
      </w:r>
      <w:fldSimple w:instr="PAGEREF ch_7 \h"/>
    </w:p>
    <w:p>
      <w:pPr>
        <w:tabs>
          <w:tab w:pos="9581" w:val="right"/>
        </w:tabs>
        <w:spacing w:after="120"/>
      </w:pPr>
      <w:hyperlink w:anchor="ch_8">
        <w:r>
          <w:rPr>
            <w:color w:val="244C42"/>
            <w:rFonts w:ascii="Noto Sans CJK SC" w:hAnsi="Noto Sans CJK SC" w:eastAsia="Noto Sans CJK SC"/>
          </w:rPr>
          <w:t>八 实体秘密定价与市场收益</w:t>
        </w:r>
      </w:hyperlink>
      <w:r>
        <w:tab/>
      </w:r>
      <w:fldSimple w:instr="PAGEREF ch_8 \h"/>
    </w:p>
    <w:p>
      <w:pPr>
        <w:tabs>
          <w:tab w:pos="9581" w:val="right"/>
        </w:tabs>
        <w:spacing w:after="120"/>
      </w:pPr>
      <w:hyperlink w:anchor="ch_9">
        <w:r>
          <w:rPr>
            <w:color w:val="244C42"/>
            <w:rFonts w:ascii="Noto Sans CJK SC" w:hAnsi="Noto Sans CJK SC" w:eastAsia="Noto Sans CJK SC"/>
          </w:rPr>
          <w:t>九 共同发布会</w:t>
        </w:r>
      </w:hyperlink>
      <w:r>
        <w:tab/>
      </w:r>
      <w:fldSimple w:instr="PAGEREF ch_9 \h"/>
    </w:p>
    <w:p>
      <w:pPr>
        <w:tabs>
          <w:tab w:pos="9581" w:val="right"/>
        </w:tabs>
        <w:spacing w:after="120"/>
      </w:pPr>
      <w:hyperlink w:anchor="ch_10">
        <w:r>
          <w:rPr>
            <w:color w:val="244C42"/>
            <w:rFonts w:ascii="Noto Sans CJK SC" w:hAnsi="Noto Sans CJK SC" w:eastAsia="Noto Sans CJK SC"/>
          </w:rPr>
          <w:t>十 成长与行动升级</w:t>
        </w:r>
      </w:hyperlink>
      <w:r>
        <w:tab/>
      </w:r>
      <w:fldSimple w:instr="PAGEREF ch_10 \h"/>
    </w:p>
    <w:p>
      <w:pPr>
        <w:tabs>
          <w:tab w:pos="9581" w:val="right"/>
        </w:tabs>
        <w:spacing w:after="120"/>
      </w:pPr>
      <w:hyperlink w:anchor="ch_11">
        <w:r>
          <w:rPr>
            <w:color w:val="244C42"/>
            <w:rFonts w:ascii="Noto Sans CJK SC" w:hAnsi="Noto Sans CJK SC" w:eastAsia="Noto Sans CJK SC"/>
          </w:rPr>
          <w:t>十一 基础产业突破与专项项目</w:t>
        </w:r>
      </w:hyperlink>
      <w:r>
        <w:tab/>
      </w:r>
      <w:fldSimple w:instr="PAGEREF ch_11 \h"/>
    </w:p>
    <w:p>
      <w:pPr>
        <w:tabs>
          <w:tab w:pos="9581" w:val="right"/>
        </w:tabs>
        <w:spacing w:after="120"/>
      </w:pPr>
      <w:hyperlink w:anchor="ch_12">
        <w:r>
          <w:rPr>
            <w:color w:val="244C42"/>
            <w:rFonts w:ascii="Noto Sans CJK SC" w:hAnsi="Noto Sans CJK SC" w:eastAsia="Noto Sans CJK SC"/>
          </w:rPr>
          <w:t>十二 游戏结束与计分</w:t>
        </w:r>
      </w:hyperlink>
      <w:r>
        <w:tab/>
      </w:r>
      <w:fldSimple w:instr="PAGEREF ch_12 \h"/>
    </w:p>
    <w:p>
      <w:pPr>
        <w:tabs>
          <w:tab w:pos="9581" w:val="right"/>
        </w:tabs>
        <w:spacing w:after="120"/>
      </w:pPr>
      <w:hyperlink w:anchor="ch_13">
        <w:r>
          <w:rPr>
            <w:color w:val="244C42"/>
            <w:rFonts w:ascii="Noto Sans CJK SC" w:hAnsi="Noto Sans CJK SC" w:eastAsia="Noto Sans CJK SC"/>
          </w:rPr>
          <w:t>十三 四张个人版图</w:t>
        </w:r>
      </w:hyperlink>
      <w:r>
        <w:tab/>
      </w:r>
      <w:fldSimple w:instr="PAGEREF ch_13 \h"/>
    </w:p>
    <w:p>
      <w:pPr>
        <w:tabs>
          <w:tab w:pos="9581" w:val="right"/>
        </w:tabs>
        <w:spacing w:after="120"/>
      </w:pPr>
      <w:hyperlink w:anchor="ch_14">
        <w:r>
          <w:rPr>
            <w:color w:val="244C42"/>
            <w:rFonts w:ascii="Noto Sans CJK SC" w:hAnsi="Noto Sans CJK SC" w:eastAsia="Noto Sans CJK SC"/>
          </w:rPr>
          <w:t>十四 示例与重要裁定</w:t>
        </w:r>
      </w:hyperlink>
      <w:r>
        <w:tab/>
      </w:r>
      <w:fldSimple w:instr="PAGEREF ch_14 \h"/>
    </w:p>
    <w:p>
      <w:pPr>
        <w:tabs>
          <w:tab w:pos="9581" w:val="right"/>
        </w:tabs>
        <w:spacing w:after="120"/>
      </w:pPr>
      <w:hyperlink w:anchor="ch_15">
        <w:r>
          <w:rPr>
            <w:color w:val="244C42"/>
            <w:rFonts w:ascii="Noto Sans CJK SC" w:hAnsi="Noto Sans CJK SC" w:eastAsia="Noto Sans CJK SC"/>
          </w:rPr>
          <w:t>十五 版本变化、来源与测试范围</w:t>
        </w:r>
      </w:hyperlink>
      <w:r>
        <w:tab/>
      </w:r>
      <w:fldSimple w:instr="PAGEREF ch_15 \h"/>
    </w:p>
    <w:p>
      <w:pPr>
        <w:tabs>
          <w:tab w:pos="9581" w:val="right"/>
        </w:tabs>
        <w:spacing w:after="120"/>
      </w:pPr>
      <w:hyperlink w:anchor="ch_16">
        <w:r>
          <w:rPr>
            <w:color w:val="244C42"/>
            <w:rFonts w:ascii="Noto Sans CJK SC" w:hAnsi="Noto Sans CJK SC" w:eastAsia="Noto Sans CJK SC"/>
          </w:rPr>
          <w:t>十六 图鉴索引与供应批次</w:t>
        </w:r>
      </w:hyperlink>
      <w:r>
        <w:tab/>
      </w:r>
      <w:fldSimple w:instr="PAGEREF ch_16 \h"/>
    </w:p>
    <w:p>
      <w:pPr>
        <w:tabs>
          <w:tab w:pos="9581" w:val="right"/>
        </w:tabs>
        <w:spacing w:after="120"/>
      </w:pPr>
      <w:hyperlink w:anchor="ch_17">
        <w:r>
          <w:rPr>
            <w:color w:val="244C42"/>
            <w:rFonts w:ascii="Noto Sans CJK SC" w:hAnsi="Noto Sans CJK SC" w:eastAsia="Noto Sans CJK SC"/>
          </w:rPr>
          <w:t>十七 设计参考与资料边界</w:t>
        </w:r>
      </w:hyperlink>
      <w:r>
        <w:tab/>
      </w:r>
      <w:fldSimple w:instr="PAGEREF ch_17 \h"/>
    </w:p>
    <w:p>
      <w:pPr>
        <w:pStyle w:val="Heading2"/>
      </w:pPr>
      <w:r>
        <w:t>四条重要界线</w:t>
      </w:r>
    </w:p>
    <w:p>
      <w:r>
        <w:t>类别与厂家分别统计；配件不提供公司厂标；供应世代不等于个人科技；现金不等于收入。</w:t>
      </w:r>
    </w:p>
    <w:p>
      <w:pPr>
        <w:pStyle w:val="Heading2"/>
      </w:pPr>
      <w:r>
        <w:t>更新说明</w:t>
      </w:r>
    </w:p>
    <w:p>
      <w:r>
        <w:t>旧版未改动规则已融入正文，不需要边玩边翻旧版补丁。所有数值为测试参数，未引入电子游玩功能。</w:t>
      </w:r>
    </w:p>
    <w:p>
      <w:r>
        <w:br w:type="page"/>
      </w:r>
    </w:p>
    <w:p>
      <w:r>
        <w:t>本版从4.8继续迭代，保留五行动强度、分代供应链、秘密筹备、玩家推动共同发布、四市场竞争和实体定价。新规则与全部卡面已经整合，不需要翻旧版补丁。5.0参数尚待充分多人试玩，90—150分钟是待验证的时长目标。</w:t>
      </w:r>
    </w:p>
    <w:p>
      <w:bookmarkStart w:id="1" w:name="ch_1"/>
      <w:pPr>
        <w:pStyle w:val="Heading1"/>
      </w:pPr>
      <w:r>
        <w:t>一 游戏目标与基本概念</w:t>
      </w:r>
      <w:bookmarkEnd w:id="1"/>
    </w:p>
    <w:p>
      <w:pPr>
        <w:pStyle w:val="Heading2"/>
      </w:pPr>
      <w:r>
        <w:t>两条轨道相遇</w:t>
      </w:r>
    </w:p>
    <w:p>
      <w:r>
        <w:t>中央版图外侧是方向相反的U形双轨：收入0—100，科技0—36。科技0到8共有八步，每步对应2个收入格；从8到36共有二十八步，每步对应3个收入格。8到9是第一个跨度为3的科技步。</w:t>
      </w:r>
    </w:p>
    <w:p>
      <w:r>
        <w:t>当任意玩家的两个标记相遇或越过，完成当前回合的全部结算后，所有玩家各再进行一个回合，随后举行最终发布并计分。秘密终局目标只在最终计分时加入，不会提前触发游戏结束。</w:t>
      </w:r>
    </w:p>
    <w:p>
      <w:r>
        <w:t>这里比较同一玩家自己的收入与科技标记，不比较不同玩家的两个标记。科技格的对齐线直接指向相应收入位置；按这条线判断相遇或越过，不需要计算固定倍数。科技36不是另一项必须达到的胜利条件。</w:t>
      </w:r>
    </w:p>
    <w:p>
      <w:r>
        <w:t>收入体现公司积累，并决定正常发布后的回款。科技决定个人使用门槛，也会开启行动升级与全桌新一代供应。两轨只记录各自进度，不允许把科技兑换成现金或随意移到收入轨。</w:t>
      </w:r>
    </w:p>
    <w:p>
      <w:pPr>
        <w:pStyle w:val="Heading2"/>
      </w:pPr>
      <w:r>
        <w:t>现金、收入与吸引力</w:t>
      </w:r>
    </w:p>
    <w:p>
      <w:r>
        <w:t>“获得12现金”是从银行拿钱，用于付款；“增加4收入”是收入轨前进4格，不立即拿4现金；“市场吸引力加4”只改变本场排名，不移动收入轨。手机的四项印刷吸引力既用于验收，也构成市场吸引力的基础，但这两个检查时点和修正范围不同。</w:t>
      </w:r>
    </w:p>
    <w:p>
      <w:r>
        <w:t>现金不可为负。必须先有钱才能付款，不能借用本场尚未领取的销售、企划、成长或正常回款。融资只是一项筹资行动，不产生债务记录。现金本身不计终局分。</w:t>
      </w:r>
    </w:p>
    <w:p>
      <w:pPr>
        <w:pStyle w:val="Heading2"/>
      </w:pPr>
      <w:r>
        <w:t>卡牌与区域</w:t>
      </w:r>
    </w:p>
    <w:tbl>
      <w:tblPr>
        <w:tblW w:type="auto" w:w="0"/>
        <w:jc w:val="center"/>
        <w:tblLayout w:type="fixed"/>
        <w:tblLook w:firstColumn="1" w:firstRow="1" w:lastColumn="0" w:lastRow="0" w:noHBand="0" w:noVBand="1" w:val="04A0"/>
        <w:tblBorders>
          <w:top w:val="single" w:sz="4" w:color="CFDAD2"/>
          <w:bottom w:val="single" w:sz="4" w:color="CFDAD2"/>
          <w:left w:val="single" w:sz="4" w:color="CFDAD2"/>
          <w:right w:val="single" w:sz="4" w:color="CFDAD2"/>
          <w:insideH w:val="single" w:sz="4" w:color="CFDAD2"/>
          <w:insideV w:val="single" w:sz="4" w:color="CFDAD2"/>
        </w:tblBorders>
      </w:tblPr>
      <w:tblGrid>
        <w:gridCol w:w="1701"/>
        <w:gridCol w:w="8164"/>
      </w:tblGrid>
      <w:tr>
        <w:trPr>
          <w:cantSplit/>
          <w:tblHeader/>
        </w:trPr>
        <w:tc>
          <w:tcPr>
            <w:tcW w:type="dxa" w:w="1701"/>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类别</w:t>
            </w:r>
          </w:p>
        </w:tc>
        <w:tc>
          <w:tcPr>
            <w:tcW w:type="dxa" w:w="8164"/>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位置及作用</w:t>
            </w:r>
          </w:p>
        </w:tc>
      </w:tr>
      <w:tr>
        <w:trPr>
          <w:cantSplit/>
        </w:trPr>
        <w:tc>
          <w:tcPr>
            <w:tcW w:type="dxa" w:w="170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产品企划</w:t>
            </w:r>
          </w:p>
        </w:tc>
        <w:tc>
          <w:tcPr>
            <w:tcW w:type="dxa" w:w="816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秘密筹备时确定市场、厂系、类别、验收、开发费和收入；通过验收付款后公开上市。</w:t>
            </w:r>
          </w:p>
        </w:tc>
      </w:tr>
      <w:tr>
        <w:trPr>
          <w:cantSplit/>
        </w:trPr>
        <w:tc>
          <w:tcPr>
            <w:tcW w:type="dxa" w:w="1701"/>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科技卡</w:t>
            </w:r>
          </w:p>
        </w:tc>
        <w:tc>
          <w:tcPr>
            <w:tcW w:type="dxa" w:w="816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研发打出；按印刷值获得0—3科技并启用能力。部分具有厂标和研发基础。</w:t>
            </w:r>
          </w:p>
        </w:tc>
      </w:tr>
      <w:tr>
        <w:trPr>
          <w:cantSplit/>
        </w:trPr>
        <w:tc>
          <w:tcPr>
            <w:tcW w:type="dxa" w:w="170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企业卡</w:t>
            </w:r>
          </w:p>
        </w:tc>
        <w:tc>
          <w:tcPr>
            <w:tcW w:type="dxa" w:w="816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合作打出；主要改善资金、采购、费用和销售，部分提供厂系合作。</w:t>
            </w:r>
          </w:p>
        </w:tc>
      </w:tr>
      <w:tr>
        <w:trPr>
          <w:cantSplit/>
        </w:trPr>
        <w:tc>
          <w:tcPr>
            <w:tcW w:type="dxa" w:w="1701"/>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稳定配件</w:t>
            </w:r>
          </w:p>
        </w:tc>
        <w:tc>
          <w:tcPr>
            <w:tcW w:type="dxa" w:w="816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公开供应链采购后永久入库；按世代供货，每场使用后归库，每次仍付制造费。</w:t>
            </w:r>
          </w:p>
        </w:tc>
      </w:tr>
      <w:tr>
        <w:trPr>
          <w:cantSplit/>
        </w:trPr>
        <w:tc>
          <w:tcPr>
            <w:tcW w:type="dxa" w:w="170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定制配件</w:t>
            </w:r>
          </w:p>
        </w:tc>
        <w:tc>
          <w:tcPr>
            <w:tcW w:type="dxa" w:w="816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按世代进入主牌库，取得后为秘密手牌；本场使用即消耗，失败也移出。</w:t>
            </w:r>
          </w:p>
        </w:tc>
      </w:tr>
      <w:tr>
        <w:trPr>
          <w:cantSplit/>
        </w:trPr>
        <w:tc>
          <w:tcPr>
            <w:tcW w:type="dxa" w:w="1701"/>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基础产业突破J</w:t>
            </w:r>
          </w:p>
        </w:tc>
        <w:tc>
          <w:tcPr>
            <w:tcW w:type="dxa" w:w="816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开局随机展示4张，整局不替换。用合作行动竞争档位。</w:t>
            </w:r>
          </w:p>
        </w:tc>
      </w:tr>
      <w:tr>
        <w:trPr>
          <w:cantSplit/>
        </w:trPr>
        <w:tc>
          <w:tcPr>
            <w:tcW w:type="dxa" w:w="170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专项突破R</w:t>
            </w:r>
          </w:p>
        </w:tc>
        <w:tc>
          <w:tcPr>
            <w:tcW w:type="dxa" w:w="816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进入主牌库；可从手牌提出并立即完成，随后成为全桌公开项目。</w:t>
            </w:r>
          </w:p>
        </w:tc>
      </w:tr>
      <w:tr>
        <w:trPr>
          <w:cantSplit/>
        </w:trPr>
        <w:tc>
          <w:tcPr>
            <w:tcW w:type="dxa" w:w="1701"/>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终局目标O</w:t>
            </w:r>
          </w:p>
        </w:tc>
        <w:tc>
          <w:tcPr>
            <w:tcW w:type="dxa" w:w="816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开局抽2留1秘密保存，最终计分时最多6分。</w:t>
            </w:r>
          </w:p>
        </w:tc>
      </w:tr>
    </w:tbl>
    <w:p>
      <w:pPr>
        <w:spacing w:after="40" w:line="40" w:lineRule="exact" w:before="0"/>
      </w:pPr>
    </w:p>
    <w:p>
      <w:r>
        <w:t>“公司区域”只包含自己的已上市企划、已打出科技卡和已打出企业卡。J/R项目放在公共区，不属于提出者的公司，不提供厂标或类别标签。筹备中的企划尚未上市。</w:t>
      </w:r>
    </w:p>
    <w:p>
      <w:bookmarkStart w:id="2" w:name="ch_2"/>
      <w:pPr>
        <w:pStyle w:val="Heading1"/>
      </w:pPr>
      <w:r>
        <w:t>二 组件与开局</w:t>
      </w:r>
      <w:bookmarkEnd w:id="2"/>
    </w:p>
    <w:p>
      <w:pPr>
        <w:pStyle w:val="Heading2"/>
      </w:pPr>
      <w:r>
        <w:t>内容牌与功能组件</w:t>
      </w:r>
    </w:p>
    <w:tbl>
      <w:tblPr>
        <w:tblW w:type="auto" w:w="0"/>
        <w:jc w:val="center"/>
        <w:tblLayout w:type="fixed"/>
        <w:tblLook w:firstColumn="1" w:firstRow="1" w:lastColumn="0" w:lastRow="0" w:noHBand="0" w:noVBand="1" w:val="04A0"/>
        <w:tblBorders>
          <w:top w:val="single" w:sz="4" w:color="CFDAD2"/>
          <w:bottom w:val="single" w:sz="4" w:color="CFDAD2"/>
          <w:left w:val="single" w:sz="4" w:color="CFDAD2"/>
          <w:right w:val="single" w:sz="4" w:color="CFDAD2"/>
          <w:insideH w:val="single" w:sz="4" w:color="CFDAD2"/>
          <w:insideV w:val="single" w:sz="4" w:color="CFDAD2"/>
        </w:tblBorders>
      </w:tblPr>
      <w:tblGrid>
        <w:gridCol w:w="2154"/>
        <w:gridCol w:w="3288"/>
        <w:gridCol w:w="4422"/>
      </w:tblGrid>
      <w:tr>
        <w:trPr>
          <w:cantSplit/>
          <w:tblHeader/>
        </w:trPr>
        <w:tc>
          <w:tcPr>
            <w:tcW w:type="dxa" w:w="2154"/>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类别</w:t>
            </w:r>
          </w:p>
        </w:tc>
        <w:tc>
          <w:tcPr>
            <w:tcW w:type="dxa" w:w="3288"/>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编号</w:t>
            </w:r>
          </w:p>
        </w:tc>
        <w:tc>
          <w:tcPr>
            <w:tcW w:type="dxa" w:w="4422"/>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设计／实体张数</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产品企划</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P01—P96</w:t>
            </w:r>
          </w:p>
        </w:tc>
        <w:tc>
          <w:tcPr>
            <w:tcW w:type="dxa" w:w="4422"/>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96／96</w:t>
            </w:r>
          </w:p>
        </w:tc>
      </w:tr>
      <w:tr>
        <w:trPr>
          <w:cantSplit/>
        </w:trPr>
        <w:tc>
          <w:tcPr>
            <w:tcW w:type="dxa" w:w="215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科技卡</w:t>
            </w:r>
          </w:p>
        </w:tc>
        <w:tc>
          <w:tcPr>
            <w:tcW w:type="dxa" w:w="3288"/>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T01—T41</w:t>
            </w:r>
          </w:p>
        </w:tc>
        <w:tc>
          <w:tcPr>
            <w:tcW w:type="dxa" w:w="4422"/>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41／41</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企业卡</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B01—B41</w:t>
            </w:r>
          </w:p>
        </w:tc>
        <w:tc>
          <w:tcPr>
            <w:tcW w:type="dxa" w:w="4422"/>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41／41</w:t>
            </w:r>
          </w:p>
        </w:tc>
      </w:tr>
      <w:tr>
        <w:trPr>
          <w:cantSplit/>
        </w:trPr>
        <w:tc>
          <w:tcPr>
            <w:tcW w:type="dxa" w:w="215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稳定配件</w:t>
            </w:r>
          </w:p>
        </w:tc>
        <w:tc>
          <w:tcPr>
            <w:tcW w:type="dxa" w:w="3288"/>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C01—C13；D01—D09；I01—I09；F01—F09</w:t>
            </w:r>
          </w:p>
        </w:tc>
        <w:tc>
          <w:tcPr>
            <w:tcW w:type="dxa" w:w="4422"/>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40／80</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定制配件</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X01—X32</w:t>
            </w:r>
          </w:p>
        </w:tc>
        <w:tc>
          <w:tcPr>
            <w:tcW w:type="dxa" w:w="4422"/>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32／64</w:t>
            </w:r>
          </w:p>
        </w:tc>
      </w:tr>
      <w:tr>
        <w:trPr>
          <w:cantSplit/>
        </w:trPr>
        <w:tc>
          <w:tcPr>
            <w:tcW w:type="dxa" w:w="215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初始稳定配件</w:t>
            </w:r>
          </w:p>
        </w:tc>
        <w:tc>
          <w:tcPr>
            <w:tcW w:type="dxa" w:w="3288"/>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四组S编号</w:t>
            </w:r>
          </w:p>
        </w:tc>
        <w:tc>
          <w:tcPr>
            <w:tcW w:type="dxa" w:w="4422"/>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16／16</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基础产业突破</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J01—J12</w:t>
            </w:r>
          </w:p>
        </w:tc>
        <w:tc>
          <w:tcPr>
            <w:tcW w:type="dxa" w:w="4422"/>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12／12</w:t>
            </w:r>
          </w:p>
        </w:tc>
      </w:tr>
      <w:tr>
        <w:trPr>
          <w:cantSplit/>
        </w:trPr>
        <w:tc>
          <w:tcPr>
            <w:tcW w:type="dxa" w:w="215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专项突破</w:t>
            </w:r>
          </w:p>
        </w:tc>
        <w:tc>
          <w:tcPr>
            <w:tcW w:type="dxa" w:w="3288"/>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R01—R06</w:t>
            </w:r>
          </w:p>
        </w:tc>
        <w:tc>
          <w:tcPr>
            <w:tcW w:type="dxa" w:w="4422"/>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6／6</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终局目标</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O01—O18</w:t>
            </w:r>
          </w:p>
        </w:tc>
        <w:tc>
          <w:tcPr>
            <w:tcW w:type="dxa" w:w="4422"/>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18／18</w:t>
            </w:r>
          </w:p>
        </w:tc>
      </w:tr>
    </w:tbl>
    <w:p>
      <w:pPr>
        <w:spacing w:after="40" w:line="40" w:lineRule="exact" w:before="0"/>
      </w:pPr>
    </w:p>
    <w:p>
      <w:r>
        <w:t>共302种内容牌，按份数准备374张。与4.8相比新增22种、22张，其余原编号和份数保留。每人另需5张双面行动卡、9张定价牌、3枚调校标记、7枚成长标记、10枚本人项目标记、收入和科技标记、遮挡屏及越界标记。功能牌与标记不计入374张内容牌。基础研究不再使用“整局一次”标记。</w:t>
      </w:r>
    </w:p>
    <w:p>
      <w:r>
        <w:t>使用中央版图、4张差异化个人版图、独立供应链版图与产业协作版图。厂家说明、定价速查及专项陈列区可用配套静态版图展示或打印。玩家项目标记须用自己的颜色或编号辨认；厂标颜色与玩家颜色没有绑定关系。银行现金不限，建议用1、5、10、20、50面额筹码。</w:t>
      </w:r>
    </w:p>
    <w:p>
      <w:pPr>
        <w:pStyle w:val="Heading2"/>
      </w:pPr>
      <w:r>
        <w:t>主牌库的组成</w:t>
      </w:r>
    </w:p>
    <w:p>
      <w:r>
        <w:t>主牌全集248张：企划96＋科技41＋企业41＋专项6＋定制64。先取出P01—P04起始企划后，整局可陆续进入主牌库的共有244张。</w:t>
      </w:r>
    </w:p>
    <w:p>
      <w:r>
        <w:t>开局只混204张：非起始企划92＋科技41＋企业41＋专项6＋I代定制24。II—V代的其余40张定制，随供应链世代逐批加入。稳定配件、J项目、O目标及初始配件从不混进主牌。</w:t>
      </w:r>
    </w:p>
    <w:p>
      <w:pPr>
        <w:pStyle w:val="Heading2"/>
      </w:pPr>
      <w:r>
        <w:t>公共区域准备</w:t>
      </w:r>
    </w:p>
    <w:p>
      <w:r>
        <w:t>1. 随机决定起始玩家，顺时针轮流行动。</w:t>
      </w:r>
    </w:p>
    <w:p>
      <w:r>
        <w:t>2. 发布轨固定显示0—14；2人终点8、3人终点11、4人终点14。发布标记置0，没有固定轮数或自动计时。</w:t>
      </w:r>
    </w:p>
    <w:p>
      <w:r>
        <w:t>3. 混洗J01—J12，随机展示4张到产业协作版图。其余J牌移出本局；R牌仍在主牌库。为本局可能提出的6张专项留出公共陈列位置。</w:t>
      </w:r>
    </w:p>
    <w:p>
      <w:r>
        <w:t>4. 混洗204张开局主牌，翻8张到牌市1—8号位。旁边分别留出主牌弃牌堆、定制消耗移出区。R牌也可以正常出现在牌市。</w:t>
      </w:r>
    </w:p>
    <w:p>
      <w:r>
        <w:t>5. 稳定配件先按四类，再按I—V世代分包。各类仅将I代混洗为活动供应堆，每类公开等同于玩家人数的配件，从左旧到右新排列。</w:t>
      </w:r>
    </w:p>
    <w:p>
      <w:r>
        <w:t>6. 世代标记置I。其余稳定与定制按世代收纳，未解锁的牌不抽、不采购、不查看牌序。同编号副本可同时出现在公开供应。</w:t>
      </w:r>
    </w:p>
    <w:p>
      <w:pPr>
        <w:pStyle w:val="Heading2"/>
      </w:pPr>
      <w:r>
        <w:t>玩家准备</w:t>
      </w:r>
    </w:p>
    <w:p>
      <w:r>
        <w:t>每人随机取得1张个人版图、其指定起始企划及4张初始稳定配件。企划加入手牌，配件公开入库。未使用版图对应的起始牌移出本局。</w:t>
      </w:r>
    </w:p>
    <w:p>
      <w:r>
        <w:t>每人现金60、收入5、科技0；开放两个筹备位，第三位关闭。起始没有科技或企业。五张行动卡普通面朝上，按强度1—5依次放调研、研发、组装、合作、营销。</w:t>
      </w:r>
    </w:p>
    <w:p>
      <w:r>
        <w:t>每人从18张终局目标中抽2留1，另一张与未分发目标面朝下移出。再抽6张主牌，至多保留4张，其余公开弃置；加起始企划，开局至多5张手牌。</w:t>
      </w:r>
    </w:p>
    <w:p>
      <w:r>
        <w:t>P01—P04为无厂标的起始试制企划。它们仍有原来的类别与市场，不是第六个厂系，也不能任选一个颜色。任何玩家都可从后续牌流进入任一厂系。</w:t>
      </w:r>
    </w:p>
    <w:p>
      <w:pPr>
        <w:pStyle w:val="Heading2"/>
      </w:pPr>
      <w:r>
        <w:t>公开与秘密</w:t>
      </w:r>
    </w:p>
    <w:p>
      <w:r>
        <w:t>公开信息包括现金、双轨、行动位置与升级面、公司牌、公司类别和厂家积累、成长、公共项目档位、已筹备数量、稳定配件身份与所有权、世代及公开供应。手牌、终局目标、待发布企划、定制、调校选择与定价保密。</w:t>
      </w:r>
    </w:p>
    <w:p>
      <w:r>
        <w:t>稳定卡进入屏后仍公开其身份和所有权，但不公开属于哪台机。厂标不能从卡背、定价牌背或遮挡方式泄露。图鉴可以查设计，但不能查看未解锁包或活动牌堆的实际顺序。</w:t>
      </w:r>
    </w:p>
    <w:p>
      <w:bookmarkStart w:id="3" w:name="ch_3"/>
      <w:pPr>
        <w:pStyle w:val="Heading1"/>
      </w:pPr>
      <w:r>
        <w:t>三 类别标签与厂家标签</w:t>
      </w:r>
      <w:bookmarkEnd w:id="3"/>
    </w:p>
    <w:p>
      <w:pPr>
        <w:pStyle w:val="Heading2"/>
      </w:pPr>
      <w:r>
        <w:t>六种类别，五个厂系</w:t>
      </w:r>
    </w:p>
    <w:p>
      <w:r>
        <w:t>类别为性能、影像、轻薄、续航、折叠、生态；厂家为红厂、黄厂、蓝厂、绿厂、黑厂。两套标签分别计数，不合并为十一种。“类别种类”只在六种中统计；“厂家种类”只在五厂中统计。</w:t>
      </w:r>
    </w:p>
    <w:tbl>
      <w:tblPr>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973"/>
            <w:shd w:fill="F4F5EC"/>
          </w:tcPr>
          <w:p>
            <w:pPr>
              <w:spacing w:before="160" w:after="80"/>
              <w:jc w:val="center"/>
            </w:pPr>
            <w:r>
              <w:drawing>
                <wp:inline xmlns:a="http://schemas.openxmlformats.org/drawingml/2006/main" xmlns:pic="http://schemas.openxmlformats.org/drawingml/2006/picture">
                  <wp:extent cx="396000" cy="396000"/>
                  <wp:docPr id="1" name="Picture 1"/>
                  <wp:cNvGraphicFramePr>
                    <a:graphicFrameLocks noChangeAspect="1"/>
                  </wp:cNvGraphicFramePr>
                  <a:graphic>
                    <a:graphicData uri="http://schemas.openxmlformats.org/drawingml/2006/picture">
                      <pic:pic>
                        <pic:nvPicPr>
                          <pic:cNvPr id="0" name="factory_R.png"/>
                          <pic:cNvPicPr/>
                        </pic:nvPicPr>
                        <pic:blipFill>
                          <a:blip r:embed="rId11"/>
                          <a:stretch>
                            <a:fillRect/>
                          </a:stretch>
                        </pic:blipFill>
                        <pic:spPr>
                          <a:xfrm>
                            <a:off x="0" y="0"/>
                            <a:ext cx="396000" cy="396000"/>
                          </a:xfrm>
                          <a:prstGeom prst="rect"/>
                        </pic:spPr>
                      </pic:pic>
                    </a:graphicData>
                  </a:graphic>
                </wp:inline>
              </w:drawing>
            </w:r>
          </w:p>
          <w:p>
            <w:pPr>
              <w:spacing w:after="140"/>
              <w:jc w:val="center"/>
            </w:pPr>
            <w:r>
              <w:rPr>
                <w:rFonts w:ascii="Noto Sans CJK SC" w:hAnsi="Noto Sans CJK SC" w:eastAsia="Noto Sans CJK SC"/>
                <w:color w:val="244C42"/>
                <w:sz w:val="16"/>
              </w:rPr>
              <w:t>红厂 · 三角</w:t>
            </w:r>
          </w:p>
        </w:tc>
        <w:tc>
          <w:tcPr>
            <w:tcW w:type="dxa" w:w="1973"/>
            <w:shd w:fill="F4F5EC"/>
          </w:tcPr>
          <w:p>
            <w:pPr>
              <w:spacing w:before="160" w:after="80"/>
              <w:jc w:val="center"/>
            </w:pPr>
            <w:r>
              <w:drawing>
                <wp:inline xmlns:a="http://schemas.openxmlformats.org/drawingml/2006/main" xmlns:pic="http://schemas.openxmlformats.org/drawingml/2006/picture">
                  <wp:extent cx="396000" cy="396000"/>
                  <wp:docPr id="2" name="Picture 2"/>
                  <wp:cNvGraphicFramePr>
                    <a:graphicFrameLocks noChangeAspect="1"/>
                  </wp:cNvGraphicFramePr>
                  <a:graphic>
                    <a:graphicData uri="http://schemas.openxmlformats.org/drawingml/2006/picture">
                      <pic:pic>
                        <pic:nvPicPr>
                          <pic:cNvPr id="0" name="factory_Y.png"/>
                          <pic:cNvPicPr/>
                        </pic:nvPicPr>
                        <pic:blipFill>
                          <a:blip r:embed="rId12"/>
                          <a:stretch>
                            <a:fillRect/>
                          </a:stretch>
                        </pic:blipFill>
                        <pic:spPr>
                          <a:xfrm>
                            <a:off x="0" y="0"/>
                            <a:ext cx="396000" cy="396000"/>
                          </a:xfrm>
                          <a:prstGeom prst="rect"/>
                        </pic:spPr>
                      </pic:pic>
                    </a:graphicData>
                  </a:graphic>
                </wp:inline>
              </w:drawing>
            </w:r>
          </w:p>
          <w:p>
            <w:pPr>
              <w:spacing w:after="140"/>
              <w:jc w:val="center"/>
            </w:pPr>
            <w:r>
              <w:rPr>
                <w:rFonts w:ascii="Noto Sans CJK SC" w:hAnsi="Noto Sans CJK SC" w:eastAsia="Noto Sans CJK SC"/>
                <w:color w:val="244C42"/>
                <w:sz w:val="16"/>
              </w:rPr>
              <w:t>黄厂 · 六角</w:t>
            </w:r>
          </w:p>
        </w:tc>
        <w:tc>
          <w:tcPr>
            <w:tcW w:type="dxa" w:w="1973"/>
            <w:shd w:fill="F4F5EC"/>
          </w:tcPr>
          <w:p>
            <w:pPr>
              <w:spacing w:before="160" w:after="80"/>
              <w:jc w:val="center"/>
            </w:pPr>
            <w:r>
              <w:drawing>
                <wp:inline xmlns:a="http://schemas.openxmlformats.org/drawingml/2006/main" xmlns:pic="http://schemas.openxmlformats.org/drawingml/2006/picture">
                  <wp:extent cx="396000" cy="396000"/>
                  <wp:docPr id="3" name="Picture 3"/>
                  <wp:cNvGraphicFramePr>
                    <a:graphicFrameLocks noChangeAspect="1"/>
                  </wp:cNvGraphicFramePr>
                  <a:graphic>
                    <a:graphicData uri="http://schemas.openxmlformats.org/drawingml/2006/picture">
                      <pic:pic>
                        <pic:nvPicPr>
                          <pic:cNvPr id="0" name="factory_B.png"/>
                          <pic:cNvPicPr/>
                        </pic:nvPicPr>
                        <pic:blipFill>
                          <a:blip r:embed="rId13"/>
                          <a:stretch>
                            <a:fillRect/>
                          </a:stretch>
                        </pic:blipFill>
                        <pic:spPr>
                          <a:xfrm>
                            <a:off x="0" y="0"/>
                            <a:ext cx="396000" cy="396000"/>
                          </a:xfrm>
                          <a:prstGeom prst="rect"/>
                        </pic:spPr>
                      </pic:pic>
                    </a:graphicData>
                  </a:graphic>
                </wp:inline>
              </w:drawing>
            </w:r>
          </w:p>
          <w:p>
            <w:pPr>
              <w:spacing w:after="140"/>
              <w:jc w:val="center"/>
            </w:pPr>
            <w:r>
              <w:rPr>
                <w:rFonts w:ascii="Noto Sans CJK SC" w:hAnsi="Noto Sans CJK SC" w:eastAsia="Noto Sans CJK SC"/>
                <w:color w:val="244C42"/>
                <w:sz w:val="16"/>
              </w:rPr>
              <w:t>蓝厂 · 菱形</w:t>
            </w:r>
          </w:p>
        </w:tc>
        <w:tc>
          <w:tcPr>
            <w:tcW w:type="dxa" w:w="1973"/>
            <w:shd w:fill="F4F5EC"/>
          </w:tcPr>
          <w:p>
            <w:pPr>
              <w:spacing w:before="160" w:after="80"/>
              <w:jc w:val="center"/>
            </w:pPr>
            <w:r>
              <w:drawing>
                <wp:inline xmlns:a="http://schemas.openxmlformats.org/drawingml/2006/main" xmlns:pic="http://schemas.openxmlformats.org/drawingml/2006/picture">
                  <wp:extent cx="396000" cy="396000"/>
                  <wp:docPr id="4" name="Picture 4"/>
                  <wp:cNvGraphicFramePr>
                    <a:graphicFrameLocks noChangeAspect="1"/>
                  </wp:cNvGraphicFramePr>
                  <a:graphic>
                    <a:graphicData uri="http://schemas.openxmlformats.org/drawingml/2006/picture">
                      <pic:pic>
                        <pic:nvPicPr>
                          <pic:cNvPr id="0" name="factory_G.png"/>
                          <pic:cNvPicPr/>
                        </pic:nvPicPr>
                        <pic:blipFill>
                          <a:blip r:embed="rId14"/>
                          <a:stretch>
                            <a:fillRect/>
                          </a:stretch>
                        </pic:blipFill>
                        <pic:spPr>
                          <a:xfrm>
                            <a:off x="0" y="0"/>
                            <a:ext cx="396000" cy="396000"/>
                          </a:xfrm>
                          <a:prstGeom prst="rect"/>
                        </pic:spPr>
                      </pic:pic>
                    </a:graphicData>
                  </a:graphic>
                </wp:inline>
              </w:drawing>
            </w:r>
          </w:p>
          <w:p>
            <w:pPr>
              <w:spacing w:after="140"/>
              <w:jc w:val="center"/>
            </w:pPr>
            <w:r>
              <w:rPr>
                <w:rFonts w:ascii="Noto Sans CJK SC" w:hAnsi="Noto Sans CJK SC" w:eastAsia="Noto Sans CJK SC"/>
                <w:color w:val="244C42"/>
                <w:sz w:val="16"/>
              </w:rPr>
              <w:t>绿厂 · 三叶</w:t>
            </w:r>
          </w:p>
        </w:tc>
        <w:tc>
          <w:tcPr>
            <w:tcW w:type="dxa" w:w="1973"/>
            <w:shd w:fill="F4F5EC"/>
          </w:tcPr>
          <w:p>
            <w:pPr>
              <w:spacing w:before="160" w:after="80"/>
              <w:jc w:val="center"/>
            </w:pPr>
            <w:r>
              <w:drawing>
                <wp:inline xmlns:a="http://schemas.openxmlformats.org/drawingml/2006/main" xmlns:pic="http://schemas.openxmlformats.org/drawingml/2006/picture">
                  <wp:extent cx="396000" cy="396000"/>
                  <wp:docPr id="5" name="Picture 5"/>
                  <wp:cNvGraphicFramePr>
                    <a:graphicFrameLocks noChangeAspect="1"/>
                  </wp:cNvGraphicFramePr>
                  <a:graphic>
                    <a:graphicData uri="http://schemas.openxmlformats.org/drawingml/2006/picture">
                      <pic:pic>
                        <pic:nvPicPr>
                          <pic:cNvPr id="0" name="factory_K.png"/>
                          <pic:cNvPicPr/>
                        </pic:nvPicPr>
                        <pic:blipFill>
                          <a:blip r:embed="rId15"/>
                          <a:stretch>
                            <a:fillRect/>
                          </a:stretch>
                        </pic:blipFill>
                        <pic:spPr>
                          <a:xfrm>
                            <a:off x="0" y="0"/>
                            <a:ext cx="396000" cy="396000"/>
                          </a:xfrm>
                          <a:prstGeom prst="rect"/>
                        </pic:spPr>
                      </pic:pic>
                    </a:graphicData>
                  </a:graphic>
                </wp:inline>
              </w:drawing>
            </w:r>
          </w:p>
          <w:p>
            <w:pPr>
              <w:spacing w:after="140"/>
              <w:jc w:val="center"/>
            </w:pPr>
            <w:r>
              <w:rPr>
                <w:rFonts w:ascii="Noto Sans CJK SC" w:hAnsi="Noto Sans CJK SC" w:eastAsia="Noto Sans CJK SC"/>
                <w:color w:val="244C42"/>
                <w:sz w:val="16"/>
              </w:rPr>
              <w:t>黑厂 · 圆环</w:t>
            </w:r>
          </w:p>
        </w:tc>
      </w:tr>
    </w:tbl>
    <w:p/>
    <w:p>
      <w:r>
        <w:t>厂标同时用颜色、不同形状和文字表示。红厂为三角，黄厂为六角，蓝厂为菱形，绿厂为三叶，黑厂为圆环。图形是本游戏的虚构厂系标识，不代表现实品牌，也不赋予玩家阵营。</w:t>
      </w:r>
    </w:p>
    <w:p>
      <w:r>
        <w:t>所有玩家都能积累五厂。某厂可以拥有不同市场、不同类别的产品；同一类别也分布在多个厂系中。没有“选红厂就不能打蓝厂”的规则，没有额外厂家关系轨。</w:t>
      </w:r>
    </w:p>
    <w:p>
      <w:pPr>
        <w:pStyle w:val="Heading2"/>
      </w:pPr>
      <w:r>
        <w:t>哪些牌提供长期积累</w:t>
      </w:r>
    </w:p>
    <w:p>
      <w:r>
        <w:t>公司类别标签：统计已上市企划、已打出科技和企业上的印刷类别图标；相同类别在不同牌上可以累计。</w:t>
      </w:r>
    </w:p>
    <w:p>
      <w:r>
        <w:t>公司厂家标签：统计上述三类公司牌上的印刷厂标。本版每张提供厂标的牌只印1个厂标。未印厂标就是不提供厂标，不是通配。只有图鉴“提供厂标”栏才是产出；需求栏出现的厂标不算提供。</w:t>
      </w:r>
    </w:p>
    <w:p>
      <w:r>
        <w:t>92张非起始企划带厂标，部分科技、企业以及新合作协议也带厂标。稳定、定制、初始配件、项目、目标、行动和定价牌均不提供公司厂标。拥有一颗真实型号芯片也不会自动获得任何厂系归属。</w:t>
      </w:r>
    </w:p>
    <w:p>
      <w:r>
        <w:t>手牌、筹备企划不计长期积累。项目完成只获得明确奖励，R01上写“红厂2／4／6”是门槛，不是三个红厂图标。厂家与类别都不被支付或消耗。</w:t>
      </w:r>
    </w:p>
    <w:p>
      <w:pPr>
        <w:pStyle w:val="Heading2"/>
      </w:pPr>
      <w:r>
        <w:t>厂家条件怎样检查</w:t>
      </w:r>
    </w:p>
    <w:p>
      <w:r>
        <w:t>“需要2个蓝厂厂标”检查蓝厂图标数量；“覆盖3种厂家”检查至少3种不同厂系；“两款不同厂家的新机”只看这两张有效企划自身的厂标。无厂标企划不能凑出一种厂家，也不能满足“不同厂家”。</w:t>
      </w:r>
    </w:p>
    <w:p>
      <w:r>
        <w:t>科技、企业的厂标前置在打出之前检查，本卡不能给自己满足前置。企划的类别与厂家门槛，在发布开始时只检查此前公开公司；本场任何待发布企划都不能补齐门槛。</w:t>
      </w:r>
    </w:p>
    <w:p>
      <w:r>
        <w:t>若一张企划同时列出类别、厂家及科技要求，应全部满足。本版只给少部分中高阶牌增加厂系门槛，入门牌保留无厂系前置入口。厂家优惠以本机企划厂标为准，不检查四件配件是否“同厂”。</w:t>
      </w:r>
    </w:p>
    <w:p>
      <w:r>
        <w:t>例如，已上市红厂企划1张，另有已打出的红厂科技1张，你有2个红厂厂标。可满足T37的平台复用接口前置，但该卡还必须满足个人科技、行动和付款。打出后，T37自身再使红厂积累增加1。</w:t>
      </w:r>
    </w:p>
    <w:p>
      <w:pPr>
        <w:pStyle w:val="Heading2"/>
      </w:pPr>
      <w:r>
        <w:t>本机类别匹配</w:t>
      </w:r>
    </w:p>
    <w:p>
      <w:r>
        <w:t>每个企划印刷类别，只要被本机任意配件类别覆盖，就匹配一次，市场吸引力加2。同一个企划类别最多加一次。本版企划最多两个类别，因此通常至多获得4匹配吸引力。</w:t>
      </w:r>
    </w:p>
    <w:p>
      <w:r>
        <w:t>科技或配件明确使某个类别“视为匹配”时，也只满足企划已有的该类别；不凭空增加印刷标签。公司类别与厂家积累都不因此增加。科技、企业自身类别不会自动替配件完成匹配。</w:t>
      </w:r>
    </w:p>
    <w:p>
      <w:r>
        <w:t>厂家标签本身不提供匹配吸引力。四市场名称也不提供任何类别或厂标。蓝厂影像机不会因为使用蓝色筹码就多得吸引力。</w:t>
      </w:r>
    </w:p>
    <w:p>
      <w:r>
        <w:t>所有有效新机同时上市后，才检查明确属于“发布效果”的公司积累条件；这些效果可以计入本场已成功上市的新厂标和新类别。它们与发布前的入场门槛是两个时点。</w:t>
      </w:r>
    </w:p>
    <w:p>
      <w:bookmarkStart w:id="4" w:name="ch_4"/>
      <w:pPr>
        <w:pStyle w:val="Heading1"/>
      </w:pPr>
      <w:r>
        <w:t>四 玩家回合与五种行动</w:t>
      </w:r>
      <w:bookmarkEnd w:id="4"/>
    </w:p>
    <w:p>
      <w:pPr>
        <w:pStyle w:val="Heading2"/>
      </w:pPr>
      <w:r>
        <w:t>回合顺序</w:t>
      </w:r>
    </w:p>
    <w:p>
      <w:r>
        <w:t>选择1张行动卡，用所在位置确定强度S，按当前卡面执行。随后将该卡移回1，其原位置左侧的行动卡顺次右移一格。行动位置仍为1—5，不因经济数值扩大而变成1—10。</w:t>
      </w:r>
    </w:p>
    <w:p>
      <w:r>
        <w:t>行动全部任务完成后，手牌弃至6张，集中处理发布轨推进；到终点则立刻共同发布。随后所有玩家领取新成长、处理升级，统一维护供应链；所有玩家再将新增手牌弃至6张，检查双轨是否相遇或越过。没有额外响应回合。</w:t>
      </w:r>
    </w:p>
    <w:p>
      <w:pPr>
        <w:pStyle w:val="Heading2"/>
      </w:pPr>
      <w:r>
        <w:t>调研：取牌、抢购和预热</w:t>
      </w:r>
    </w:p>
    <w:p>
      <w:r>
        <w:t>普通调研在S为1—5时，分别拥有2／2／3／3／4个基础额度。每个额度可以从主牌堆顶盲抽1张，也可选牌市中当前序号不超过S的一张。公开牌被取走后，右侧立即左移，主牌堆补最右，再选择下一张。</w:t>
      </w:r>
    </w:p>
    <w:p>
      <w:r>
        <w:t>每个基础额度也可改为采购1张当前公开稳定配件，通常每次调研最多1张。采购不另付现金、不查个人科技、不补抽；取得后公开入库，制造费在每次发布时支付。牌市位置限制不限制四行供应位置。</w:t>
      </w:r>
    </w:p>
    <w:p>
      <w:r>
        <w:t>还可放弃1个基础额度推进发布1格，每次最多一次。取主牌、采购和预热可以同次组合，分别消耗额度。R专项与其他主牌一样取得，不能从牌市直接免费提出。</w:t>
      </w:r>
    </w:p>
    <w:p>
      <w:r>
        <w:t>升级调研基础额度不变，可选全部8个牌位，并额外盲抽1张主牌。赠送盲抽不能改为采购或预热。B21可在明确条件下使采购上限变2；B34可扩大普通牌市范围并在调研开始换一张陈列卡，均不增加基础额度。</w:t>
      </w:r>
    </w:p>
    <w:p>
      <w:r>
        <w:t>主牌库空时混洗主牌弃牌堆；已消耗移出卡、公司牌、已公开项目和未解锁包不洗回。两堆都空则只取得实际有的牌。稳定卡不占手牌，不能当作主牌弃置。</w:t>
      </w:r>
    </w:p>
    <w:p>
      <w:pPr>
        <w:pStyle w:val="Heading2"/>
      </w:pPr>
      <w:r>
        <w:t>研发：打科技或基础研究</w:t>
      </w:r>
    </w:p>
    <w:p>
      <w:r>
        <w:t>普通研发二选一：打出1张科技卡，或在S至少4时付24现金进行基础研究，增加1科技。基础研究每次占整个行动、每次至多一次，但整局可以重复，不增加标签，也不算打出科技卡。</w:t>
      </w:r>
    </w:p>
    <w:p>
      <w:r>
        <w:t>打科技前，检查个人科技、调整后行动要求、卡面研发基础和厂家门槛，支付费用后把牌公开加入公司，获得印刷0—3科技并启用能力。本卡不能满足自己的科技、厂标或“此前科技卡数量”前置。</w:t>
      </w:r>
    </w:p>
    <w:p>
      <w:r>
        <w:t>本版有13张应用技术，印刷科技为0；28张成果技术印刷科技为1—3。分类不决定统一收益，以每张卡面为准。低阶成果未必要求既有科技卡，部分前沿成果要求此前1张或2张；应用与成果都计入科技卡数量。</w:t>
      </w:r>
    </w:p>
    <w:p>
      <w:r>
        <w:t>升级研发打牌费用减6，最低3现金；或者S至少3时付18现金基础研究，增加1科技。两种用途仍不能混用。基础研究不享受升级打牌减6、A5、企业或厂系合作等“科技卡费用减免”。</w:t>
      </w:r>
    </w:p>
    <w:p>
      <w:pPr>
        <w:pStyle w:val="Heading2"/>
      </w:pPr>
      <w:r>
        <w:t>组装：新增与返工</w:t>
      </w:r>
    </w:p>
    <w:p>
      <w:r>
        <w:t>普通组装执行1次任务：新增一台完整机型，或返工一台已筹备机型。调整后组装要求不得超过S；新增放最左空筹备位。科技、类别/厂家门槛、验收和现金在发布时检查，可以提前筹备；四类齐全、形态配套与实体不重复则组装结束就必须满足。</w:t>
      </w:r>
    </w:p>
    <w:p>
      <w:r>
        <w:t>升级组装至多3次任务，调整后要求总和不得超过S。同一机型本次至多处理一次，新增不能超过空筹备位。X21/X28或T37提供的任务要求减免与B03可按条件叠加，最低1；不额外赠送任务。</w:t>
      </w:r>
    </w:p>
    <w:p>
      <w:r>
        <w:t>组装不付款。存在合法调校来源时在本次组装或返工中放调校标记，之后不能免费改。T31只在本次确实新增之前提供一次受限稳定部件替换，详见第六节，不是独立免费返工。</w:t>
      </w:r>
    </w:p>
    <w:p>
      <w:pPr>
        <w:pStyle w:val="Heading2"/>
      </w:pPr>
      <w:r>
        <w:t>合作：企业与项目</w:t>
      </w:r>
    </w:p>
    <w:p>
      <w:r>
        <w:t>普通合作打出1张企业卡，先满足个人科技、调整后行动要求、厂家前置并支付费用；或者在S至少4时完成1个产业突破。打企业与做项目二选一。</w:t>
      </w:r>
    </w:p>
    <w:p>
      <w:r>
        <w:t>升级合作可依次打出至多2张企业卡，两张调整后行动要求之和不得超过S；或S至少3时完成1个项目。第一张能力可以影响第二张，但每张都要实际满足前置和付费。两种用途不能混用。</w:t>
      </w:r>
    </w:p>
    <w:p>
      <w:r>
        <w:t>完成项目可选已经公开的J或R；也可从手牌提出1张R，额外付6现金并立即占一个满足条件的档位。提出与完成是同一个项目任务，不是免费打企业、不是额外一次突破。细节见第十一节。</w:t>
      </w:r>
    </w:p>
    <w:p>
      <w:pPr>
        <w:pStyle w:val="Heading2"/>
      </w:pPr>
      <w:r>
        <w:t>营销：预热或融资</w:t>
      </w:r>
    </w:p>
    <w:p>
      <w:r>
        <w:t>每次选择一种，不产生债务。现金直接查下面的强度表：</w:t>
      </w:r>
    </w:p>
    <w:tbl>
      <w:tblPr>
        <w:tblW w:type="auto" w:w="0"/>
        <w:jc w:val="center"/>
        <w:tblLayout w:type="fixed"/>
        <w:tblLook w:firstColumn="1" w:firstRow="1" w:lastColumn="0" w:lastRow="0" w:noHBand="0" w:noVBand="1" w:val="04A0"/>
        <w:tblBorders>
          <w:top w:val="single" w:sz="4" w:color="CFDAD2"/>
          <w:bottom w:val="single" w:sz="4" w:color="CFDAD2"/>
          <w:left w:val="single" w:sz="4" w:color="CFDAD2"/>
          <w:right w:val="single" w:sz="4" w:color="CFDAD2"/>
          <w:insideH w:val="single" w:sz="4" w:color="CFDAD2"/>
          <w:insideV w:val="single" w:sz="4" w:color="CFDAD2"/>
        </w:tblBorders>
      </w:tblPr>
      <w:tblGrid>
        <w:gridCol w:w="2494"/>
        <w:gridCol w:w="1474"/>
        <w:gridCol w:w="1474"/>
        <w:gridCol w:w="1474"/>
        <w:gridCol w:w="1474"/>
        <w:gridCol w:w="1474"/>
      </w:tblGrid>
      <w:tr>
        <w:trPr>
          <w:cantSplit/>
          <w:tblHeader/>
        </w:trPr>
        <w:tc>
          <w:tcPr>
            <w:tcW w:type="dxa" w:w="2494"/>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选项</w:t>
            </w:r>
          </w:p>
        </w:tc>
        <w:tc>
          <w:tcPr>
            <w:tcW w:type="dxa" w:w="1474"/>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S1</w:t>
            </w:r>
          </w:p>
        </w:tc>
        <w:tc>
          <w:tcPr>
            <w:tcW w:type="dxa" w:w="1474"/>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S2</w:t>
            </w:r>
          </w:p>
        </w:tc>
        <w:tc>
          <w:tcPr>
            <w:tcW w:type="dxa" w:w="1474"/>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S3</w:t>
            </w:r>
          </w:p>
        </w:tc>
        <w:tc>
          <w:tcPr>
            <w:tcW w:type="dxa" w:w="1474"/>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S4</w:t>
            </w:r>
          </w:p>
        </w:tc>
        <w:tc>
          <w:tcPr>
            <w:tcW w:type="dxa" w:w="1474"/>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S5</w:t>
            </w:r>
          </w:p>
        </w:tc>
      </w:tr>
      <w:tr>
        <w:trPr>
          <w:cantSplit/>
        </w:trPr>
        <w:tc>
          <w:tcPr>
            <w:tcW w:type="dxa" w:w="249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普通预热</w:t>
            </w:r>
          </w:p>
        </w:tc>
        <w:tc>
          <w:tcPr>
            <w:tcW w:type="dxa" w:w="147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12</w:t>
            </w:r>
          </w:p>
        </w:tc>
        <w:tc>
          <w:tcPr>
            <w:tcW w:type="dxa" w:w="147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15</w:t>
            </w:r>
          </w:p>
        </w:tc>
        <w:tc>
          <w:tcPr>
            <w:tcW w:type="dxa" w:w="147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18</w:t>
            </w:r>
          </w:p>
        </w:tc>
        <w:tc>
          <w:tcPr>
            <w:tcW w:type="dxa" w:w="147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21</w:t>
            </w:r>
          </w:p>
        </w:tc>
        <w:tc>
          <w:tcPr>
            <w:tcW w:type="dxa" w:w="147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24</w:t>
            </w:r>
          </w:p>
        </w:tc>
      </w:tr>
      <w:tr>
        <w:trPr>
          <w:cantSplit/>
        </w:trPr>
        <w:tc>
          <w:tcPr>
            <w:tcW w:type="dxa" w:w="249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升级预热</w:t>
            </w:r>
          </w:p>
        </w:tc>
        <w:tc>
          <w:tcPr>
            <w:tcW w:type="dxa" w:w="147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18</w:t>
            </w:r>
          </w:p>
        </w:tc>
        <w:tc>
          <w:tcPr>
            <w:tcW w:type="dxa" w:w="147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21</w:t>
            </w:r>
          </w:p>
        </w:tc>
        <w:tc>
          <w:tcPr>
            <w:tcW w:type="dxa" w:w="147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24</w:t>
            </w:r>
          </w:p>
        </w:tc>
        <w:tc>
          <w:tcPr>
            <w:tcW w:type="dxa" w:w="147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27</w:t>
            </w:r>
          </w:p>
        </w:tc>
        <w:tc>
          <w:tcPr>
            <w:tcW w:type="dxa" w:w="147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30</w:t>
            </w:r>
          </w:p>
        </w:tc>
      </w:tr>
      <w:tr>
        <w:trPr>
          <w:cantSplit/>
        </w:trPr>
        <w:tc>
          <w:tcPr>
            <w:tcW w:type="dxa" w:w="249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普通融资</w:t>
            </w:r>
          </w:p>
        </w:tc>
        <w:tc>
          <w:tcPr>
            <w:tcW w:type="dxa" w:w="147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18</w:t>
            </w:r>
          </w:p>
        </w:tc>
        <w:tc>
          <w:tcPr>
            <w:tcW w:type="dxa" w:w="147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21</w:t>
            </w:r>
          </w:p>
        </w:tc>
        <w:tc>
          <w:tcPr>
            <w:tcW w:type="dxa" w:w="147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24</w:t>
            </w:r>
          </w:p>
        </w:tc>
        <w:tc>
          <w:tcPr>
            <w:tcW w:type="dxa" w:w="147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27</w:t>
            </w:r>
          </w:p>
        </w:tc>
        <w:tc>
          <w:tcPr>
            <w:tcW w:type="dxa" w:w="147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30</w:t>
            </w:r>
          </w:p>
        </w:tc>
      </w:tr>
      <w:tr>
        <w:trPr>
          <w:cantSplit/>
        </w:trPr>
        <w:tc>
          <w:tcPr>
            <w:tcW w:type="dxa" w:w="249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升级融资</w:t>
            </w:r>
          </w:p>
        </w:tc>
        <w:tc>
          <w:tcPr>
            <w:tcW w:type="dxa" w:w="147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24</w:t>
            </w:r>
          </w:p>
        </w:tc>
        <w:tc>
          <w:tcPr>
            <w:tcW w:type="dxa" w:w="147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27</w:t>
            </w:r>
          </w:p>
        </w:tc>
        <w:tc>
          <w:tcPr>
            <w:tcW w:type="dxa" w:w="147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30</w:t>
            </w:r>
          </w:p>
        </w:tc>
        <w:tc>
          <w:tcPr>
            <w:tcW w:type="dxa" w:w="147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33</w:t>
            </w:r>
          </w:p>
        </w:tc>
        <w:tc>
          <w:tcPr>
            <w:tcW w:type="dxa" w:w="147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36</w:t>
            </w:r>
          </w:p>
        </w:tc>
      </w:tr>
    </w:tbl>
    <w:p>
      <w:pPr>
        <w:spacing w:after="40" w:line="40" w:lineRule="exact" w:before="0"/>
      </w:pPr>
    </w:p>
    <w:p>
      <w:r>
        <w:t>普通预热另外自选推进发布1至S格；升级预热推进1至S＋1格。融资不推进发布。B16两者都适用，B29只适用预热；整备不触发这些能力。</w:t>
      </w:r>
    </w:p>
    <w:p>
      <w:pPr>
        <w:pStyle w:val="Heading2"/>
      </w:pPr>
      <w:r>
        <w:t>整备与最低值</w:t>
      </w:r>
    </w:p>
    <w:p>
      <w:r>
        <w:t>任意行动都可改为整备：放弃原行动全部效果，只获得9现金，行动卡照常移回1，不推进发布，也不触发原行动能力。</w:t>
      </w:r>
    </w:p>
    <w:p>
      <w:r>
        <w:t>行动要求可以按明确来源相减，最低1；科技、企业费用及整机费用各自最低支付3现金。不同适用减免相加后，再统一截断最低值。基础研究18/24和专项申报6为独立固定费用，不能套用打牌或制造费减免。</w:t>
      </w:r>
    </w:p>
    <w:p>
      <w:bookmarkStart w:id="5" w:name="ch_5"/>
      <w:pPr>
        <w:pStyle w:val="Heading1"/>
      </w:pPr>
      <w:r>
        <w:t>五 分代供应链</w:t>
      </w:r>
      <w:bookmarkEnd w:id="5"/>
    </w:p>
    <w:p>
      <w:pPr>
        <w:pStyle w:val="Heading2"/>
      </w:pPr>
      <w:r>
        <w:t>全桌科技推动世代</w:t>
      </w:r>
    </w:p>
    <w:tbl>
      <w:tblPr>
        <w:tblW w:type="auto" w:w="0"/>
        <w:jc w:val="center"/>
        <w:tblLayout w:type="fixed"/>
        <w:tblLook w:firstColumn="1" w:firstRow="1" w:lastColumn="0" w:lastRow="0" w:noHBand="0" w:noVBand="1" w:val="04A0"/>
        <w:tblBorders>
          <w:top w:val="single" w:sz="4" w:color="CFDAD2"/>
          <w:bottom w:val="single" w:sz="4" w:color="CFDAD2"/>
          <w:left w:val="single" w:sz="4" w:color="CFDAD2"/>
          <w:right w:val="single" w:sz="4" w:color="CFDAD2"/>
          <w:insideH w:val="single" w:sz="4" w:color="CFDAD2"/>
          <w:insideV w:val="single" w:sz="4" w:color="CFDAD2"/>
        </w:tblBorders>
      </w:tblPr>
      <w:tblGrid>
        <w:gridCol w:w="2154"/>
        <w:gridCol w:w="3288"/>
        <w:gridCol w:w="4422"/>
      </w:tblGrid>
      <w:tr>
        <w:trPr>
          <w:cantSplit/>
          <w:tblHeader/>
        </w:trPr>
        <w:tc>
          <w:tcPr>
            <w:tcW w:type="dxa" w:w="2154"/>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世代</w:t>
            </w:r>
          </w:p>
        </w:tc>
        <w:tc>
          <w:tcPr>
            <w:tcW w:type="dxa" w:w="3288"/>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首次解锁条件</w:t>
            </w:r>
          </w:p>
        </w:tc>
        <w:tc>
          <w:tcPr>
            <w:tcW w:type="dxa" w:w="4422"/>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供货方向</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I 成熟平台</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开局</w:t>
            </w:r>
          </w:p>
        </w:tc>
        <w:tc>
          <w:tcPr>
            <w:tcW w:type="dxa" w:w="4422"/>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成熟计算、基础显示与常规影像</w:t>
            </w:r>
          </w:p>
        </w:tc>
      </w:tr>
      <w:tr>
        <w:trPr>
          <w:cantSplit/>
        </w:trPr>
        <w:tc>
          <w:tcPr>
            <w:tcW w:type="dxa" w:w="215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II 工艺升级</w:t>
            </w:r>
          </w:p>
        </w:tc>
        <w:tc>
          <w:tcPr>
            <w:tcW w:type="dxa" w:w="3288"/>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任意玩家科技到2</w:t>
            </w:r>
          </w:p>
        </w:tc>
        <w:tc>
          <w:tcPr>
            <w:tcW w:type="dxa" w:w="4422"/>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能效、供电与主流部件</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III 集成平台</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任意玩家科技到4</w:t>
            </w:r>
          </w:p>
        </w:tc>
        <w:tc>
          <w:tcPr>
            <w:tcW w:type="dxa" w:w="4422"/>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紧凑结构、初阶折叠与整合方案</w:t>
            </w:r>
          </w:p>
        </w:tc>
      </w:tr>
      <w:tr>
        <w:trPr>
          <w:cantSplit/>
        </w:trPr>
        <w:tc>
          <w:tcPr>
            <w:tcW w:type="dxa" w:w="215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IV 旗舰深化</w:t>
            </w:r>
          </w:p>
        </w:tc>
        <w:tc>
          <w:tcPr>
            <w:tcW w:type="dxa" w:w="3288"/>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任意玩家科技到6</w:t>
            </w:r>
          </w:p>
        </w:tc>
        <w:tc>
          <w:tcPr>
            <w:tcW w:type="dxa" w:w="4422"/>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高端影像、显示与旗舰平台</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V 新架构平台</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任意玩家科技到8</w:t>
            </w:r>
          </w:p>
        </w:tc>
        <w:tc>
          <w:tcPr>
            <w:tcW w:type="dxa" w:w="4422"/>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新架构旗舰与新代低成本平台并存</w:t>
            </w:r>
          </w:p>
        </w:tc>
      </w:tr>
    </w:tbl>
    <w:p>
      <w:pPr>
        <w:spacing w:after="40" w:line="40" w:lineRule="exact" w:before="0"/>
      </w:pPr>
    </w:p>
    <w:p>
      <w:r>
        <w:t>世代全桌共用，一旦解锁永久开放。科技来自研发、基础研究、企划、J/R项目或成果引擎都可以推动。触发换代不另给科技、收入、现金、发布推进或优先采购权。</w:t>
      </w:r>
    </w:p>
    <w:p>
      <w:r>
        <w:t>世代只决定什么时候供货；个人科技只决定发布时能否使用。任何能力都不能提前取出未开放包。低科技玩家可以采购已公开的高门槛部件等待以后使用，或继续用已获得的成熟部件。</w:t>
      </w:r>
    </w:p>
    <w:p>
      <w:pPr>
        <w:pStyle w:val="Heading2"/>
      </w:pPr>
      <w:r>
        <w:t>采购与断货</w:t>
      </w:r>
    </w:p>
    <w:p>
      <w:r>
        <w:t>买走后不立即补货，其余牌可左移保持先后顺序。一行买空就断货，直到下次维护；不得临时盲抽供应堆、复制卡、借用他人配件或拿未来世代。初始四件供应始终归本人，换代不收回旧卡。</w:t>
      </w:r>
    </w:p>
    <w:p>
      <w:r>
        <w:t>B21仅在S至少3的调研中，先以基础额度买稳定屏幕或机身，再以另一个基础额度买不同类别，才放宽为本次最多2张。B34换陈列只在调研开始，供应堆为空不能换，撤下卡在新牌抽出后回堆底。</w:t>
      </w:r>
    </w:p>
    <w:p>
      <w:pPr>
        <w:pStyle w:val="Heading2"/>
      </w:pPr>
      <w:r>
        <w:t>回合末只维护一次</w:t>
      </w:r>
    </w:p>
    <w:p>
      <w:r>
        <w:t>发布、成长与升级都完成后，如果本回合有普通发布，或新世代达标，才维护供应链。二者同回合发生合并一次。最终发布之后不维护；最后一轮的额外行动仍可以解锁世代。</w:t>
      </w:r>
    </w:p>
    <w:p>
      <w:r>
        <w:t>本场一直使用发布开始时的世代判定成本和能力。发布奖励刚刚触发III代，不会追溯给C03减费，也不能把新翻出的配件补进本场机型。</w:t>
      </w:r>
    </w:p>
    <w:p>
      <w:r>
        <w:t>没有换代的普通补货：对四行分别处理。供应堆非空且公开行有卡时，暂时撤最左1张；剩下左移，从堆顶补满到人数，最后才将暂撤卡放回本供应堆底。若供应堆本来已空，不撤现有牌；来源不足只补实际有的数量。</w:t>
      </w:r>
    </w:p>
    <w:p>
      <w:r>
        <w:t>全桌空发布没有回款，但仍执行普通补货。不能随时免费刷新，必须先有足够发布推进。</w:t>
      </w:r>
    </w:p>
    <w:p>
      <w:pPr>
        <w:pStyle w:val="Heading2"/>
      </w:pPr>
      <w:r>
        <w:t>换代注入</w:t>
      </w:r>
    </w:p>
    <w:p>
      <w:r>
        <w:t>1. 按全桌最高科技确定本次应开放的最高世代。跨越多个阈值时，解锁所有跨过的包，但只注入最新世代每类1张，不逐代连刷。</w:t>
      </w:r>
    </w:p>
    <w:p>
      <w:r>
        <w:t>2. 把新开放的定制加入剩余主牌库并混洗；不混牌市、手牌、弃牌堆和消耗区。R项目不是世代包，始终按普通主牌处理。</w:t>
      </w:r>
    </w:p>
    <w:p>
      <w:r>
        <w:t>3. 各类新稳定批次分别混洗，再由旧到新依次压到对应供应堆顶；最新在顶，原活动堆不重新洗。</w:t>
      </w:r>
    </w:p>
    <w:p>
      <w:r>
        <w:t>4. 每行从最新批次翻1张。行未满就放最右；行已满则暂撤最左，再放新牌。只有换代、没有普通发布时，不补其他空位。</w:t>
      </w:r>
    </w:p>
    <w:p>
      <w:r>
        <w:t>5. 本回合也普通发布时，注入已经代替本行常规撤旧卡，不再额外淘汰；继续补满空位，最后才把暂撤卡放堆底。下一位玩家正常行动，可以先采购新供应。</w:t>
      </w:r>
    </w:p>
    <w:p>
      <w:r>
        <w:t>四类始终只各有一个活动供应堆，未解锁用袋或分隔卡收纳，不必在桌上摊二十堆。具体分包见第十六节，原有配件世代和份数未改。</w:t>
      </w:r>
    </w:p>
    <w:p>
      <w:bookmarkStart w:id="6" w:name="ch_6"/>
      <w:pPr>
        <w:pStyle w:val="Heading1"/>
      </w:pPr>
      <w:r>
        <w:t>六 配件与秘密筹备</w:t>
      </w:r>
      <w:bookmarkEnd w:id="6"/>
    </w:p>
    <w:p>
      <w:pPr>
        <w:pStyle w:val="Heading2"/>
      </w:pPr>
      <w:r>
        <w:t>稳定与定制的生命周期</w:t>
      </w:r>
    </w:p>
    <w:p>
      <w:r>
        <w:t>每张稳定实体卡一场只能用于一台机，放进筹备后不能再借给另一台。同编号两个副本是独立实体，必须实际拿到两张才能分别供给两台。库中和筹备中的稳定卡都计入本人拥有数量，除非目标明确排除初始卡。</w:t>
      </w:r>
    </w:p>
    <w:p>
      <w:r>
        <w:t>发布后稳定卡归库，成功失败均如此；下一场可再用，每次仍支付制造费。稳定卡不是手牌，没有出售、弃置换钱或玩家交易规则。</w:t>
      </w:r>
    </w:p>
    <w:p>
      <w:r>
        <w:t>定制卡包含1—4类部件。整张所有部件用于同一台，不能拆给不同手机、舍弃其中一项，或与另一张卡重叠覆盖同类。四张单件、互补双件、三件加单件、整机方案都合法，但每台恰好四类。</w:t>
      </w:r>
    </w:p>
    <w:p>
      <w:r>
        <w:t>每项制造费、功耗、科技门槛分别计算，多项不是只付一次低价。用于本场的定制，发布后全部移出游戏，失败也消耗。未发布前正常返工取回则不消耗；从手牌弃掉的定制进入普通弃牌堆，可以以后洗回或被P83回收。</w:t>
      </w:r>
    </w:p>
    <w:p>
      <w:pPr>
        <w:pStyle w:val="Heading2"/>
      </w:pPr>
      <w:r>
        <w:t>返工、结构与调校</w:t>
      </w:r>
    </w:p>
    <w:p>
      <w:r>
        <w:t>返工可以更换任意配件，结束时仍要完整；不换企划、市场或筹备位。撤下的稳定回库、定制回手。升级组装释放的部件可供本次后续另一机型使用。除T31外没有免费换配件、移动筹备位或取消机型。</w:t>
      </w:r>
    </w:p>
    <w:p>
      <w:r>
        <w:t>折叠屏和折叠机身必须配套，来源可稳定或定制。带折叠类别的企划必须使用该组合；其他企划可自愿采用，但不会因此新增企划类别或厂标。芯片、影像的“通用结构”不阻止装入折叠机。</w:t>
      </w:r>
    </w:p>
    <w:p>
      <w:r>
        <w:t>只有本机配件或已打出的科技明确提供调校时，才可在组装或返工中选择。每台最多一个完整调校方案，不能只取加分而不承担功耗/吸引力代价，不能叠用配件调校和T19。</w:t>
      </w:r>
    </w:p>
    <w:p>
      <w:r>
        <w:t>每个筹备位配一枚同编号标记。选择配件调校，把标记放实际来源配件；选T19节能，放对应筹备位的T19格。没有标记即默认，不使用纸笔。标记放到不提供调校的卡上是非法配置；揭晓后不能补选来源。只有正常返工可以改或取消调校，发布后收回。</w:t>
      </w:r>
    </w:p>
    <w:p>
      <w:pPr>
        <w:pStyle w:val="Heading2"/>
      </w:pPr>
      <w:r>
        <w:t>局部能力与行动能力</w:t>
      </w:r>
    </w:p>
    <w:p>
      <w:r>
        <w:t>配件能力只作用于装有该实体卡的本机，不是永久公司能力。视为匹配不改印刷标签。X21/X28按最终拟装入的完整配置降低本次任务要求，不能用即将撤去的卡保留优惠。T37要求本机企划属于红厂，与配件厂家无关。</w:t>
      </w:r>
    </w:p>
    <w:p>
      <w:r>
        <w:t>T31每次组装首次新增之前，可替换一台本次尚未处理的已有机型的1张稳定卡，替入库中未占用同类卡。需保持形态和已选调校来源合法，不换企划、定制或模式；不占任务。被替换机本次不能再返工，而且本次必须实际新增，不能用T31单独无限返工。</w:t>
      </w:r>
    </w:p>
    <w:p>
      <w:bookmarkStart w:id="7" w:name="ch_7"/>
      <w:pPr>
        <w:pStyle w:val="Heading1"/>
      </w:pPr>
      <w:r>
        <w:t>七 发布前如何计算手机</w:t>
      </w:r>
      <w:bookmarkEnd w:id="7"/>
    </w:p>
    <w:p>
      <w:pPr>
        <w:pStyle w:val="Heading2"/>
      </w:pPr>
      <w:r>
        <w:t>入场门槛先冻结</w:t>
      </w:r>
    </w:p>
    <w:p>
      <w:r>
        <w:t>以发布开始时的个人科技、此前公开公司类别和厂标、已打出科技企业、已领取成长及供应世代检查。所有本场待发布企划不计入入场门槛，不能让两款新机互相救场。</w:t>
      </w:r>
    </w:p>
    <w:p>
      <w:r>
        <w:t>个人科技必须达到企划与每一项配件的有效科技门槛。C06只将本机影像门槛降低1、最低0；不影响企划或其他部件。类别、厂标、科技、平台兼容是不同检查，某项减免不会自动跳过另一项。</w:t>
      </w:r>
    </w:p>
    <w:p>
      <w:pPr>
        <w:pStyle w:val="Heading2"/>
      </w:pPr>
      <w:r>
        <w:t>功耗和供电</w:t>
      </w:r>
    </w:p>
    <w:p>
      <w:r>
        <w:t>先分别计算芯片、屏幕、影像的有效功耗：印刷功耗加选定调校加值，再减适用的科技、配件及调校减值，每项最低0。三项相加为有效总功耗。</w:t>
      </w:r>
    </w:p>
    <w:p>
      <w:r>
        <w:t>机身印刷供电加适用能力得到有效供电；有效供电减有效总功耗为供电余量，至少0才可通过。T40只在绿厂折叠机满足条件时提供额外供电。使用“印刷”作为条件的能力始终读取原卡，不因其他修正循环改变条件。</w:t>
      </w:r>
    </w:p>
    <w:p>
      <w:r>
        <w:t>没有“关闭持续减免来凑恰好相等”的自由选择；满足条件的持续效果必须应用。不同来源可相加，已选调校完整结算。只有牌面明确“可”才可放弃。</w:t>
      </w:r>
    </w:p>
    <w:p>
      <w:pPr>
        <w:pStyle w:val="Heading2"/>
      </w:pPr>
      <w:r>
        <w:t>验收与费用</w:t>
      </w:r>
    </w:p>
    <w:p>
      <w:r>
        <w:t>四项印刷吸引力合计必须达到企划有效验收值。验收减免来自科技与配件，合计最多减4，最低为0。类别匹配、定价、调校和市场吸引力奖励不帮助通过验收。</w:t>
      </w:r>
    </w:p>
    <w:p>
      <w:r>
        <w:t>整机费用为四项制造费合计加企划开发费，再减适用企业、配件、厂系协议和已领取成长，最低3现金。稳定与定制都付款。每条整机减免每台一次；同一厂系合作的制造减免与科技打牌减免分别用于对应步骤，不重复用于同一费用。</w:t>
      </w:r>
    </w:p>
    <w:p>
      <w:pPr>
        <w:pStyle w:val="Heading2"/>
      </w:pPr>
      <w:r>
        <w:t>平台兼容与替代方案</w:t>
      </w:r>
    </w:p>
    <w:p>
      <w:r>
        <w:t>I05、I09、X12要求芯片印刷吸引力至少6，I06要求至少8；各自也允许芯片印刷类别为影像，或已打出T26。三条任选满足一条即可。</w:t>
      </w:r>
    </w:p>
    <w:p>
      <w:r>
        <w:t>T38为黄厂企划机型额外提供平台兼容视为满足，不把其他厂也变为黄厂，不降低科技门槛或功耗。C06自身的影像类别通常可满足类别替代路线，但其降科技门槛不等于跳过其余检查。</w:t>
      </w:r>
    </w:p>
    <w:p>
      <w:pPr>
        <w:pStyle w:val="Heading2"/>
      </w:pPr>
      <w:r>
        <w:t>市场吸引力后确定</w:t>
      </w:r>
    </w:p>
    <w:p>
      <w:r>
        <w:t>所有有效企划同时上市，再统一检查用于吸引力的公司条件。市场吸引力为四项印刷吸引力合计，加每个匹配类别2点，加适用企划、科技、配件、调校和定价修正，最终最低0。</w:t>
      </w:r>
    </w:p>
    <w:p>
      <w:r>
        <w:t>原始吸引力只指四项印刷值。匹配数不超过企划类别数；厂标不自动匹配加分。依赖供电余量的效果读已算好的供电与功耗，不能用后来得到的科技重算。</w:t>
      </w:r>
    </w:p>
    <w:p>
      <w:r>
        <w:t>先确定合法性、费用和有效技术值，再确定公司条件、吸引力、代表机与排名，最后冻结全部奖励资格。这样本场给科技的企划不会反过来救活本场别的手机。</w:t>
      </w:r>
    </w:p>
    <w:p>
      <w:bookmarkStart w:id="8" w:name="ch_8"/>
      <w:pPr>
        <w:pStyle w:val="Heading1"/>
      </w:pPr>
      <w:r>
        <w:t>八 实体秘密定价与市场收益</w:t>
      </w:r>
      <w:bookmarkEnd w:id="8"/>
    </w:p>
    <w:p>
      <w:pPr>
        <w:pStyle w:val="Heading2"/>
      </w:pPr>
      <w:r>
        <w:t>三套定价牌</w:t>
      </w:r>
    </w:p>
    <w:p>
      <w:r>
        <w:t>每人筹备位1、2、3各一套走量、标准、溢价，共9张。背面只印筹备位编号，同一套三张背面相同；正面直接印吸引力修正和收益表。它们不占手牌、不混牌库、不消耗。</w:t>
      </w:r>
    </w:p>
    <w:p>
      <w:r>
        <w:t>每次发布开始、任何人翻开手机前，为每台已筹备机从对应套牌选1张，在屏后扣下。未选牌留屏后。所有人锁定后，手机、调校和定价一起揭晓。允许三台全用同一种价格。</w:t>
      </w:r>
    </w:p>
    <w:p>
      <w:r>
        <w:t>锁定后不可改，即使别人未锁定也不能撤回。漏放、多放或编号不符按标准价处理，不能看过别人配置后补选。空筹备位不放牌。这个同时选择不是额外行动，不能借机改配件、调校、市场，或进行研发融资。</w:t>
      </w:r>
    </w:p>
    <w:p>
      <w:pPr>
        <w:pStyle w:val="Heading2"/>
      </w:pPr>
      <w:r>
        <w:t>定价直接决定收入和现金</w:t>
      </w:r>
    </w:p>
    <w:p>
      <w:pPr>
        <w:keepNext/>
      </w:pPr>
      <w:r>
        <w:t>每个名次格为“市场收入／销售现金”。以下是完整市场奖励，不另外追加旧版固定第一/第二收入：</w:t>
      </w:r>
    </w:p>
    <w:tbl>
      <w:tblPr>
        <w:tblW w:type="auto" w:w="0"/>
        <w:jc w:val="center"/>
        <w:tblLayout w:type="fixed"/>
        <w:tblLook w:firstColumn="1" w:firstRow="1" w:lastColumn="0" w:lastRow="0" w:noHBand="0" w:noVBand="1" w:val="04A0"/>
        <w:tblBorders>
          <w:top w:val="single" w:sz="4" w:color="CFDAD2"/>
          <w:bottom w:val="single" w:sz="4" w:color="CFDAD2"/>
          <w:left w:val="single" w:sz="4" w:color="CFDAD2"/>
          <w:right w:val="single" w:sz="4" w:color="CFDAD2"/>
          <w:insideH w:val="single" w:sz="4" w:color="CFDAD2"/>
          <w:insideV w:val="single" w:sz="4" w:color="CFDAD2"/>
        </w:tblBorders>
      </w:tblPr>
      <w:tblGrid>
        <w:gridCol w:w="1417"/>
        <w:gridCol w:w="2098"/>
        <w:gridCol w:w="2098"/>
        <w:gridCol w:w="2098"/>
        <w:gridCol w:w="2154"/>
      </w:tblGrid>
      <w:tr>
        <w:trPr>
          <w:cantSplit/>
          <w:tblHeader/>
        </w:trPr>
        <w:tc>
          <w:tcPr>
            <w:tcW w:type="dxa" w:w="1417"/>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定价</w:t>
            </w:r>
          </w:p>
        </w:tc>
        <w:tc>
          <w:tcPr>
            <w:tcW w:type="dxa" w:w="2098"/>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吸引力修正</w:t>
            </w:r>
          </w:p>
        </w:tc>
        <w:tc>
          <w:tcPr>
            <w:tcW w:type="dxa" w:w="2098"/>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第一</w:t>
            </w:r>
          </w:p>
        </w:tc>
        <w:tc>
          <w:tcPr>
            <w:tcW w:type="dxa" w:w="2098"/>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第二</w:t>
            </w:r>
          </w:p>
        </w:tc>
        <w:tc>
          <w:tcPr>
            <w:tcW w:type="dxa" w:w="2154"/>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第三／第四</w:t>
            </w:r>
          </w:p>
        </w:tc>
      </w:tr>
      <w:tr>
        <w:trPr>
          <w:cantSplit/>
        </w:trPr>
        <w:tc>
          <w:tcPr>
            <w:tcW w:type="dxa" w:w="1417"/>
            <w:vAlign w:val="center"/>
            <w:shd w:fill="FFFFFF"/>
            <w:tcMar>
              <w:top w:w="85" w:type="dxa"/>
              <w:bottom w:w="85" w:type="dxa"/>
              <w:left w:w="85" w:type="dxa"/>
              <w:right w:w="85" w:type="dxa"/>
            </w:tcMar>
          </w:tcPr>
          <w:p>
            <w:pPr>
              <w:keepNext/>
              <w:spacing w:line="264" w:lineRule="auto" w:before="30" w:after="30"/>
            </w:pPr>
            <w:r>
              <w:rPr>
                <w:rFonts w:ascii="Noto Serif CJK SC" w:hAnsi="Noto Serif CJK SC" w:eastAsia="Noto Serif CJK SC"/>
                <w:b w:val="0"/>
                <w:color w:val="263831"/>
                <w:sz w:val="18"/>
              </w:rPr>
              <w:t>走量价</w:t>
            </w:r>
          </w:p>
        </w:tc>
        <w:tc>
          <w:tcPr>
            <w:tcW w:type="dxa" w:w="2098"/>
            <w:vAlign w:val="center"/>
            <w:shd w:fill="FFFFFF"/>
            <w:tcMar>
              <w:top w:w="85" w:type="dxa"/>
              <w:bottom w:w="85" w:type="dxa"/>
              <w:left w:w="85" w:type="dxa"/>
              <w:right w:w="85" w:type="dxa"/>
            </w:tcMar>
          </w:tcPr>
          <w:p>
            <w:pPr>
              <w:keepNext/>
              <w:spacing w:line="264" w:lineRule="auto" w:before="30" w:after="30"/>
            </w:pPr>
            <w:r>
              <w:rPr>
                <w:rFonts w:ascii="Noto Serif CJK SC" w:hAnsi="Noto Serif CJK SC" w:eastAsia="Noto Serif CJK SC"/>
                <w:b w:val="0"/>
                <w:color w:val="263831"/>
                <w:sz w:val="18"/>
              </w:rPr>
              <w:t>+4</w:t>
            </w:r>
          </w:p>
        </w:tc>
        <w:tc>
          <w:tcPr>
            <w:tcW w:type="dxa" w:w="2098"/>
            <w:vAlign w:val="center"/>
            <w:shd w:fill="FFFFFF"/>
            <w:tcMar>
              <w:top w:w="85" w:type="dxa"/>
              <w:bottom w:w="85" w:type="dxa"/>
              <w:left w:w="85" w:type="dxa"/>
              <w:right w:w="85" w:type="dxa"/>
            </w:tcMar>
          </w:tcPr>
          <w:p>
            <w:pPr>
              <w:keepNext/>
              <w:spacing w:line="264" w:lineRule="auto" w:before="30" w:after="30"/>
            </w:pPr>
            <w:r>
              <w:rPr>
                <w:rFonts w:ascii="Noto Serif CJK SC" w:hAnsi="Noto Serif CJK SC" w:eastAsia="Noto Serif CJK SC"/>
                <w:b w:val="0"/>
                <w:color w:val="263831"/>
                <w:sz w:val="18"/>
              </w:rPr>
              <w:t>3／3</w:t>
            </w:r>
          </w:p>
        </w:tc>
        <w:tc>
          <w:tcPr>
            <w:tcW w:type="dxa" w:w="2098"/>
            <w:vAlign w:val="center"/>
            <w:shd w:fill="FFFFFF"/>
            <w:tcMar>
              <w:top w:w="85" w:type="dxa"/>
              <w:bottom w:w="85" w:type="dxa"/>
              <w:left w:w="85" w:type="dxa"/>
              <w:right w:w="85" w:type="dxa"/>
            </w:tcMar>
          </w:tcPr>
          <w:p>
            <w:pPr>
              <w:keepNext/>
              <w:spacing w:line="264" w:lineRule="auto" w:before="30" w:after="30"/>
            </w:pPr>
            <w:r>
              <w:rPr>
                <w:rFonts w:ascii="Noto Serif CJK SC" w:hAnsi="Noto Serif CJK SC" w:eastAsia="Noto Serif CJK SC"/>
                <w:b w:val="0"/>
                <w:color w:val="263831"/>
                <w:sz w:val="18"/>
              </w:rPr>
              <w:t>0／0</w:t>
            </w:r>
          </w:p>
        </w:tc>
        <w:tc>
          <w:tcPr>
            <w:tcW w:type="dxa" w:w="2154"/>
            <w:vAlign w:val="center"/>
            <w:shd w:fill="FFFFFF"/>
            <w:tcMar>
              <w:top w:w="85" w:type="dxa"/>
              <w:bottom w:w="85" w:type="dxa"/>
              <w:left w:w="85" w:type="dxa"/>
              <w:right w:w="85" w:type="dxa"/>
            </w:tcMar>
          </w:tcPr>
          <w:p>
            <w:pPr>
              <w:keepNext/>
              <w:spacing w:line="264" w:lineRule="auto" w:before="30" w:after="30"/>
            </w:pPr>
            <w:r>
              <w:rPr>
                <w:rFonts w:ascii="Noto Serif CJK SC" w:hAnsi="Noto Serif CJK SC" w:eastAsia="Noto Serif CJK SC"/>
                <w:b w:val="0"/>
                <w:color w:val="263831"/>
                <w:sz w:val="18"/>
              </w:rPr>
              <w:t>0／0</w:t>
            </w:r>
          </w:p>
        </w:tc>
      </w:tr>
      <w:tr>
        <w:trPr>
          <w:cantSplit/>
        </w:trPr>
        <w:tc>
          <w:tcPr>
            <w:tcW w:type="dxa" w:w="1417"/>
            <w:vAlign w:val="center"/>
            <w:shd w:fill="F2F5F1"/>
            <w:tcMar>
              <w:top w:w="85" w:type="dxa"/>
              <w:bottom w:w="85" w:type="dxa"/>
              <w:left w:w="85" w:type="dxa"/>
              <w:right w:w="85" w:type="dxa"/>
            </w:tcMar>
          </w:tcPr>
          <w:p>
            <w:pPr>
              <w:keepNext/>
              <w:spacing w:line="264" w:lineRule="auto" w:before="30" w:after="30"/>
            </w:pPr>
            <w:r>
              <w:rPr>
                <w:rFonts w:ascii="Noto Serif CJK SC" w:hAnsi="Noto Serif CJK SC" w:eastAsia="Noto Serif CJK SC"/>
                <w:b w:val="0"/>
                <w:color w:val="263831"/>
                <w:sz w:val="18"/>
              </w:rPr>
              <w:t>标准价</w:t>
            </w:r>
          </w:p>
        </w:tc>
        <w:tc>
          <w:tcPr>
            <w:tcW w:type="dxa" w:w="2098"/>
            <w:vAlign w:val="center"/>
            <w:shd w:fill="F2F5F1"/>
            <w:tcMar>
              <w:top w:w="85" w:type="dxa"/>
              <w:bottom w:w="85" w:type="dxa"/>
              <w:left w:w="85" w:type="dxa"/>
              <w:right w:w="85" w:type="dxa"/>
            </w:tcMar>
          </w:tcPr>
          <w:p>
            <w:pPr>
              <w:keepNext/>
              <w:spacing w:line="264" w:lineRule="auto" w:before="30" w:after="30"/>
            </w:pPr>
            <w:r>
              <w:rPr>
                <w:rFonts w:ascii="Noto Serif CJK SC" w:hAnsi="Noto Serif CJK SC" w:eastAsia="Noto Serif CJK SC"/>
                <w:b w:val="0"/>
                <w:color w:val="263831"/>
                <w:sz w:val="18"/>
              </w:rPr>
              <w:t>+0</w:t>
            </w:r>
          </w:p>
        </w:tc>
        <w:tc>
          <w:tcPr>
            <w:tcW w:type="dxa" w:w="2098"/>
            <w:vAlign w:val="center"/>
            <w:shd w:fill="F2F5F1"/>
            <w:tcMar>
              <w:top w:w="85" w:type="dxa"/>
              <w:bottom w:w="85" w:type="dxa"/>
              <w:left w:w="85" w:type="dxa"/>
              <w:right w:w="85" w:type="dxa"/>
            </w:tcMar>
          </w:tcPr>
          <w:p>
            <w:pPr>
              <w:keepNext/>
              <w:spacing w:line="264" w:lineRule="auto" w:before="30" w:after="30"/>
            </w:pPr>
            <w:r>
              <w:rPr>
                <w:rFonts w:ascii="Noto Serif CJK SC" w:hAnsi="Noto Serif CJK SC" w:eastAsia="Noto Serif CJK SC"/>
                <w:b w:val="0"/>
                <w:color w:val="263831"/>
                <w:sz w:val="18"/>
              </w:rPr>
              <w:t>4／12</w:t>
            </w:r>
          </w:p>
        </w:tc>
        <w:tc>
          <w:tcPr>
            <w:tcW w:type="dxa" w:w="2098"/>
            <w:vAlign w:val="center"/>
            <w:shd w:fill="F2F5F1"/>
            <w:tcMar>
              <w:top w:w="85" w:type="dxa"/>
              <w:bottom w:w="85" w:type="dxa"/>
              <w:left w:w="85" w:type="dxa"/>
              <w:right w:w="85" w:type="dxa"/>
            </w:tcMar>
          </w:tcPr>
          <w:p>
            <w:pPr>
              <w:keepNext/>
              <w:spacing w:line="264" w:lineRule="auto" w:before="30" w:after="30"/>
            </w:pPr>
            <w:r>
              <w:rPr>
                <w:rFonts w:ascii="Noto Serif CJK SC" w:hAnsi="Noto Serif CJK SC" w:eastAsia="Noto Serif CJK SC"/>
                <w:b w:val="0"/>
                <w:color w:val="263831"/>
                <w:sz w:val="18"/>
              </w:rPr>
              <w:t>2／6</w:t>
            </w:r>
          </w:p>
        </w:tc>
        <w:tc>
          <w:tcPr>
            <w:tcW w:type="dxa" w:w="2154"/>
            <w:vAlign w:val="center"/>
            <w:shd w:fill="F2F5F1"/>
            <w:tcMar>
              <w:top w:w="85" w:type="dxa"/>
              <w:bottom w:w="85" w:type="dxa"/>
              <w:left w:w="85" w:type="dxa"/>
              <w:right w:w="85" w:type="dxa"/>
            </w:tcMar>
          </w:tcPr>
          <w:p>
            <w:pPr>
              <w:keepNext/>
              <w:spacing w:line="264" w:lineRule="auto" w:before="30" w:after="30"/>
            </w:pPr>
            <w:r>
              <w:rPr>
                <w:rFonts w:ascii="Noto Serif CJK SC" w:hAnsi="Noto Serif CJK SC" w:eastAsia="Noto Serif CJK SC"/>
                <w:b w:val="0"/>
                <w:color w:val="263831"/>
                <w:sz w:val="18"/>
              </w:rPr>
              <w:t>0／3</w:t>
            </w:r>
          </w:p>
        </w:tc>
      </w:tr>
      <w:tr>
        <w:trPr>
          <w:cantSplit/>
        </w:trPr>
        <w:tc>
          <w:tcPr>
            <w:tcW w:type="dxa" w:w="1417"/>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溢价</w:t>
            </w:r>
          </w:p>
        </w:tc>
        <w:tc>
          <w:tcPr>
            <w:tcW w:type="dxa" w:w="209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-4</w:t>
            </w:r>
          </w:p>
        </w:tc>
        <w:tc>
          <w:tcPr>
            <w:tcW w:type="dxa" w:w="209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6／21</w:t>
            </w:r>
          </w:p>
        </w:tc>
        <w:tc>
          <w:tcPr>
            <w:tcW w:type="dxa" w:w="209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2／9</w:t>
            </w:r>
          </w:p>
        </w:tc>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0／0</w:t>
            </w:r>
          </w:p>
        </w:tc>
      </w:tr>
    </w:tbl>
    <w:p>
      <w:pPr>
        <w:spacing w:after="40" w:line="40" w:lineRule="exact" w:before="0"/>
      </w:pPr>
    </w:p>
    <w:p>
      <w:r>
        <w:t>每公司在每个市场，以最终吸引力最高的有效新机为代表；同公司同分取筹备位较小者。不能为了溢价利润改选较弱的新机。各公司代表机比较名次，只有一家公司参加也算第一。</w:t>
      </w:r>
    </w:p>
    <w:p>
      <w:r>
        <w:t>跨公司同分按发布触发者下一位起顺时针优先，触发者最后。每公司每市场只由代表机按自己的定价领取一次市场收入和销售现金。</w:t>
      </w:r>
    </w:p>
    <w:p>
      <w:r>
        <w:t>同市场其他新机照常领企划印刷收入与自身效果，并共享公司名次供卡牌条件检查，但不再按自己的价格重复拿市场收入或销售现金。F05仅在所在机成为溢价代表且前二时使销售现金加3；B30每场至多一次；P81的额外收入是企划自身能力，可以独立触发。</w:t>
      </w:r>
    </w:p>
    <w:p>
      <w:r>
        <w:t>收入影响最终分与正常回款，现金用于后续付款。最终发布也按本表发市场收入，故低价夺冠与高价夺冠的终局收益仍有区别。定价不能改变验收、科技、厂标、配件功耗或印刷收入。</w:t>
      </w:r>
    </w:p>
    <w:p>
      <w:r>
        <w:t>发布整理时，不论机型成败，定价牌和调校标记都收回，不留旧价历史，不使旧手机重复销售。</w:t>
      </w:r>
    </w:p>
    <w:p>
      <w:bookmarkStart w:id="9" w:name="ch_9"/>
      <w:pPr>
        <w:pStyle w:val="Heading1"/>
      </w:pPr>
      <w:r>
        <w:t>九 共同发布会</w:t>
      </w:r>
      <w:bookmarkEnd w:id="9"/>
    </w:p>
    <w:p>
      <w:pPr>
        <w:pStyle w:val="Heading2"/>
      </w:pPr>
      <w:r>
        <w:t>触发与顺序</w:t>
      </w:r>
    </w:p>
    <w:p>
      <w:r>
        <w:t>发布轨到人数终点时，当前行动全部任务结束后立即发布，没有额外响应回合。本回合所有推进集中处理，溢出舍弃，不带到下一场。营销预热、调研预热、J/R突破会推进，其他普通行动、融资和基础研究不自动推进。</w:t>
      </w:r>
    </w:p>
    <w:p>
      <w:r>
        <w:t>所有筹备位都必须参加，不能扣留某台。最后一轮中的发布轨到顶时，只停住等待统一最终发布，详见第十二节。</w:t>
      </w:r>
    </w:p>
    <w:p>
      <w:pPr>
        <w:pStyle w:val="Heading2"/>
      </w:pPr>
      <w:r>
        <w:t>第一步 同时揭晓</w:t>
      </w:r>
    </w:p>
    <w:p>
      <w:r>
        <w:t>所有人先锁定定价，再同时揭晓企划、配件、调校和价格。冻结发布开始时的公司状态与世代，待发布企划此时不提供入场标签。</w:t>
      </w:r>
    </w:p>
    <w:p>
      <w:pPr>
        <w:pStyle w:val="Heading2"/>
      </w:pPr>
      <w:r>
        <w:t>第二步 验收并付款</w:t>
      </w:r>
    </w:p>
    <w:p>
      <w:r>
        <w:t>每位玩家按筹备位1、2、3顺序，分别检查四类完整与实体占用、折叠配套、科技、类别和厂标门槛、平台兼容与调校来源、印刷吸引力验收、供电及现金。全部通过立即付款，成为有效新机。</w:t>
      </w:r>
    </w:p>
    <w:p>
      <w:r>
        <w:t>任一项失败，不付该机制造费，企划入弃牌堆，不提供标签、收入、排名或发布效果。稳定仍归库，定制仍消耗。继续检查下一位，不得临时调整顺序或配置。</w:t>
      </w:r>
    </w:p>
    <w:p>
      <w:r>
        <w:t>玩家之间可同时验收，但个人内部必须顺序付款。所有本场奖励都在付款后领取。不能故意让合法且付得起的机型失败，也不能看别人配置后临时取消机型。</w:t>
      </w:r>
    </w:p>
    <w:p>
      <w:pPr>
        <w:pStyle w:val="Heading2"/>
      </w:pPr>
      <w:r>
        <w:t>第三步 同时上市并冻结条件</w:t>
      </w:r>
    </w:p>
    <w:p>
      <w:r>
        <w:t>有效企划同时加入公司。更新公司类别、厂家、上市市场及企划数量，再计算吸引力、各市场代表机和排名。明确的公司积累型“发布效果”可计入本场成功厂标，入场门槛不能回溯。</w:t>
      </w:r>
    </w:p>
    <w:p>
      <w:r>
        <w:t>将本场企划、企业以及T39/T41的成果引擎条件一次确定，随后科技收入的变化不改变这些资格。“另一款新机”只指自己本场另一款有效新机；“未获得名次”仍指第三或第四。</w:t>
      </w:r>
    </w:p>
    <w:p>
      <w:pPr>
        <w:pStyle w:val="Heading2"/>
      </w:pPr>
      <w:r>
        <w:t>第四步 领取所有奖励</w:t>
      </w:r>
    </w:p>
    <w:p>
      <w:r>
        <w:t>每款有效企划增加印刷收入并执行自身效果；各公司各市场按代表机价格领市场收入和销售现金，再领适用企业和科技成果奖励。每张“每场发布若……”牌每场至多一次，合格机型再多也不翻倍；不同卡可以叠加。</w:t>
      </w:r>
    </w:p>
    <w:p>
      <w:r>
        <w:t>先领取冻结的现金、收入和科技，再处理取牌。P83只能回收主牌弃牌堆的单项定制，本场用过的定制属于消耗移出，不能回收。取牌不改变已冻结条件。</w:t>
      </w:r>
    </w:p>
    <w:p>
      <w:r>
        <w:t>已上市企划以后仅保留标签、成长和目标用途，不再次参赛，也不重复领取上市收入。T39/T41必须在以后实际发布新的合格产品，旧产品不会每场重复产生科技。</w:t>
      </w:r>
    </w:p>
    <w:p>
      <w:pPr>
        <w:pStyle w:val="Heading2"/>
      </w:pPr>
      <w:r>
        <w:t>第五步 回款与整理</w:t>
      </w:r>
    </w:p>
    <w:p>
      <w:r>
        <w:t>普通发布只要全桌至少一款有效新机，每位玩家获得20＋自己当前收入的现金，再加适用正常回款能力。使用本场所有收入奖励处理后的收入；本场没发有效新机的玩家也能回款。全桌空发布不回款、不触发成果奖励。</w:t>
      </w:r>
    </w:p>
    <w:p>
      <w:r>
        <w:t>稳定回各自库，本场定制全部移出；清空筹备位，收回定价和调校。牌市弃最左2张，左移补满8张；发布标记归0。然后处理成长、升级和本回合唯一一次供应维护，再到下一位玩家。</w:t>
      </w:r>
    </w:p>
    <w:p>
      <w:r>
        <w:t>最终发布照常验收、付款、排名、企划/市场/企业/成果科技奖励，只省略正常回款、牌市/供应刷新和新世代解锁。最终发布之后仍处理新成长和升级，再计目标。</w:t>
      </w:r>
    </w:p>
    <w:p>
      <w:bookmarkStart w:id="10" w:name="ch_10"/>
      <w:pPr>
        <w:pStyle w:val="Heading1"/>
      </w:pPr>
      <w:r>
        <w:t>十 成长与行动升级</w:t>
      </w:r>
      <w:bookmarkEnd w:id="10"/>
    </w:p>
    <w:p>
      <w:r>
        <w:t>每个完整回合末，包括可能的发布后，所有玩家依A1—A7检查。满足且尚未领取就放成长标记、领取；重复检查到无新奖励。每项整局一次，不用行动，不竞争。</w:t>
      </w:r>
    </w:p>
    <w:tbl>
      <w:tblPr>
        <w:tblW w:type="auto" w:w="0"/>
        <w:jc w:val="center"/>
        <w:tblLayout w:type="fixed"/>
        <w:tblLook w:firstColumn="1" w:firstRow="1" w:lastColumn="0" w:lastRow="0" w:noHBand="0" w:noVBand="1" w:val="04A0"/>
        <w:tblBorders>
          <w:top w:val="single" w:sz="4" w:color="CFDAD2"/>
          <w:bottom w:val="single" w:sz="4" w:color="CFDAD2"/>
          <w:left w:val="single" w:sz="4" w:color="CFDAD2"/>
          <w:right w:val="single" w:sz="4" w:color="CFDAD2"/>
          <w:insideH w:val="single" w:sz="4" w:color="CFDAD2"/>
          <w:insideV w:val="single" w:sz="4" w:color="CFDAD2"/>
        </w:tblBorders>
      </w:tblPr>
      <w:tblGrid>
        <w:gridCol w:w="2154"/>
        <w:gridCol w:w="3288"/>
        <w:gridCol w:w="4422"/>
      </w:tblGrid>
      <w:tr>
        <w:trPr>
          <w:cantSplit/>
          <w:tblHeader/>
        </w:trPr>
        <w:tc>
          <w:tcPr>
            <w:tcW w:type="dxa" w:w="2154"/>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成长</w:t>
            </w:r>
          </w:p>
        </w:tc>
        <w:tc>
          <w:tcPr>
            <w:tcW w:type="dxa" w:w="3288"/>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条件</w:t>
            </w:r>
          </w:p>
        </w:tc>
        <w:tc>
          <w:tcPr>
            <w:tcW w:type="dxa" w:w="4422"/>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奖励</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A1 首款上市</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已上市企划≥1</w:t>
            </w:r>
          </w:p>
        </w:tc>
        <w:tc>
          <w:tcPr>
            <w:tcW w:type="dxa" w:w="4422"/>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一次性获得9现金</w:t>
            </w:r>
          </w:p>
        </w:tc>
      </w:tr>
      <w:tr>
        <w:trPr>
          <w:cantSplit/>
        </w:trPr>
        <w:tc>
          <w:tcPr>
            <w:tcW w:type="dxa" w:w="215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A2 产品矩阵</w:t>
            </w:r>
          </w:p>
        </w:tc>
        <w:tc>
          <w:tcPr>
            <w:tcW w:type="dxa" w:w="3288"/>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已上市企划≥3</w:t>
            </w:r>
          </w:p>
        </w:tc>
        <w:tc>
          <w:tcPr>
            <w:tcW w:type="dxa" w:w="4422"/>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获得1次行动升级</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A3 产线扩建</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科技≥5且已上市企划≥2</w:t>
            </w:r>
          </w:p>
        </w:tc>
        <w:tc>
          <w:tcPr>
            <w:tcW w:type="dxa" w:w="4422"/>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永久解锁第三筹备位</w:t>
            </w:r>
          </w:p>
        </w:tc>
      </w:tr>
      <w:tr>
        <w:trPr>
          <w:cantSplit/>
        </w:trPr>
        <w:tc>
          <w:tcPr>
            <w:tcW w:type="dxa" w:w="215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A4 行业认可</w:t>
            </w:r>
          </w:p>
        </w:tc>
        <w:tc>
          <w:tcPr>
            <w:tcW w:type="dxa" w:w="3288"/>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完成产业突破≥1</w:t>
            </w:r>
          </w:p>
        </w:tc>
        <w:tc>
          <w:tcPr>
            <w:tcW w:type="dxa" w:w="4422"/>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获得1次行动升级</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A5 研发体系</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已打出科技卡≥3</w:t>
            </w:r>
          </w:p>
        </w:tc>
        <w:tc>
          <w:tcPr>
            <w:tcW w:type="dxa" w:w="4422"/>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永久使科技卡研发费用减3</w:t>
            </w:r>
          </w:p>
        </w:tc>
      </w:tr>
      <w:tr>
        <w:trPr>
          <w:cantSplit/>
        </w:trPr>
        <w:tc>
          <w:tcPr>
            <w:tcW w:type="dxa" w:w="215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A6 渠道覆盖</w:t>
            </w:r>
          </w:p>
        </w:tc>
        <w:tc>
          <w:tcPr>
            <w:tcW w:type="dxa" w:w="3288"/>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已上市市场种类≥3</w:t>
            </w:r>
          </w:p>
        </w:tc>
        <w:tc>
          <w:tcPr>
            <w:tcW w:type="dxa" w:w="4422"/>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一次性增加3收入</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A7 专业积累</w:t>
            </w:r>
          </w:p>
        </w:tc>
        <w:tc>
          <w:tcPr>
            <w:tcW w:type="dxa" w:w="328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本版图专长标签≥3</w:t>
            </w:r>
          </w:p>
        </w:tc>
        <w:tc>
          <w:tcPr>
            <w:tcW w:type="dxa" w:w="4422"/>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永久使对应类别标签新机费用减3</w:t>
            </w:r>
          </w:p>
        </w:tc>
      </w:tr>
    </w:tbl>
    <w:p>
      <w:pPr>
        <w:spacing w:after="40" w:line="40" w:lineRule="exact" w:before="0"/>
      </w:pPr>
    </w:p>
    <w:p>
      <w:r>
        <w:t>科技首次达到3、7，各得到一次行动升级。A2、A4、T36、B36的机会照常保留。都在当前完整回合结束、可能的发布和成长后选择未升级行动翻面，位置不变，不能增强刚刚执行的行动。</w:t>
      </w:r>
    </w:p>
    <w:p>
      <w:r>
        <w:t>同回合跨多个节点可以累计领取。五张均已升级时，额外每次机会改为9现金。成长与升级领取后才生效，不能回溯减本场制造费，也不能用新第三位补发一台。</w:t>
      </w:r>
    </w:p>
    <w:p>
      <w:r>
        <w:t>第三筹备位不赠配件。三台机仍需三套互不重叠占用的实体部件。A5仅减科技卡费用，不减基础研究；A7只看个人版图专长类别，不看颜色或厂家。</w:t>
      </w:r>
    </w:p>
    <w:p>
      <w:bookmarkStart w:id="11" w:name="ch_11"/>
      <w:pPr>
        <w:pStyle w:val="Heading1"/>
      </w:pPr>
      <w:r>
        <w:t>十一 基础产业突破与专项项目</w:t>
      </w:r>
      <w:bookmarkEnd w:id="11"/>
    </w:p>
    <w:p>
      <w:pPr>
        <w:pStyle w:val="Heading2"/>
      </w:pPr>
      <w:r>
        <w:t>共用的完成规则</w:t>
      </w:r>
    </w:p>
    <w:p>
      <w:r>
        <w:t>用合作选择一个本人从未完成的公开项目，检查当前公司积累，选择满足且无人占的档位，放本人项目标记，立即获得该档科技并推进发布2。每档全桌一人，每人每项目整局只完成一次，之后不可补差升级。可以选择低于自己最高能力的合格空档。</w:t>
      </w:r>
    </w:p>
    <w:p>
      <w:r>
        <w:t>首次完成任意J或R都能达成A4。O08、P96、B35等检查“产业突破”时，J与R都算；仅“已打出科技卡”不算项目。项目奖励不消耗用于达标的类别、厂标、卡数或市场。除提出R的申报费外，完成已有公开项目不收费。</w:t>
      </w:r>
    </w:p>
    <w:p>
      <w:pPr>
        <w:pStyle w:val="Heading2"/>
      </w:pPr>
      <w:r>
        <w:t>J：开局固定项目</w:t>
      </w:r>
    </w:p>
    <w:p>
      <w:r>
        <w:t>J01—J06分别检查六种公司类别，J07检查科技卡数，J08检查企业卡数，J09检查已上市企划数，这些门槛为2／4／6；J10市场种类2／3／4；J11自有稳定实体6／9／12；J12公司类别种类3／4／6。三档奖励均1／2／3科技。</w:t>
      </w:r>
    </w:p>
    <w:p>
      <w:r>
        <w:t>J12只计六类别，不把五厂加入。J11包含初始稳定和筹备中自有卡，同编号实体分别计。开局固定4个J不替换，不把其余J中途加入。</w:t>
      </w:r>
    </w:p>
    <w:p>
      <w:pPr>
        <w:pStyle w:val="Heading2"/>
      </w:pPr>
      <w:r>
        <w:t>R：玩家提出的专项</w:t>
      </w:r>
    </w:p>
    <w:p>
      <w:r>
        <w:t>R01—R05分别检查红、黄、蓝、绿、黑公司厂标数，门槛2／4／6，奖励1／2／3科技。R06检查不同厂家种类，门槛3／4／5，奖励2／3／4科技。它们都从开局作为主牌，手牌中的内容保密。</w:t>
      </w:r>
    </w:p>
    <w:p>
      <w:r>
        <w:t>提出专项占用一次完整项目任务：先确认能完成该卡至少一个档位且有6现金，支付申报费，把R牌从手牌公开到专项区，然后立刻占一档、领取科技并推进2。不能只提出不完成，不能提出后又做第二个项目，不能用即将获得的奖励垫付申报费。</w:t>
      </w:r>
    </w:p>
    <w:p>
      <w:r>
        <w:t>提出后R牌不再归本人独占；下一位起所有玩家可在以后合作行动争其他合格空档，无需再付申报费。提出者同样每项目只能一档，没有额外厂标、科技或收入。每张R整局一张，最多六个专项同时公开，满档后保留占位，不洗回。</w:t>
      </w:r>
    </w:p>
    <w:p>
      <w:r>
        <w:t>从手牌丢弃但尚未提出的R进入普通弃牌堆；已提出的R不可被当作科技/企业回收或弃置。牌市R必须先拿到手，普通和升级合作都不能直接从牌市打出。</w:t>
      </w:r>
    </w:p>
    <w:p>
      <w:pPr>
        <w:pStyle w:val="Heading2"/>
      </w:pPr>
      <w:r>
        <w:t>项目与发布同回合</w:t>
      </w:r>
    </w:p>
    <w:p>
      <w:r>
        <w:t>先结算项目科技，再集中处理发布推进。若同时触发发布，本场使用行动结束时已经取得的个人科技，但供应仍是旧世代；本场原有公司厂标按正常时点检查。发布与成长全部结束后才统一换代，没有插入采购机会。</w:t>
      </w:r>
    </w:p>
    <w:p>
      <w:bookmarkStart w:id="12" w:name="ch_12"/>
      <w:pPr>
        <w:pStyle w:val="Heading1"/>
      </w:pPr>
      <w:r>
        <w:t>十二 游戏结束与计分</w:t>
      </w:r>
      <w:bookmarkEnd w:id="12"/>
    </w:p>
    <w:p>
      <w:pPr>
        <w:pStyle w:val="Heading2"/>
      </w:pPr>
      <w:r>
        <w:t>相遇或越过就是触发</w:t>
      </w:r>
    </w:p>
    <w:p>
      <w:r>
        <w:t>当任意玩家的两个标记相遇或越过，完成当前回合的全部结算后，所有玩家各再进行一个回合，随后举行最终发布并计分。秘密终局目标只在最终计分时加入，不会提前触发游戏结束。</w:t>
      </w:r>
    </w:p>
    <w:p>
      <w:r>
        <w:t>用中央双轨对齐线判定同一人的标记。科技0—8每步对齐2个收入格，8—36每步对齐3个收入格。不要把每个科技步当作相同的收入跨度。</w:t>
      </w:r>
    </w:p>
    <w:p>
      <w:pPr>
        <w:pStyle w:val="Heading2"/>
      </w:pPr>
      <w:r>
        <w:t>所有人各最后一个回合</w:t>
      </w:r>
    </w:p>
    <w:p>
      <w:r>
        <w:t>从刚完成当前回合者的下一位起，顺时针每人再行动一次；刚完成当前回合的人最后再行动。因此2／3／4人局分别追加2／3／4个回合。重复触发不延长。</w:t>
      </w:r>
    </w:p>
    <w:p>
      <w:r>
        <w:t>这些回合照常行动、成长、升级和换代；发布轨可以推进，但到顶后等待，不在追加回合中途再举行普通发布。最后一位完成后统一最终发布，无论发布轨停在哪里。</w:t>
      </w:r>
    </w:p>
    <w:p>
      <w:r>
        <w:t>最终发布以最后行动玩家为发布触发者决定同分顺位。省略正常回款与刷新，其他奖励、成长和升级完整处理，然后揭晓终局目标。目标计分不再影响已经发生的任何游戏流程。</w:t>
      </w:r>
    </w:p>
    <w:p>
      <w:pPr>
        <w:pStyle w:val="Heading2"/>
      </w:pPr>
      <w:r>
        <w:t>直接数越过多少收入格</w:t>
      </w:r>
    </w:p>
    <w:p>
      <w:r>
        <w:t>以自己的科技标记所指向的收入对齐线作为零分线。收入标记越过该线多少收入格，基础分就是多少；若未到该线，差几格就记负几分；刚好相遇为0。最后加秘密终局目标分，最高者获胜。</w:t>
      </w:r>
    </w:p>
    <w:p>
      <w:r>
        <w:t>例如科技8指向收入84：收入87的基础分为3；科技9指向收入81：收入79的基础分为−2。再分别加自己的终局目标，不把现金相加。图鉴附全部对齐数值，版图本身已经画出位置，不必手算科技权重。</w:t>
      </w:r>
    </w:p>
    <w:p>
      <w:r>
        <w:t>平分时科技较高者胜；仍相同则共同获胜。未打手牌、现金、未用定制和未完成项目不直接计分。目标最多6分，不按本版现金尺度放大。</w:t>
      </w:r>
    </w:p>
    <w:p>
      <w:pPr>
        <w:pStyle w:val="Heading2"/>
      </w:pPr>
      <w:r>
        <w:t>超出印刷轨道</w:t>
      </w:r>
    </w:p>
    <w:p>
      <w:r>
        <w:t>若最终结算收入超过100，使用收入＋100标记并把收入棋子放到余下格，计分时补回100格。科技超过36，使用科技＋36标记和余数格；此时已经越过起点，每个超过36的科技另计3基础分，不能套用余数格的0—8短步长。已触发的最后一轮不会重新开始。</w:t>
      </w:r>
    </w:p>
    <w:p>
      <w:r>
        <w:t>配套组件保留越界标记和小范围计分速查，不需要纸笔。需要多于一枚时可用同面额筹码代表额外整圈，数量没有规则性上限。</w:t>
      </w:r>
    </w:p>
    <w:p>
      <w:pPr>
        <w:pStyle w:val="Heading2"/>
      </w:pPr>
      <w:r>
        <w:t>目标与厂系的区别</w:t>
      </w:r>
    </w:p>
    <w:p>
      <w:r>
        <w:t>O01—O12沿用市场、科技卡、企业、供应、折叠等方向；O11按本版印刷科技门槛至少4的企划计算。O13—O17只数对应厂系已上市企划，每张2分最多6；科技、企业厂标不算产品。O18只看已上市企划覆盖的厂家，3／4／5种分别2／4／6分。</w:t>
      </w:r>
    </w:p>
    <w:p>
      <w:r>
        <w:t>R06检查公司厂系种类，会计入科技和企业；O18检查产品厂系种类，不计它们。这是对象不同，不是两套厂家名称。</w:t>
      </w:r>
    </w:p>
    <w:p>
      <w:bookmarkStart w:id="13" w:name="ch_13"/>
      <w:pPr>
        <w:pStyle w:val="Heading1"/>
      </w:pPr>
      <w:r>
        <w:t>十三 四张个人版图</w:t>
      </w:r>
      <w:bookmarkEnd w:id="13"/>
    </w:p>
    <w:p>
      <w:r>
        <w:t>所有版图现金60、收入5、科技0，区别仍是起始企划、初始配件与A7类别专长，不绑定任何厂系。每套初始配件制造费15、原始吸引力4，能通过指定起始企划；初始机型使用默认模式。</w:t>
      </w:r>
    </w:p>
    <w:tbl>
      <w:tblPr>
        <w:tblW w:type="auto" w:w="0"/>
        <w:jc w:val="center"/>
        <w:tblLayout w:type="fixed"/>
        <w:tblLook w:firstColumn="1" w:firstRow="1" w:lastColumn="0" w:lastRow="0" w:noHBand="0" w:noVBand="1" w:val="04A0"/>
        <w:tblBorders>
          <w:top w:val="single" w:sz="4" w:color="CFDAD2"/>
          <w:bottom w:val="single" w:sz="4" w:color="CFDAD2"/>
          <w:left w:val="single" w:sz="4" w:color="CFDAD2"/>
          <w:right w:val="single" w:sz="4" w:color="CFDAD2"/>
          <w:insideH w:val="single" w:sz="4" w:color="CFDAD2"/>
          <w:insideV w:val="single" w:sz="4" w:color="CFDAD2"/>
        </w:tblBorders>
      </w:tblPr>
      <w:tblGrid>
        <w:gridCol w:w="2154"/>
        <w:gridCol w:w="2721"/>
        <w:gridCol w:w="2381"/>
        <w:gridCol w:w="2608"/>
      </w:tblGrid>
      <w:tr>
        <w:trPr>
          <w:cantSplit/>
          <w:tblHeader/>
        </w:trPr>
        <w:tc>
          <w:tcPr>
            <w:tcW w:type="dxa" w:w="2154"/>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版图</w:t>
            </w:r>
          </w:p>
        </w:tc>
        <w:tc>
          <w:tcPr>
            <w:tcW w:type="dxa" w:w="2721"/>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专长与企划</w:t>
            </w:r>
          </w:p>
        </w:tc>
        <w:tc>
          <w:tcPr>
            <w:tcW w:type="dxa" w:w="2381"/>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总功耗</w:t>
            </w:r>
          </w:p>
        </w:tc>
        <w:tc>
          <w:tcPr>
            <w:tcW w:type="dxa" w:w="2608"/>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供电</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M01 珠江研发园</w:t>
            </w:r>
          </w:p>
        </w:tc>
        <w:tc>
          <w:tcPr>
            <w:tcW w:type="dxa" w:w="272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性能；P03</w:t>
            </w:r>
          </w:p>
        </w:tc>
        <w:tc>
          <w:tcPr>
            <w:tcW w:type="dxa" w:w="238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4</w:t>
            </w:r>
          </w:p>
        </w:tc>
        <w:tc>
          <w:tcPr>
            <w:tcW w:type="dxa" w:w="260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8</w:t>
            </w:r>
          </w:p>
        </w:tc>
      </w:tr>
      <w:tr>
        <w:trPr>
          <w:cantSplit/>
        </w:trPr>
        <w:tc>
          <w:tcPr>
            <w:tcW w:type="dxa" w:w="215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M02 滨海影像中心</w:t>
            </w:r>
          </w:p>
        </w:tc>
        <w:tc>
          <w:tcPr>
            <w:tcW w:type="dxa" w:w="2721"/>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影像；P04</w:t>
            </w:r>
          </w:p>
        </w:tc>
        <w:tc>
          <w:tcPr>
            <w:tcW w:type="dxa" w:w="2381"/>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4</w:t>
            </w:r>
          </w:p>
        </w:tc>
        <w:tc>
          <w:tcPr>
            <w:tcW w:type="dxa" w:w="2608"/>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8</w:t>
            </w:r>
          </w:p>
        </w:tc>
      </w:tr>
      <w:tr>
        <w:trPr>
          <w:cantSplit/>
        </w:trPr>
        <w:tc>
          <w:tcPr>
            <w:tcW w:type="dxa" w:w="2154"/>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M03 南山设计工坊</w:t>
            </w:r>
          </w:p>
        </w:tc>
        <w:tc>
          <w:tcPr>
            <w:tcW w:type="dxa" w:w="272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轻薄；P02</w:t>
            </w:r>
          </w:p>
        </w:tc>
        <w:tc>
          <w:tcPr>
            <w:tcW w:type="dxa" w:w="238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2</w:t>
            </w:r>
          </w:p>
        </w:tc>
        <w:tc>
          <w:tcPr>
            <w:tcW w:type="dxa" w:w="2608"/>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6</w:t>
            </w:r>
          </w:p>
        </w:tc>
      </w:tr>
      <w:tr>
        <w:trPr>
          <w:cantSplit/>
        </w:trPr>
        <w:tc>
          <w:tcPr>
            <w:tcW w:type="dxa" w:w="2154"/>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M04 松山湖终端基地</w:t>
            </w:r>
          </w:p>
        </w:tc>
        <w:tc>
          <w:tcPr>
            <w:tcW w:type="dxa" w:w="2721"/>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续航；P01</w:t>
            </w:r>
          </w:p>
        </w:tc>
        <w:tc>
          <w:tcPr>
            <w:tcW w:type="dxa" w:w="2381"/>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4</w:t>
            </w:r>
          </w:p>
        </w:tc>
        <w:tc>
          <w:tcPr>
            <w:tcW w:type="dxa" w:w="2608"/>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10</w:t>
            </w:r>
          </w:p>
        </w:tc>
      </w:tr>
    </w:tbl>
    <w:p>
      <w:pPr>
        <w:spacing w:after="40" w:line="40" w:lineRule="exact" w:before="0"/>
      </w:pPr>
    </w:p>
    <w:p>
      <w:r>
        <w:t>初始企划P01—P04都不提供厂标。B37—B41和低门槛厂牌是进入五个厂系的正常途径，不额外发放某厂起始令牌。</w:t>
      </w:r>
    </w:p>
    <w:p>
      <w:bookmarkStart w:id="14" w:name="ch_14"/>
      <w:pPr>
        <w:pStyle w:val="Heading1"/>
      </w:pPr>
      <w:r>
        <w:t>十四 示例与重要裁定</w:t>
      </w:r>
      <w:bookmarkEnd w:id="14"/>
    </w:p>
    <w:p>
      <w:pPr>
        <w:pStyle w:val="Heading2"/>
      </w:pPr>
      <w:r>
        <w:t>例一：先付款，再领三类收入</w:t>
      </w:r>
    </w:p>
    <w:p>
      <w:r>
        <w:t>以P01和其指定初始配件为例。初始60现金，先付15制造，余45；P01增加3收入并给6现金。假设独自进入大众消费，采用标准价，市场奖励4收入、12现金，收入由5到12。</w:t>
      </w:r>
    </w:p>
    <w:p>
      <w:r>
        <w:t>普通回款20＋12＝32，再领取A1的9现金；最终现金104。所有这些钱都在本场制造费后才到，不能用于救下一筹备位的付款。最终发布则不发那32正常回款。</w:t>
      </w:r>
    </w:p>
    <w:p>
      <w:pPr>
        <w:pStyle w:val="Heading2"/>
      </w:pPr>
      <w:r>
        <w:t>例二：厂标是积累，不是阵营</w:t>
      </w:r>
    </w:p>
    <w:p>
      <w:r>
        <w:t>你此前有1张红厂上市企划和1张红厂科技，已满足T37需要的红厂2。打出T37后共红厂3，可与以后新来的红厂企划配合，但仍可照常组装蓝厂或黑厂手机。</w:t>
      </w:r>
    </w:p>
    <w:p>
      <w:r>
        <w:t>若本场发布开始前只有红厂1，而待发布两机都是红厂且其中一张要求红厂2，该高要求机仍失败；另一台无该门槛的机可以成功。新厂标不能补本场入场条件。</w:t>
      </w:r>
    </w:p>
    <w:p>
      <w:pPr>
        <w:pStyle w:val="Heading2"/>
      </w:pPr>
      <w:r>
        <w:t>例三：从手牌提出一个项目</w:t>
      </w:r>
    </w:p>
    <w:p>
      <w:r>
        <w:t>你有4个蓝厂公司厂标，手握R03，普通合作在S4。支付6现金提出R03，选择此前空着的第二档，获得2科技并推进发布2。你自己已完成这张项目，以后不能再占第三档。</w:t>
      </w:r>
    </w:p>
    <w:p>
      <w:r>
        <w:t>R03留在公共专项区。别人以后有2个蓝厂，可用合作占第一档；有6个蓝厂可占第三档，都不再付申报费。R03自身不会给你蓝厂厂标。</w:t>
      </w:r>
    </w:p>
    <w:p>
      <w:pPr>
        <w:pStyle w:val="Heading2"/>
      </w:pPr>
      <w:r>
        <w:t>例四：价格改变竞争，也改变终局收益</w:t>
      </w:r>
    </w:p>
    <w:p>
      <w:r>
        <w:t>假定对手最终吸引力为16，你同分顺位靠后。自己的定价前吸引力为14时，走量加4到18，可以取第一的3收入；标准14只取第二2收入。定价前为18时，标准可取第一4收入；溢价降到14会失去第一。定价前为22时，溢价降到18仍第一，取得6收入和21现金。</w:t>
      </w:r>
    </w:p>
    <w:p>
      <w:r>
        <w:t>这里只是假设对手最终状态的收益比较，不意味着你能提前看到对手秘密定价。同市场另有溢价机也不能再领第二份市场收益。</w:t>
      </w:r>
    </w:p>
    <w:p>
      <w:pPr>
        <w:pStyle w:val="Heading2"/>
      </w:pPr>
      <w:r>
        <w:t>例五：技术来源和免费收益的界线</w:t>
      </w:r>
    </w:p>
    <w:p>
      <w:r>
        <w:t>T39打出后，只有本场有满足印刷吸引力与供电余量条件的蓝厂新机，才额外获得1科技。本场发两台都满足仍只1点；本场没有新机则0。下一场必须再制造并付款发布新的企划，不能靠旧机重复得科技。</w:t>
      </w:r>
    </w:p>
    <w:p>
      <w:r>
        <w:t>基础研究则是卡牌以外的保底路线：每次付24或18现金并占一个合格强度的研发行动，得到1科技。它没有整局次数上限，但也没有免费随发布重复给点。</w:t>
      </w:r>
    </w:p>
    <w:p>
      <w:pPr>
        <w:pStyle w:val="Heading2"/>
      </w:pPr>
      <w:r>
        <w:t>例六：36科技的合法极端路径</w:t>
      </w:r>
    </w:p>
    <w:p>
      <w:r>
        <w:t>例如，某玩家收入一直停在5，已打出T01与T19（合计两个性能类别标签），公开J01第一档尚空。通过实际融资或整备积累现金，再用合格强度基础研究达到科技34；其对齐收入为6，尚未相遇。此后用合作完成J01第一档，科技到35、对齐收入3，触发最后一轮。</w:t>
      </w:r>
    </w:p>
    <w:p>
      <w:r>
        <w:t>在完成J01前，先通过合法行动轮转把已升级研发留在强度至少3，并保留18现金；合作行动不会把研发移回1。按“所有玩家各再一回合”，该玩家可在最后行动基础研究，从35到36。不能用基础研究达到35后，直接把已回到强度1的研发当作强度3再次使用。其余玩家可以选择不增长双轨的合法行动；这是极端可行路径，不是推荐策略，也不代表正常对局常见。</w:t>
      </w:r>
    </w:p>
    <w:p>
      <w:pPr>
        <w:pStyle w:val="Heading2"/>
      </w:pPr>
      <w:r>
        <w:t>常见边界</w:t>
      </w:r>
    </w:p>
    <w:p>
      <w:r>
        <w:t>同编号卡只有实际两个副本才可各供两机。定制不能拆开；同一实体被宣称同时用于两机，两机都不能据此通过完整性。失败机的稳定归库，定制仍消耗。</w:t>
      </w:r>
    </w:p>
    <w:p>
      <w:r>
        <w:t>不同厂商名称不会自动提供厂标；零件色彩、供应世代、版图地点、价格牌和玩家颜色都不是厂标。厂标需求图案不能当作产出计数。</w:t>
      </w:r>
    </w:p>
    <w:p>
      <w:r>
        <w:t>“印刷”条件始终看印刷；“供电余量”默认读最终有效值；“类别种类”不能数厂家。卡效只作用于牌主，除非明确指定别人。没有足够合法牌可取时，只取实际可取的部分，不创造实体卡。</w:t>
      </w:r>
    </w:p>
    <w:p>
      <w:r>
        <w:t>所有玩家在完整回合末把手牌弃至6。公开R项目不占手牌；未提出的R占手牌。不能把R当作科技凑研发基础，也不能把提出者误当作该厂的唯一玩家。</w:t>
      </w:r>
    </w:p>
    <w:p>
      <w:bookmarkStart w:id="15" w:name="ch_15"/>
      <w:pPr>
        <w:pStyle w:val="Heading1"/>
      </w:pPr>
      <w:r>
        <w:t>十五 版本变化、来源与测试范围</w:t>
      </w:r>
      <w:bookmarkEnd w:id="15"/>
    </w:p>
    <w:p>
      <w:pPr>
        <w:pStyle w:val="Heading2"/>
      </w:pPr>
      <w:r>
        <w:t>5.0本次新增与调整</w:t>
      </w:r>
    </w:p>
    <w:p>
      <w:r>
        <w:t>新增五厂积累；92张非起始企划及40张科技/企业提供厂标。新增5张厂系科技、5张合作协议、6张可提出专项和6张厂家目标，共22种新牌。厂系与类别相互交叉，不新增独立关系轨。</w:t>
      </w:r>
    </w:p>
    <w:p>
      <w:r>
        <w:t>科技恢复到36格，前8步跨2收入格，其后每步跨3格；用相遇/越过判终局。科技卡印刷收益合计36，27张企划有条件科技奖励，保留J突破并开放R专项，基础研究可重复，T39/T41提供有新成果前提的发布科技。</w:t>
      </w:r>
    </w:p>
    <w:p>
      <w:r>
        <w:t>扩大硬件与资金数值，保留整数加减：配件吸引力与功耗以原约两倍为尺度再做单卡微调，现金费用和奖励以约三倍为起点。制造/研发减免、验收减免、匹配与定价修正同步改。收入适度提高，但不把全部收入奖励机械翻倍，以保留100格双轨的对局空间。</w:t>
      </w:r>
    </w:p>
    <w:p>
      <w:r>
        <w:t>完整数值直接印在牌上，不要求玩家使用旧卡乘系数。五行动位置、拿牌额度、筹备位、类别/厂标数量门槛没有为了“大数值”而普遍扩大。</w:t>
      </w:r>
    </w:p>
    <w:p>
      <w:pPr>
        <w:pStyle w:val="Heading2"/>
      </w:pPr>
      <w:r>
        <w:t>没有加入的东西</w:t>
      </w:r>
    </w:p>
    <w:p>
      <w:r>
        <w:t>没有固定年份轮次、额外采购拍卖、库存债务、旧手机反复销售、五厂固定阵营、真实品牌颜色映射或电子游玩功能。无纸笔定价与调校继续使用实体牌和标记。供应原有世代归属和配件份数保留。</w:t>
      </w:r>
    </w:p>
    <w:p>
      <w:pPr>
        <w:pStyle w:val="Heading2"/>
      </w:pPr>
      <w:r>
        <w:t>首测重点</w:t>
      </w:r>
    </w:p>
    <w:p>
      <w:r>
        <w:t>观察厂家前置是否存在自然入口，是否迫使玩家只追一色；五厂分别在类别和市场中的供应是否过偏；专项提出后其他玩家有没有实际争档机会。</w:t>
      </w:r>
    </w:p>
    <w:p>
      <w:r>
        <w:t>观察新科技来源在各人数下的推进速度。理论36只是合法上界空间，不要求每局走满。记录供应各代开启到游戏结束之间有多少采购、组装和发布窗口，不通过强制延长对局展示全部牌。</w:t>
      </w:r>
    </w:p>
    <w:p>
      <w:r>
        <w:t>现金变大不等于经济已平衡。记录每场制造负担、融资频率、厂系减免与科技费用组合；三种定价是否在终局仍有不同使用时机。多市场代表机收入可能加速结束，需要实际对局核验。</w:t>
      </w:r>
    </w:p>
    <w:p>
      <w:r>
        <w:t>本版程序检查仅验证数据守恒、明确的组合、结算与合法路径；不替代多人策略对局、隐藏信息行为或90—150分钟实测。具体执行过的检查列于随包《修改与校验说明》，不把情境数量称为游戏局数。</w:t>
      </w:r>
    </w:p>
    <w:p>
      <w:bookmarkStart w:id="16" w:name="ch_16"/>
      <w:pPr>
        <w:pStyle w:val="Heading1"/>
      </w:pPr>
      <w:r>
        <w:t>十六 图鉴索引与供应批次</w:t>
      </w:r>
      <w:bookmarkEnd w:id="16"/>
    </w:p>
    <w:p>
      <w:r>
        <w:t>完整图鉴逐种收录302种、374张内容牌。每个编号只展示一次，按份数打印；行动、定价和标记另计。章节按企划、科技、企业、稳定、定制、初始、J、R、目标排列。新厂标产出与门槛分栏，所有旧“类别种类”检查已独立标明。</w:t>
      </w:r>
    </w:p>
    <w:p>
      <w:pPr>
        <w:pStyle w:val="Heading2"/>
      </w:pPr>
      <w:r>
        <w:t>稳定配件供货包</w:t>
      </w:r>
    </w:p>
    <w:p>
      <w:r>
        <w:t>I代：C02、C03、C05、D01、D02、I01、I02、F01、F02。每个编号各2张。</w:t>
      </w:r>
    </w:p>
    <w:p>
      <w:r>
        <w:t>II代：C04、C06、C07、D03、D07、I03、I04、F03、F04。每个编号各2张。</w:t>
      </w:r>
    </w:p>
    <w:p>
      <w:r>
        <w:t>III代：C08、C11、C13、D04、D09、I07、I08、F07、F08。每个编号各2张。</w:t>
      </w:r>
    </w:p>
    <w:p>
      <w:r>
        <w:t>IV代：C09、C10、D05、D08、I05、I09、F05、F09。每个编号各2张。</w:t>
      </w:r>
    </w:p>
    <w:p>
      <w:r>
        <w:t>V代：C01、C12、D06、I06、F06。每个编号各2张。</w:t>
      </w:r>
    </w:p>
    <w:p>
      <w:pPr>
        <w:pStyle w:val="Heading2"/>
      </w:pPr>
      <w:r>
        <w:t>定制配件供货包</w:t>
      </w:r>
    </w:p>
    <w:p>
      <w:r>
        <w:t>I代：X01、X02、X03、X05、X06、X09、X10、X11、X13、X14、X29、X30。每个编号各2张。</w:t>
      </w:r>
    </w:p>
    <w:p>
      <w:r>
        <w:t>II代：X17、X18、X19、X20、X22、X25、X26、X27。每个编号各2张。</w:t>
      </w:r>
    </w:p>
    <w:p>
      <w:r>
        <w:t>III代：X07、X08、X15、X16、X31、X32。每个编号各2张。</w:t>
      </w:r>
    </w:p>
    <w:p>
      <w:r>
        <w:t>IV代：X12、X21、X23、X24。每个编号各2张。</w:t>
      </w:r>
    </w:p>
    <w:p>
      <w:r>
        <w:t>V代：X04、X28。每个编号各2张。</w:t>
      </w:r>
    </w:p>
    <w:p>
      <w:pPr>
        <w:pStyle w:val="Heading2"/>
      </w:pPr>
      <w:r>
        <w:t>各代实体数量</w:t>
      </w:r>
    </w:p>
    <w:tbl>
      <w:tblPr>
        <w:tblW w:type="auto" w:w="0"/>
        <w:jc w:val="center"/>
        <w:tblLayout w:type="fixed"/>
        <w:tblLook w:firstColumn="1" w:firstRow="1" w:lastColumn="0" w:lastRow="0" w:noHBand="0" w:noVBand="1" w:val="04A0"/>
        <w:tblBorders>
          <w:top w:val="single" w:sz="4" w:color="CFDAD2"/>
          <w:bottom w:val="single" w:sz="4" w:color="CFDAD2"/>
          <w:left w:val="single" w:sz="4" w:color="CFDAD2"/>
          <w:right w:val="single" w:sz="4" w:color="CFDAD2"/>
          <w:insideH w:val="single" w:sz="4" w:color="CFDAD2"/>
          <w:insideV w:val="single" w:sz="4" w:color="CFDAD2"/>
        </w:tblBorders>
      </w:tblPr>
      <w:tblGrid>
        <w:gridCol w:w="1247"/>
        <w:gridCol w:w="5216"/>
        <w:gridCol w:w="1701"/>
        <w:gridCol w:w="1701"/>
      </w:tblGrid>
      <w:tr>
        <w:trPr>
          <w:cantSplit/>
          <w:tblHeader/>
        </w:trPr>
        <w:tc>
          <w:tcPr>
            <w:tcW w:type="dxa" w:w="1247"/>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世代</w:t>
            </w:r>
          </w:p>
        </w:tc>
        <w:tc>
          <w:tcPr>
            <w:tcW w:type="dxa" w:w="5216"/>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稳定芯片／屏幕／影像／机身</w:t>
            </w:r>
          </w:p>
        </w:tc>
        <w:tc>
          <w:tcPr>
            <w:tcW w:type="dxa" w:w="1701"/>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稳定合计</w:t>
            </w:r>
          </w:p>
        </w:tc>
        <w:tc>
          <w:tcPr>
            <w:tcW w:type="dxa" w:w="1701"/>
            <w:vAlign w:val="center"/>
            <w:shd w:fill="244C42"/>
            <w:tcMar>
              <w:top w:w="85" w:type="dxa"/>
              <w:bottom w:w="85" w:type="dxa"/>
              <w:left w:w="85" w:type="dxa"/>
              <w:right w:w="85" w:type="dxa"/>
            </w:tcMar>
          </w:tcPr>
          <w:p>
            <w:pPr>
              <w:keepNext/>
              <w:spacing w:line="264" w:lineRule="auto" w:before="30" w:after="30"/>
            </w:pPr>
            <w:r>
              <w:rPr>
                <w:rFonts w:ascii="Noto Sans CJK SC" w:hAnsi="Noto Sans CJK SC" w:eastAsia="Noto Sans CJK SC"/>
                <w:b/>
                <w:color w:val="FFFFFF"/>
                <w:sz w:val="18"/>
              </w:rPr>
              <w:t>定制加入主牌</w:t>
            </w:r>
          </w:p>
        </w:tc>
      </w:tr>
      <w:tr>
        <w:trPr>
          <w:cantSplit/>
        </w:trPr>
        <w:tc>
          <w:tcPr>
            <w:tcW w:type="dxa" w:w="1247"/>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I</w:t>
            </w:r>
          </w:p>
        </w:tc>
        <w:tc>
          <w:tcPr>
            <w:tcW w:type="dxa" w:w="5216"/>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6／4／4／4</w:t>
            </w:r>
          </w:p>
        </w:tc>
        <w:tc>
          <w:tcPr>
            <w:tcW w:type="dxa" w:w="170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18</w:t>
            </w:r>
          </w:p>
        </w:tc>
        <w:tc>
          <w:tcPr>
            <w:tcW w:type="dxa" w:w="170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24</w:t>
            </w:r>
          </w:p>
        </w:tc>
      </w:tr>
      <w:tr>
        <w:trPr>
          <w:cantSplit/>
        </w:trPr>
        <w:tc>
          <w:tcPr>
            <w:tcW w:type="dxa" w:w="1247"/>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II</w:t>
            </w:r>
          </w:p>
        </w:tc>
        <w:tc>
          <w:tcPr>
            <w:tcW w:type="dxa" w:w="5216"/>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6／4／4／4</w:t>
            </w:r>
          </w:p>
        </w:tc>
        <w:tc>
          <w:tcPr>
            <w:tcW w:type="dxa" w:w="1701"/>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18</w:t>
            </w:r>
          </w:p>
        </w:tc>
        <w:tc>
          <w:tcPr>
            <w:tcW w:type="dxa" w:w="1701"/>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16</w:t>
            </w:r>
          </w:p>
        </w:tc>
      </w:tr>
      <w:tr>
        <w:trPr>
          <w:cantSplit/>
        </w:trPr>
        <w:tc>
          <w:tcPr>
            <w:tcW w:type="dxa" w:w="1247"/>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III</w:t>
            </w:r>
          </w:p>
        </w:tc>
        <w:tc>
          <w:tcPr>
            <w:tcW w:type="dxa" w:w="5216"/>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6／4／4／4</w:t>
            </w:r>
          </w:p>
        </w:tc>
        <w:tc>
          <w:tcPr>
            <w:tcW w:type="dxa" w:w="170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18</w:t>
            </w:r>
          </w:p>
        </w:tc>
        <w:tc>
          <w:tcPr>
            <w:tcW w:type="dxa" w:w="170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12</w:t>
            </w:r>
          </w:p>
        </w:tc>
      </w:tr>
      <w:tr>
        <w:trPr>
          <w:cantSplit/>
        </w:trPr>
        <w:tc>
          <w:tcPr>
            <w:tcW w:type="dxa" w:w="1247"/>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IV</w:t>
            </w:r>
          </w:p>
        </w:tc>
        <w:tc>
          <w:tcPr>
            <w:tcW w:type="dxa" w:w="5216"/>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4／4／4／4</w:t>
            </w:r>
          </w:p>
        </w:tc>
        <w:tc>
          <w:tcPr>
            <w:tcW w:type="dxa" w:w="1701"/>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16</w:t>
            </w:r>
          </w:p>
        </w:tc>
        <w:tc>
          <w:tcPr>
            <w:tcW w:type="dxa" w:w="1701"/>
            <w:vAlign w:val="center"/>
            <w:shd w:fill="F2F5F1"/>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8</w:t>
            </w:r>
          </w:p>
        </w:tc>
      </w:tr>
      <w:tr>
        <w:trPr>
          <w:cantSplit/>
        </w:trPr>
        <w:tc>
          <w:tcPr>
            <w:tcW w:type="dxa" w:w="1247"/>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V</w:t>
            </w:r>
          </w:p>
        </w:tc>
        <w:tc>
          <w:tcPr>
            <w:tcW w:type="dxa" w:w="5216"/>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4／2／2／2</w:t>
            </w:r>
          </w:p>
        </w:tc>
        <w:tc>
          <w:tcPr>
            <w:tcW w:type="dxa" w:w="170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10</w:t>
            </w:r>
          </w:p>
        </w:tc>
        <w:tc>
          <w:tcPr>
            <w:tcW w:type="dxa" w:w="1701"/>
            <w:vAlign w:val="center"/>
            <w:shd w:fill="FFFFFF"/>
            <w:tcMar>
              <w:top w:w="85" w:type="dxa"/>
              <w:bottom w:w="85" w:type="dxa"/>
              <w:left w:w="85" w:type="dxa"/>
              <w:right w:w="85" w:type="dxa"/>
            </w:tcMar>
          </w:tcPr>
          <w:p>
            <w:pPr>
              <w:spacing w:line="264" w:lineRule="auto" w:before="30" w:after="30"/>
            </w:pPr>
            <w:r>
              <w:rPr>
                <w:rFonts w:ascii="Noto Serif CJK SC" w:hAnsi="Noto Serif CJK SC" w:eastAsia="Noto Serif CJK SC"/>
                <w:b w:val="0"/>
                <w:color w:val="263831"/>
                <w:sz w:val="18"/>
              </w:rPr>
              <w:t>4</w:t>
            </w:r>
          </w:p>
        </w:tc>
      </w:tr>
    </w:tbl>
    <w:p>
      <w:pPr>
        <w:spacing w:after="40" w:line="40" w:lineRule="exact" w:before="0"/>
      </w:pPr>
    </w:p>
    <w:p>
      <w:r>
        <w:t>所有R、全部科技和企业从开局进入主牌，不按厂家再分五个抽牌堆。无厂标的通用技术依旧可用于所有厂系。厂系卡牌分布与全部厂标门槛清单另附修改说明，游玩以卡面直接查条件。</w:t>
      </w:r>
    </w:p>
    <w:p>
      <w:bookmarkStart w:id="17" w:name="ch_17"/>
      <w:pPr>
        <w:pStyle w:val="Heading1"/>
      </w:pPr>
      <w:r>
        <w:t>十七 设计参考与资料边界</w:t>
      </w:r>
      <w:bookmarkEnd w:id="17"/>
    </w:p>
    <w:p>
      <w:r>
        <w:t>规则底稿是已交付4.8数据、完整正文和版图；5.0新增厂系和数值是本次设计。官方参考仅用于比较机制结构，不意味着《旗舰元年》直接采用《方舟动物园》的完整规则。</w:t>
      </w:r>
    </w:p>
    <w:p>
      <w:r>
        <w:t>《方舟动物园》官方德文规则说明了伙伴动物园的图标/费用作用、从手牌提出并立即支持保护项目，以及升级协会行动后完成工作并额外捐赠的保护点来源；官方词汇表204和206展示了由新图标或收入阶段触发保护点的不同方式。这里只借鉴“多来源＋前置投入”，没有复制动物图案、整段规则或无条件休整得科技。[参考A、B]</w:t>
      </w:r>
    </w:p>
    <w:p>
      <w:r>
        <w:t>本游戏的R专项额外6现金、基础研究18/24现金和必须发布新机的T39/T41，均为适配手机经营的新设计，不是《方舟动物园》原规则数值。厂家颜色及几何标志也是本版虚构设定。</w:t>
      </w:r>
    </w:p>
    <w:p>
      <w:r>
        <w:t>真实芯片名称与4.7/4.8存档资料索引保留。所有制造费、功耗、吸引力、兼容规则、科技门槛和厂系关系都是桌游抽象，不是现实采购报价、跑分、功耗瓦数或厂家授权。本轮没有重新核验全部真实芯片网页，不能把旧存档称为最新硬件研究。</w:t>
      </w:r>
    </w:p>
    <w:p>
      <w:r>
        <w:t>参考A：Feuerland Spiele，《Arche Nova》官方规则，德文V2.0，印刷第7、15、16页。网页核对：2026年9月20日。</w:t>
      </w:r>
    </w:p>
    <w:p>
      <w:hyperlink r:id="rId16">
        <w:r>
          <w:rPr>
            <w:color w:val="244C42"/>
            <w:rFonts w:ascii="Noto Sans CJK SC" w:hAnsi="Noto Sans CJK SC" w:eastAsia="Noto Sans CJK SC"/>
          </w:rPr>
          <w:t>打开出版社官方参考文件</w:t>
        </w:r>
      </w:hyperlink>
    </w:p>
    <w:p>
      <w:r>
        <w:t>参考B：Feuerland Spiele，《Arche Nova》官方词汇表，2022-10版本，第4页204/206。网页核对：2026年9月20日。</w:t>
      </w:r>
    </w:p>
    <w:p>
      <w:hyperlink r:id="rId17">
        <w:r>
          <w:rPr>
            <w:color w:val="244C42"/>
            <w:rFonts w:ascii="Noto Sans CJK SC" w:hAnsi="Noto Sans CJK SC" w:eastAsia="Noto Sans CJK SC"/>
          </w:rPr>
          <w:t>打开出版社官方参考文件</w:t>
        </w:r>
      </w:hyperlink>
    </w:p>
    <w:sectPr w:rsidR="00FC693F" w:rsidRPr="0006063C" w:rsidSect="00034616">
      <w:headerReference w:type="default" r:id="rId9"/>
      <w:footerReference w:type="default" r:id="rId10"/>
      <w:pgSz w:w="11906" w:h="16838"/>
      <w:pgMar w:top="1077" w:right="1020" w:bottom="964"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244C42"/>
        <w:sz w:val="16"/>
      </w:rPr>
      <w:t xml:space="preserve">旗舰元年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Pr>
        <w:rFonts w:ascii="Noto Sans CJK SC" w:hAnsi="Noto Sans CJK SC" w:eastAsia="Noto Sans CJK SC"/>
        <w:color w:val="244C42"/>
        <w:sz w:val="16"/>
      </w:rPr>
      <w:t>旗舰元年  /  完整规则书</w:t>
    </w:r>
    <w:r>
      <w:rPr>
        <w:rFonts w:ascii="Noto Sans CJK SC" w:hAnsi="Noto Sans CJK SC" w:eastAsia="Noto Sans CJK SC"/>
        <w:color w:val="A47E45"/>
        <w:sz w:val="16"/>
      </w:rPr>
      <w:tab/>
      <w:t>5.0  综合测试版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00"/>
    </w:pPr>
    <w:rPr>
      <w:rFonts w:ascii="Noto Serif CJK SC" w:hAnsi="Noto Serif CJK SC" w:eastAsia="Noto Serif CJK SC"/>
      <w:b w:val="0"/>
      <w:color w:val="2638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line="278" w:lineRule="auto"/>
      <w:outlineLvl w:val="0"/>
    </w:pPr>
    <w:rPr>
      <w:rFonts w:asciiTheme="majorHAnsi" w:eastAsiaTheme="majorEastAsia" w:hAnsiTheme="majorHAnsi" w:cstheme="majorBidi" w:ascii="Noto Sans CJK SC" w:hAnsi="Noto Sans CJK SC" w:eastAsia="Noto Sans CJK SC"/>
      <w:b/>
      <w:bCs/>
      <w:color w:val="244C42"/>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78" w:lineRule="auto"/>
      <w:outlineLvl w:val="1"/>
    </w:pPr>
    <w:rPr>
      <w:rFonts w:asciiTheme="majorHAnsi" w:eastAsiaTheme="majorEastAsia" w:hAnsiTheme="majorHAnsi" w:cstheme="majorBidi" w:ascii="Noto Sans CJK SC" w:hAnsi="Noto Sans CJK SC" w:eastAsia="Noto Sans CJK SC"/>
      <w:b/>
      <w:bCs/>
      <w:color w:val="244C4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78" w:lineRule="auto"/>
      <w:contextualSpacing/>
    </w:pPr>
    <w:rPr>
      <w:rFonts w:asciiTheme="majorHAnsi" w:eastAsiaTheme="majorEastAsia" w:hAnsiTheme="majorHAnsi" w:cstheme="majorBidi" w:ascii="Noto Sans CJK SC" w:hAnsi="Noto Sans CJK SC" w:eastAsia="Noto Sans CJK SC"/>
      <w:b/>
      <w:color w:val="244C42"/>
      <w:spacing w:val="5"/>
      <w:kern w:val="28"/>
      <w:sz w:val="8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8" w:lineRule="auto" w:after="100"/>
    </w:pPr>
    <w:rPr>
      <w:rFonts w:asciiTheme="majorHAnsi" w:eastAsiaTheme="majorEastAsia" w:hAnsiTheme="majorHAnsi" w:cstheme="majorBidi" w:ascii="Noto Sans CJK SC" w:hAnsi="Noto Sans CJK SC" w:eastAsia="Noto Sans CJK SC"/>
      <w:b w:val="0"/>
      <w:i w:val="0"/>
      <w:iCs/>
      <w:color w:val="A47E4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feuerland-spiele.de/fileadmin/game/Arche_Nova/AN_Rules_DE_V2_0_Web.pdf" TargetMode="External"/><Relationship Id="rId17" Type="http://schemas.openxmlformats.org/officeDocument/2006/relationships/hyperlink" Target="https://www.feuerland-spiele.de/fileadmin/game/Arche_Nova/AN_Glossar_DE_22_10_We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旗舰元年 5.0 完整规则书</dc:title>
  <dc:subject>五厂标签、大数值、多源科技与36格双轨；从4.8延续</dc:subject>
  <dc:creator/>
  <cp:keywords>桌游,旗舰元年,5.0,测试版</cp:keywords>
  <dc:description>generated by python-docx</dc:description>
  <cp:lastModifiedBy/>
  <cp:revision>1</cp:revision>
  <dcterms:created xsi:type="dcterms:W3CDTF">2013-12-23T23:15:00Z</dcterms:created>
  <dcterms:modified xsi:type="dcterms:W3CDTF">2013-12-23T23:15:00Z</dcterms:modified>
  <cp:category/>
</cp:coreProperties>
</file>