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FLAGSHIP ERA   /   6.0</w:t>
      </w:r>
    </w:p>
    <w:p>
      <w:pPr>
        <w:pStyle w:val="Title"/>
      </w:pPr>
      <w:r>
        <w:t>旗舰元年</w:t>
      </w:r>
    </w:p>
    <w:p>
      <w:pPr>
        <w:pStyle w:val="Title"/>
      </w:pPr>
      <w:r>
        <w:t>设计规划书</w:t>
      </w:r>
    </w:p>
    <w:p>
      <w:pPr>
        <w:pStyle w:val="Subtitle"/>
      </w:pPr>
      <w:r>
        <w:t>结构重构 · 两条主线 · 随机竞品</w:t>
      </w:r>
    </w:p>
    <w:p>
      <w:r>
        <w:br/>
      </w:r>
    </w:p>
    <w:p>
      <w:r>
        <w:rPr>
          <w:sz w:val="34"/>
        </w:rPr>
        <w:t>产品先有库存，市场才有成交。</w:t>
        <w:br/>
        <w:t>发布会何时发生，由玩家决定。</w:t>
      </w:r>
    </w:p>
    <w:p>
      <w:r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288"/>
            <w:shd w:fill="EAF1F2"/>
          </w:tcPr>
          <w:p>
            <w:r>
              <w:rPr>
                <w:b/>
              </w:rPr>
              <w:t>两条主线</w:t>
            </w:r>
          </w:p>
          <w:p>
            <w:r>
              <w:t>收入 / 科技</w:t>
              <w:br/>
              <w:t>选择较强的一条</w:t>
            </w:r>
          </w:p>
        </w:tc>
        <w:tc>
          <w:tcPr>
            <w:tcW w:type="dxa" w:w="3288"/>
            <w:shd w:fill="EAF1F2"/>
          </w:tcPr>
          <w:p>
            <w:r>
              <w:rPr>
                <w:b/>
              </w:rPr>
              <w:t>开放发布</w:t>
            </w:r>
          </w:p>
          <w:p>
            <w:r>
              <w:t>没有固定回合数</w:t>
              <w:br/>
              <w:t>预热控制交易窗口</w:t>
            </w:r>
          </w:p>
        </w:tc>
        <w:tc>
          <w:tcPr>
            <w:tcW w:type="dxa" w:w="3288"/>
            <w:shd w:fill="EAF1F2"/>
          </w:tcPr>
          <w:p>
            <w:r>
              <w:rPr>
                <w:b/>
              </w:rPr>
              <w:t>完整内容</w:t>
            </w:r>
          </w:p>
          <w:p>
            <w:r>
              <w:t>243种设计</w:t>
              <w:br/>
              <w:t>315张内容牌</w:t>
            </w:r>
          </w:p>
        </w:tc>
      </w:tr>
    </w:tbl>
    <w:p>
      <w:r>
        <w:br/>
      </w:r>
    </w:p>
    <w:p>
      <w:r>
        <w:t>2026年9月21日 · 测试设计，尚未完成充分多人实测。</w:t>
      </w:r>
    </w:p>
    <w:p>
      <w:r>
        <w:t>供应资格与生产成本分开；真实库存与零售投放分开；参考机提前公开；低强度少奖，高强度多奖。</w:t>
      </w:r>
    </w:p>
    <w:p>
      <w:r>
        <w:br w:type="page"/>
      </w:r>
    </w:p>
    <w:p>
      <w:r>
        <w:t>产品平台与开放市场 · 从5.3结构重构 · 2026年9月21日</w:t>
      </w:r>
    </w:p>
    <w:p>
      <w:pPr>
        <w:pStyle w:val="Heading1"/>
      </w:pPr>
      <w:r>
        <w:t>01 这次的设计目标</w:t>
      </w:r>
    </w:p>
    <w:p>
      <w:r>
        <w:t>把主要决策从“取得企划、满足图标条件、推进双轨”转成“买哪种供货、研发哪种平台、生产多少、如何投放有限订单”。保留收入与科技两条可选择的主线，不强迫研究型公司先完成大量销量，也不让商业型公司必须凑科技才能赢。</w:t>
      </w:r>
    </w:p>
    <w:p>
      <w:r>
        <w:t>用户最后补充的两点是本版硬条件：共同发布由玩家推动，绝不固定全桌轮数结算；参考机从多种机型随机抽取，提前公开，强参考格的挑战奖更大，弱格少奖或无奖。这里的“发布周期”仅指两次真实发布之间，不是预定轮数。</w:t>
      </w:r>
    </w:p>
    <w:p>
      <w:pPr>
        <w:pStyle w:val="Heading1"/>
      </w:pPr>
      <w:r>
        <w:t>02 架构取舍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607"/>
        <w:gridCol w:w="5442"/>
      </w:tblGrid>
      <w:tr>
        <w:trPr>
          <w:cantSplit/>
          <w:tblHeader/>
        </w:trPr>
        <w:tc>
          <w:tcPr>
            <w:tcW w:type="dxa" w:w="1814"/>
            <w:vAlign w:val="center"/>
            <w:shd w:fill="DCECE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5.3结构</w:t>
            </w:r>
          </w:p>
        </w:tc>
        <w:tc>
          <w:tcPr>
            <w:tcW w:type="dxa" w:w="2608"/>
            <w:vAlign w:val="center"/>
            <w:shd w:fill="DCECE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6.0处理</w:t>
            </w:r>
          </w:p>
        </w:tc>
        <w:tc>
          <w:tcPr>
            <w:tcW w:type="dxa" w:w="5443"/>
            <w:vAlign w:val="center"/>
            <w:shd w:fill="DCECE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解决的问题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五行动卡1—5位轮转</w:t>
            </w:r>
          </w:p>
        </w:tc>
        <w:tc>
          <w:tcPr>
            <w:tcW w:type="dxa" w:w="26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每本人回合3工作点，自主分配</w:t>
            </w:r>
          </w:p>
        </w:tc>
        <w:tc>
          <w:tcPr>
            <w:tcW w:type="dxa" w:w="544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重心从行动卡冷却移到工程投入与经营排期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双轨交会，收入和科技相加</w:t>
            </w:r>
          </w:p>
        </w:tc>
        <w:tc>
          <w:tcPr>
            <w:tcW w:type="dxa" w:w="2608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任一主线达门槛结束；取两主线较高成绩</w:t>
            </w:r>
          </w:p>
        </w:tc>
        <w:tc>
          <w:tcPr>
            <w:tcW w:type="dxa" w:w="5443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允许两条主线各自成局，不用同一交会跑分结构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企划是造机许可，达线发印刷收入</w:t>
            </w:r>
          </w:p>
        </w:tc>
        <w:tc>
          <w:tcPr>
            <w:tcW w:type="dxa" w:w="26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直接用配件造机；Q方案可选，收入来自真实成交</w:t>
            </w:r>
          </w:p>
        </w:tc>
        <w:tc>
          <w:tcPr>
            <w:tcW w:type="dxa" w:w="544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不因没抽到某企划而不能造某类产品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稳定件每场免费回库、旧机只存一个数字</w:t>
            </w:r>
          </w:p>
        </w:tc>
        <w:tc>
          <w:tcPr>
            <w:tcW w:type="dxa" w:w="2608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部件与部署持续占用型号；库存真实付费</w:t>
            </w:r>
          </w:p>
        </w:tc>
        <w:tc>
          <w:tcPr>
            <w:tcW w:type="dxa" w:w="5443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不再让旧型号免费复制产能或原配件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每公司每市场只取一个代表</w:t>
            </w:r>
          </w:p>
        </w:tc>
        <w:tc>
          <w:tcPr>
            <w:tcW w:type="dxa" w:w="26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所有投放型号都能成交，批次有限</w:t>
            </w:r>
          </w:p>
        </w:tc>
        <w:tc>
          <w:tcPr>
            <w:tcW w:type="dxa" w:w="544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产生自家产品分流与跨市场配货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集图标占档、秘密终局目标</w:t>
            </w:r>
          </w:p>
        </w:tc>
        <w:tc>
          <w:tcPr>
            <w:tcW w:type="dxa" w:w="2608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有工期的研发、有限期合同和设施投资</w:t>
            </w:r>
          </w:p>
        </w:tc>
        <w:tc>
          <w:tcPr>
            <w:tcW w:type="dxa" w:w="5443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成长由工程证据与履约产生，不靠纯收集目录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无条件正常回款</w:t>
            </w:r>
          </w:p>
        </w:tc>
        <w:tc>
          <w:tcPr>
            <w:tcW w:type="dxa" w:w="26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删除；现金来自实际销售、合同与服务</w:t>
            </w:r>
          </w:p>
        </w:tc>
        <w:tc>
          <w:tcPr>
            <w:tcW w:type="dxa" w:w="544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不能只让别人开发布就自动得到经营资金</w:t>
            </w:r>
          </w:p>
        </w:tc>
      </w:tr>
    </w:tbl>
    <w:p>
      <w:pPr>
        <w:spacing w:after="20"/>
      </w:pPr>
    </w:p>
    <w:p>
      <w:r>
        <w:t>保留的是手机产业题材、部件组合、功耗和结构、五厂视觉资产、公开抢供货、秘密价格与共同发布。243种设计不是按旧315张左右倒推的额度，而是按本版所需内容汇总；5.x卡面不能混用。</w:t>
      </w:r>
    </w:p>
    <w:p>
      <w:pPr>
        <w:pStyle w:val="Heading1"/>
      </w:pPr>
      <w:r>
        <w:t>03 两条主线为什么这样计分</w:t>
      </w:r>
    </w:p>
    <w:p>
      <w:r>
        <w:t>本版选择“取高值”而不是“把收入科技两项都加分”。收入门槛60，科技门槛30，科技计企业成绩时乘2，仅用于统一两条路线的计分尺度。这不是旧的收入加固定科技倍数触发，也不是双轨相遇的隐藏公式。</w:t>
      </w:r>
    </w:p>
    <w:p>
      <w:r>
        <w:t>收入路线需要足量、能赚钱且真正售出的库存。研发路线需要资金、工期与完成证据。跨线投资主要为了经营能力，而不是为了同时收两遍主线分。较小一项只作第一平分判据，现金仅作更后面的平分判据。</w:t>
      </w:r>
    </w:p>
    <w:p>
      <w:r>
        <w:t>这是本轮的设计选择，不是用户给定的数值。门槛60/30、工作点3及研发产出仍须实测。如果科技路线明显更快，应先调整研发工期/费用/证据或挑战奖，而不是悄悄把计分改回相加。</w:t>
      </w:r>
    </w:p>
    <w:p>
      <w:r>
        <w:t>纯研究公司的现金有技术服务与验证合同两条非销量入口；样机证据也不要求售出。因此“可选主线”不是嘴上说科技可行，实际必须先铺三市场才能研究。</w:t>
      </w:r>
    </w:p>
    <w:p>
      <w:pPr>
        <w:pStyle w:val="Heading1"/>
      </w:pPr>
      <w:r>
        <w:t>04 共同发布是玩家争夺的时间资源</w:t>
      </w:r>
    </w:p>
    <w:p>
      <w:r>
        <w:t>每个本人回合可用一个工作点预热推进1—3格，不能反复在同回合用全部工作点直接跳满。除预热外没有通用自动推进。有人备好了货，就有动力催开；有人需要项目最后一点进度，则会选择晚开。</w:t>
      </w:r>
    </w:p>
    <w:p>
      <w:r>
        <w:t>到顶等当前玩家工作结束立刻发布，不给其他人补生产回合。新结构允许当前玩家先预热再用本回合余下工作，也明确这是他的已知时间优势；它不是发布揭晓以后再额外组装。</w:t>
      </w:r>
    </w:p>
    <w:p>
      <w:r>
        <w:t>玩家收入60或科技30控制整局终点，发布轨控制中间交易窗口，供货世代控制可用资源，两者不能代替彼此。不要求每局必须进入V代，也不要求发布固定次数。</w:t>
      </w:r>
    </w:p>
    <w:p>
      <w:r>
        <w:t>需要观察的风险：大家都能靠服务拿现金，是否会长时间不愿推进；持有强科技的玩家是否利用低销量环境直接结束。首测先记录预热者与动机，不加入每轮自动推进来掩盖问题。</w:t>
      </w:r>
    </w:p>
    <w:p>
      <w:pPr>
        <w:pStyle w:val="Heading1"/>
      </w:pPr>
      <w:r>
        <w:t>05 参考机的随机性放在准备期，不放在结算时</w:t>
      </w:r>
    </w:p>
    <w:p>
      <w:r>
        <w:t>每代有六种定位，一场只抽一张全桌共用参考机，四个市场参数写在一张卡上。不是给每个市场各加一个可行动机器人，也不是固定同代所有市场一样高。</w:t>
      </w:r>
    </w:p>
    <w:p>
      <w:r>
        <w:t>例如II代电竞性能机：大众11、电竞18、摄影10、商务11。摄影弱项无奖；电竞18是2星。可以转市场避开强项，却拿不到强项的大额挑战奖。这避免了“击败这张竞品任意弱项，就领整张卡最高奖励”的错误激励。</w:t>
      </w:r>
    </w:p>
    <w:p>
      <w:r>
        <w:t>奖励完全由被挑战那一格的数值分档：至多10无奖，11—16为1星，17—24为2星，25以上3星。每星可取2收入或1科技。每公司每场最多一次，且必须严格胜出并有真实零售成交。并列虽然真人先拿订单，也不拿挑战奖。</w:t>
      </w:r>
    </w:p>
    <w:p>
      <w:r>
        <w:t>科技奖励另要求首发、已部署研发。这保证强技术可以通过真实产品验证得到成果，又不让同一旧机低价甩卖每场刷技术。参考机总量是每市场最多1订单，目的是给无人进入的市场一个有限竞争压力，不能当成真人互动已经足够的证据。</w:t>
      </w:r>
    </w:p>
    <w:p>
      <w:r>
        <w:t>供货换代时不临时换参考机。否则研发玩家完成项目推动供货后，可能在同回合突然拔高对手，破坏已经可预判的发布筹备。新参考机只在实际发布后抽。</w:t>
      </w:r>
    </w:p>
    <w:p>
      <w:pPr>
        <w:pStyle w:val="Heading1"/>
      </w:pPr>
      <w:r>
        <w:t>06 多样化卡牌如何融入核心循环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607"/>
        <w:gridCol w:w="5442"/>
      </w:tblGrid>
      <w:tr>
        <w:trPr>
          <w:cantSplit/>
          <w:tblHeader/>
        </w:trPr>
        <w:tc>
          <w:tcPr>
            <w:tcW w:type="dxa" w:w="1814"/>
            <w:vAlign w:val="center"/>
            <w:shd w:fill="DCECE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type="dxa" w:w="2608"/>
            <w:vAlign w:val="center"/>
            <w:shd w:fill="DCECE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决策作用</w:t>
            </w:r>
          </w:p>
        </w:tc>
        <w:tc>
          <w:tcPr>
            <w:tcW w:type="dxa" w:w="5443"/>
            <w:vAlign w:val="center"/>
            <w:shd w:fill="DCECE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/>
                <w:sz w:val="18"/>
              </w:rPr>
              <w:t>不再承担的任务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稳定供货</w:t>
            </w:r>
          </w:p>
        </w:tc>
        <w:tc>
          <w:tcPr>
            <w:tcW w:type="dxa" w:w="26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可重复生产的部件资格、芯片平台配额与代差成本</w:t>
            </w:r>
          </w:p>
        </w:tc>
        <w:tc>
          <w:tcPr>
            <w:tcW w:type="dxa" w:w="544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不自动送一批库存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定制整合</w:t>
            </w:r>
          </w:p>
        </w:tc>
        <w:tc>
          <w:tcPr>
            <w:tcW w:type="dxa" w:w="2608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用一张整合方案压缩选件，同时提供特殊接口</w:t>
            </w:r>
          </w:p>
        </w:tc>
        <w:tc>
          <w:tcPr>
            <w:tcW w:type="dxa" w:w="5443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不只是用完丢掉的高数值牌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可选产品方案Q</w:t>
            </w:r>
          </w:p>
        </w:tc>
        <w:tc>
          <w:tcPr>
            <w:tcW w:type="dxa" w:w="26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转变目标客户、价格许可、批量或验证方法</w:t>
            </w:r>
          </w:p>
        </w:tc>
        <w:tc>
          <w:tcPr>
            <w:tcW w:type="dxa" w:w="544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不作为每台手机的必需许可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研发T</w:t>
            </w:r>
          </w:p>
        </w:tc>
        <w:tc>
          <w:tcPr>
            <w:tcW w:type="dxa" w:w="2608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投入工期、出示证据、取得成果或工程权限</w:t>
            </w:r>
          </w:p>
        </w:tc>
        <w:tc>
          <w:tcPr>
            <w:tcW w:type="dxa" w:w="5443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不全是付款即全公司加数字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合同H</w:t>
            </w:r>
          </w:p>
        </w:tc>
        <w:tc>
          <w:tcPr>
            <w:tcW w:type="dxa" w:w="26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确定订单、临时保供、研究委托与渠道窗口</w:t>
            </w:r>
          </w:p>
        </w:tc>
        <w:tc>
          <w:tcPr>
            <w:tcW w:type="dxa" w:w="544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不永久收集颜色堆经营加成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设施U</w:t>
            </w:r>
          </w:p>
        </w:tc>
        <w:tc>
          <w:tcPr>
            <w:tcW w:type="dxa" w:w="2608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投资产线、实验室、仓储和组织空间</w:t>
            </w:r>
          </w:p>
        </w:tc>
        <w:tc>
          <w:tcPr>
            <w:tcW w:type="dxa" w:w="5443"/>
            <w:vAlign w:val="center"/>
            <w:shd w:fill="F3F6F7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不给基本造机制造场馆拼图门槛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需求N与参考V</w:t>
            </w:r>
          </w:p>
        </w:tc>
        <w:tc>
          <w:tcPr>
            <w:tcW w:type="dxa" w:w="2608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公开本期环境和有差异的竞品</w:t>
            </w:r>
          </w:p>
        </w:tc>
        <w:tc>
          <w:tcPr>
            <w:tcW w:type="dxa" w:w="5443"/>
            <w:vAlign w:val="center"/>
            <w:shd w:fill="FFFFFF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sz w:val="18"/>
              </w:rPr>
              <w:t>不在锁价后随机处罚玩家</w:t>
            </w:r>
          </w:p>
        </w:tc>
      </w:tr>
    </w:tbl>
    <w:p>
      <w:pPr>
        <w:spacing w:after="20"/>
      </w:pPr>
    </w:p>
    <w:p>
      <w:r>
        <w:t>几条联动不是通用关键词连锁，而是改变同一个经营过程：</w:t>
      </w:r>
    </w:p>
    <w:p>
      <w:r>
        <w:t>T37共用芯片＋Q05双版本平台＋H16主板保供，会扩大同芯片供给，但两款产品仍争同一个配额和真实订单。U13仓储给你留旧库存的空间，却不会帮库存自动成交。H29清仓出口能回笼现金，却没有收入点。</w:t>
      </w:r>
    </w:p>
    <w:p>
      <w:r>
        <w:t>U05影像实验室＋H22影像验证，降低该方向的工期压力并补研究资金；T26让中端平台安装高级影像，之后Q06允许用较低整机基础分尝试48售价。市场预算不够时，再好的组合也卖不出去。</w:t>
      </w:r>
    </w:p>
    <w:p>
      <w:r>
        <w:t>T41允许把一批实际生态销售的全部收入换成1科技。它提供路线交叉，而不是现金、收入、科技全领。U17奖励实际三市场零售成交，参考机、合同和回收不凑数。</w:t>
      </w:r>
    </w:p>
    <w:p>
      <w:pPr>
        <w:pStyle w:val="Heading1"/>
      </w:pPr>
      <w:r>
        <w:t>07 复杂度控制与保留的抽象</w:t>
      </w:r>
    </w:p>
    <w:p>
      <w:r>
        <w:t>只记录芯片平台配额，不给四类零件分别做库存数量台账。批次库存归属于型号，不逐台追踪序列号。固定四个型号位、两个在研、两个合同和三个设施空间，设施能有条件放宽后面三项。</w:t>
      </w:r>
    </w:p>
    <w:p>
      <w:r>
        <w:t>产品特征仍使用六个容易识别的词，但从真实部件与供电推导，不再统计公司累积了几张性能图标。五厂只表示当前合同伙伴，多厂合作合法，不恢复固定阵营。</w:t>
      </w:r>
    </w:p>
    <w:p>
      <w:r>
        <w:t>保留一项通用基础竞争力，加入偏好、价格与年龄；没有恢复原版五维系数乘法与多档客流递推。每一批先生产、再成交，利润表现为真实现金收支，不在每次发布里再算“成本返还＋客流乘毛利”。</w:t>
      </w:r>
    </w:p>
    <w:p>
      <w:r>
        <w:t>取牌区仍较多，这是多样化供应与商机的代价。未开放资源必须分包；牌面用取得成本、生产成本、工期、订单数量等独立字段，不能把同一个现金数字同时解释成所有费用。</w:t>
      </w:r>
    </w:p>
    <w:p>
      <w:pPr>
        <w:pStyle w:val="Heading1"/>
      </w:pPr>
      <w:r>
        <w:t>08 从5.3迁移的内容与资料边界</w:t>
      </w:r>
    </w:p>
    <w:p>
      <w:r>
        <w:t>保留88种部件/初始卡的编号、名称、实体份数及供应代；每批成本改为原5.3成本除以3向上取整，规格封顶10，功耗/供电沿用旧字段作为抽象初值，再重写全部生命周期与特性。逐卡见新JSON。这样不把真实芯片型号当成已经核验的现实性能或日期。</w:t>
      </w:r>
    </w:p>
    <w:p>
      <w:r>
        <w:t>T01—T41保留题材与编号，全部改写为工期项目、证据和部署/工艺。原96张P强制企划、41张B永久企业、J/R项目、O秘密目标作为旧规则卡族退役；其部分主题由24张Q、30张H、18张U重新设计，不声称旧效果逐项保留。新V/N各30/12张。</w:t>
      </w:r>
    </w:p>
    <w:p>
      <w:r>
        <w:t>原版依据来自用户《旗舰元年》完整规则说明书中的供货博弈、单机研发配置、有限客流、售价与生产成本、库存清理。版本6.0并未照搬原版固定五年、五阶段、最大资金获胜或全部年份参数。</w:t>
      </w:r>
    </w:p>
    <w:p>
      <w:r>
        <w:t>没有修改旧5.3交付物，也没有把新规则写进仓库旧5.0归档。本轮是否远程上传须以实际操作结果为准，单独的本地导出不代表GitHub已更新。</w:t>
      </w:r>
    </w:p>
    <w:p>
      <w:pPr>
        <w:pStyle w:val="Heading1"/>
      </w:pPr>
      <w:r>
        <w:t>09 首测安排与判定标准</w:t>
      </w:r>
    </w:p>
    <w:p>
      <w:r>
        <w:t>先做2人对局，因为最容易看出同市场缺乏争夺或参考机过强。再做3/4人以观察发布结算时间。使用完整牌库，但不要预期一局看到全部卡。</w:t>
      </w:r>
    </w:p>
    <w:p>
      <w:r>
        <w:t>记录每次发布的数量而不是只记最终名次：各型号生产批数、合同留量、四市场投放、实际零售成交、参考拿走订单、无人购买库存、价格选择与挑战收入/科技。还要记录每公司工作点用于生产、科研、服务、取牌和预热的比例。</w:t>
      </w:r>
    </w:p>
    <w:p>
      <w:r>
        <w:t>重点问题：是否真的出现两个玩家争同一份订单；是否因参考机定位改变备货；降低价格是否能改变成交，而不是永远选最高价；研究路线是否能自行维持现金；共享平台是否迫使有意义的产品取舍；临时渠道合同是否具有可预测的使用窗口。</w:t>
      </w:r>
    </w:p>
    <w:p>
      <w:r>
        <w:t>发现问题优先调整一个变量：订单量、参考容量、价格竞争修正、生产配额、工期或门槛。不要同时增加工作点、补钱、降低全部预算门槛和加分，以免无法判断根因。</w:t>
      </w:r>
    </w:p>
    <w:p>
      <w:r>
        <w:t>程序验证只覆盖明确模型与构造性局面：订单守恒、库存不复用、同分、预算、参考奖励一次性、收入/科技选高、供货用量不靠退市复位等。没有完整隐藏信息策略代理、所有243卡交互穷举、实测胜率或真实时长结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454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旗舰元年  ·  6.0  /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5747B"/>
        <w:sz w:val="16"/>
      </w:rPr>
      <w:t>旗舰元年 / 设计规划书                                      6.0 结构重构首测版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8" w:lineRule="auto"/>
    </w:pPr>
    <w:rPr>
      <w:rFonts w:ascii="Noto Serif CJK SC" w:hAnsi="Noto Serif CJK SC" w:eastAsia="Noto Serif CJK S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60" w:after="120" w:line="27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26B7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 w:line="27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26B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20" w:line="278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120" w:line="278" w:lineRule="auto"/>
    </w:pPr>
    <w:rPr>
      <w:rFonts w:asciiTheme="majorHAnsi" w:eastAsiaTheme="majorEastAsia" w:hAnsiTheme="majorHAnsi" w:cstheme="majorBidi" w:ascii="Noto Serif CJK SC" w:hAnsi="Noto Serif CJK SC" w:eastAsia="Noto Serif CJK SC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旗舰元年6.0 设计规划书</dc:title>
  <dc:subject>产品平台、收入与科技、玩家推动发布、随机参考机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