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7.0 双行排程设计规划</w:t>
      </w:r>
    </w:p>
    <w:p>
      <w:r>
        <w:t>旗舰元年 · 从6.9结构迁移 · 六行动、对向双轨与节奏校准</w:t>
      </w:r>
    </w:p>
    <w:p>
      <w:pPr>
        <w:pStyle w:val="Heading1"/>
      </w:pPr>
      <w:r>
        <w:t>1 这次结构调整要解决什么</w:t>
      </w:r>
    </w:p>
    <w:p>
      <w:r>
        <w:t>6.9的三个通用工作点允许玩家每回合在多个事项间拆分和排序，操作记忆和即时组合较多。7.0改成六行动阵列，每回合只执行一张牌的一档效果。仍保留低强度连续救急，不采用部门禁用或所有牌同步升强度。</w:t>
      </w:r>
    </w:p>
    <w:p>
      <w:pPr>
        <w:pStyle w:val="Heading1"/>
      </w:pPr>
      <w:r>
        <w:t>2 用户确认的阵列与卡牌分工</w:t>
      </w:r>
    </w:p>
    <w:p>
      <w:r>
        <w:t>两行三列，各列强度1／2／3。使用后，本行剩余两张保持相对次序入2／3，用牌回1，最后可以交换两个1。另一行不自动增长，发布不重置。固定初始为上行调研／供应／制造，下行合作／研发／运营。</w:t>
      </w:r>
    </w:p>
    <w:p>
      <w:r>
        <w:t>调研负责一次拿2／3／4张。供应负责安装1／1／2个不同栏位，高档实际安装后附抽一张。研发只处理一个项目，投入1／2／4进度，包含立项，不转投剩余额度。制造按1／2／3批逐批验收付款。合作签约、建设、核心三选一，高档事后附抽。运营拿6／12／18现金或以现货为前提付费宣发。</w:t>
      </w:r>
    </w:p>
    <w:p>
      <w:r>
        <w:t>长期三卡高强度循环是阵列允许的效率，不另加疲劳或禁用。重要的是该循环仍需要真实牌、现金、空产品位和供货，不是空刷分。相关卡牌改成部门内效率，不恢复额外通用行动点。</w:t>
      </w:r>
    </w:p>
    <w:p>
      <w:pPr>
        <w:pStyle w:val="Heading1"/>
      </w:pPr>
      <w:r>
        <w:t>3 发布：实际成果预告，满库存仍有出口</w:t>
      </w:r>
    </w:p>
    <w:p>
      <w:r>
        <w:t>高强度制造产生的新批次和高强度研发完成，可以自选推进。低强度连续救急不同时高效催开。运营宣发须本人行动开始有至少两批合法现货，放弃现金并付3现金，推进1／1／2。发布终点以2人8、3人12、4人16试测。</w:t>
      </w:r>
    </w:p>
    <w:p>
      <w:r>
        <w:t>不允许无货空发布：普通推进最多停在终点前一格，最终发布除外。取消重造不退钱、行动不复位；预告只看本次确实新增且仍存在的产品。被引用稳定不能换，未售货仍原样占位，因此宣发是必要的满库存出口。</w:t>
      </w:r>
    </w:p>
    <w:p>
      <w:r>
        <w:t>该限制减少无投入扰动，不禁止准备充分的玩家抢发布时间。不能保证所有玩家同时准备好，也不能要求每家公司都同意开会。</w:t>
      </w:r>
    </w:p>
    <w:p>
      <w:pPr>
        <w:pStyle w:val="Heading1"/>
      </w:pPr>
      <w:r>
        <w:t>4 科技领先换代，对向双轨决定结束</w:t>
      </w:r>
    </w:p>
    <w:p>
      <w:r>
        <w:t>不采用公共产业验证。科技领先者达到4／9／15／22在本人回合末开放下一代，可能跨级。新代只开放卡的使用，不再加牌。当前准备期的参考世代保持不变。</w:t>
      </w:r>
    </w:p>
    <w:p>
      <w:r>
        <w:t>收入轨0—130、科技轨0—46，前8科技每步跨2收入格，此后每步跨3收入格。几何总跨度16＋114＝130。相遇后先完整结算当前回合，再每人一个行动，最后发布。最终成绩读交会线超出/不足距离，不用max(收入,2×科技)。</w:t>
      </w:r>
    </w:p>
    <w:p>
      <w:r>
        <w:t>科技22对应收入72。用130而不是100作测试基线，避免第五代刚开放时拥有42收入的科研领先者就结束。第五代约两场包含最终发布，但不是硬锁，不规定一定十场结束。</w:t>
      </w:r>
    </w:p>
    <w:p>
      <w:pPr>
        <w:pStyle w:val="Heading1"/>
      </w:pPr>
      <w:r>
        <w:t>5 供需与科研速度是同一组校准</w:t>
      </w:r>
    </w:p>
    <w:p>
      <w:r>
        <w:t>需求总订单按2／3／4人写成7—8／11—12／15—16，保留各卡市场倾向与预算。必须扣除合同交付、留库，计入参考占单和扩产，不能把每人四个产品位直接当作零售订单数量。</w:t>
      </w:r>
    </w:p>
    <w:p>
      <w:r>
        <w:t>参考竞争力随芯片尺度调整，保留每世代六款随机竞品。挑战奖收入改为2／3／4，科技1／1／2，六种特色保留。目的是避免完成科研、验证合同、挑战科技同时过度放大新行动的研究效率；不是将所有科技来源砍掉。</w:t>
      </w:r>
    </w:p>
    <w:p>
      <w:r>
        <w:t>逐卡联合/自主费用、工期和完成科技继续保留6.8的差异化设计。高强度研发只处理一项，溢出不用；联合工期2—5与自主4—8仍形成时间取舍，不能拆成一个回合连研究四项。</w:t>
      </w:r>
    </w:p>
    <w:p>
      <w:pPr>
        <w:pStyle w:val="Heading1"/>
      </w:pPr>
      <w:r>
        <w:t>6 芯片与其他部件的衔接</w:t>
      </w:r>
    </w:p>
    <w:p>
      <w:r>
        <w:t>保留50个不同型号、苹果全称、20稳定与30含芯片定制。以骁龙8 Gen 2＝12、8 Gen 3＝14、8 Elite＝17为锚点，更新同系列后代和其他平台。多数负载3—6、少数7—8保持，不为提高规格再普遍增耗。</w:t>
      </w:r>
    </w:p>
    <w:p>
      <w:r>
        <w:t>8 Gen 2与8 Gen 3的电竞专长统一为合理屏幕＋平台研发下加3，后代主要性能从基础规格明确增加。高规格稳定件提高逐批成本与部分入库投入，旧平台以成本、关系和现有搭配保持价值，不用压平前后代性能维持表面等价。</w:t>
      </w:r>
    </w:p>
    <w:p>
      <w:r>
        <w:t>48售价通常要求基础≥28，同时芯片≥12或影像≥8之一。高级影像兼容、科研样机、合同与方案阈值同步核对。产品竞争力与收入得分分开，不按芯片规格倍增收入奖励。</w:t>
      </w:r>
    </w:p>
    <w:p>
      <w:pPr>
        <w:pStyle w:val="Heading1"/>
      </w:pPr>
      <w:r>
        <w:t>7 新硬件来源范围</w:t>
      </w:r>
    </w:p>
    <w:p>
      <w:r>
        <w:t>骁龙8EE6更新为骁龙8 Elite Extreme Gen 6，使用高通2026年9月22日官方发布和产品简报中的命名、神经图形功能。厂商性能提升不是所有设备的统一实测。</w:t>
      </w:r>
    </w:p>
    <w:p>
      <w:r>
        <w:t>玄戒O3的发布/搭载状态依据本次搜索取得的小米官方条目更新，但动态正文未完整读取，不把摘要扩写成完整频率、功耗与跑分资料。游戏能力改为端侧AI与实际系统/影像部署配合。不会增加第51颗芯片，也不设置定期监测。</w:t>
      </w:r>
    </w:p>
    <w:p>
      <w:pPr>
        <w:pStyle w:val="Heading1"/>
      </w:pPr>
      <w:r>
        <w:t>8 验证如何读</w:t>
      </w:r>
    </w:p>
    <w:p>
      <w:r>
        <w:t>交付记录区分：阵列全状态枚举、有限规则单元、单市场与扩产情境、条件合法配置见证、以及公开输入的节奏预算。后三者不等于完整多人对局，获得卡牌、实际研究证明、资金、价格竞争与全部特殊能力不都被自动模拟。</w:t>
      </w:r>
    </w:p>
    <w:p>
      <w:r>
        <w:t>每代约两场、第五代约两场是本次设计目标，尚未得到完整多人实测分布验证。后续应记录每人行动数、产量、合同分流、参考夺单、扩产、未售、研发成果以及进入第五代时的标记距离，而不只测一个平均结束回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7.0 /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旗舰元年 / 7.0 设计规划书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Noto Sans CJK SC" w:hAnsi="Noto Sans CJK SC" w:eastAsia="Noto Sans CJK SC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71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A7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1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A7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71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旗舰元年7.0设计规划书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