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eastAsia="宋体" w:cs="Times New Roman"/>
          <w:b/>
          <w:sz w:val="36"/>
          <w:szCs w:val="36"/>
        </w:rPr>
      </w:pPr>
      <w:r>
        <w:rPr>
          <w:rFonts w:hint="eastAsia" w:ascii="宋体" w:hAnsi="宋体" w:eastAsia="宋体" w:cs="Times New Roman"/>
          <w:b/>
          <w:sz w:val="36"/>
          <w:szCs w:val="36"/>
        </w:rPr>
        <w:t>云南大学本科毕业论文</w:t>
      </w:r>
    </w:p>
    <w:p>
      <w:pPr>
        <w:jc w:val="center"/>
        <w:rPr>
          <w:rFonts w:ascii="等线" w:hAnsi="等线" w:eastAsia="等线" w:cs="Times New Roman"/>
          <w:szCs w:val="22"/>
        </w:rPr>
      </w:pPr>
      <w:bookmarkStart w:id="0" w:name="_Toc40532990"/>
      <w:bookmarkStart w:id="1" w:name="_Toc40368429"/>
      <w:bookmarkStart w:id="2" w:name="_Toc40533715"/>
      <w:bookmarkStart w:id="3" w:name="_Toc40537710"/>
      <w:r>
        <w:rPr>
          <w:rFonts w:ascii="等线" w:hAnsi="等线" w:eastAsia="等线" w:cs="Times New Roman"/>
          <w:szCs w:val="22"/>
        </w:rPr>
        <w:drawing>
          <wp:inline distT="0" distB="0" distL="0" distR="0">
            <wp:extent cx="1647825" cy="1571625"/>
            <wp:effectExtent l="0" t="0" r="13335" b="13335"/>
            <wp:docPr id="20" name="图片 20" descr="云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云大.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47825" cy="1571625"/>
                    </a:xfrm>
                    <a:prstGeom prst="rect">
                      <a:avLst/>
                    </a:prstGeom>
                    <a:noFill/>
                    <a:ln>
                      <a:noFill/>
                    </a:ln>
                  </pic:spPr>
                </pic:pic>
              </a:graphicData>
            </a:graphic>
          </wp:inline>
        </w:drawing>
      </w:r>
      <w:bookmarkEnd w:id="0"/>
      <w:bookmarkEnd w:id="1"/>
      <w:bookmarkEnd w:id="2"/>
      <w:bookmarkEnd w:id="3"/>
    </w:p>
    <w:p>
      <w:pPr>
        <w:widowControl/>
        <w:spacing w:before="180" w:after="180"/>
        <w:jc w:val="center"/>
        <w:rPr>
          <w:rFonts w:ascii="等线 Light" w:hAnsi="等线 Light" w:eastAsia="等线 Light" w:cs="Times New Roman"/>
          <w:b/>
          <w:sz w:val="52"/>
          <w:szCs w:val="52"/>
        </w:rPr>
      </w:pPr>
      <w:r>
        <w:rPr>
          <w:rFonts w:hint="eastAsia" w:ascii="等线 Light" w:hAnsi="等线 Light" w:eastAsia="等线 Light" w:cs="Times New Roman"/>
          <w:b/>
          <w:sz w:val="52"/>
          <w:szCs w:val="52"/>
        </w:rPr>
        <w:t>医药商业公司财务绩效的评价-基于因子分析</w:t>
      </w:r>
    </w:p>
    <w:p>
      <w:pPr>
        <w:widowControl/>
        <w:spacing w:before="180" w:after="180"/>
        <w:jc w:val="center"/>
        <w:rPr>
          <w:rFonts w:ascii="Times New Roman" w:hAnsi="Times New Roman" w:eastAsia="等线" w:cs="Times New Roman"/>
          <w:b/>
          <w:bCs/>
          <w:color w:val="000000"/>
          <w:kern w:val="0"/>
          <w:sz w:val="36"/>
          <w:szCs w:val="36"/>
        </w:rPr>
      </w:pPr>
      <w:r>
        <w:rPr>
          <w:rFonts w:hint="eastAsia" w:ascii="Times New Roman" w:hAnsi="Times New Roman" w:eastAsia="等线" w:cs="Times New Roman"/>
          <w:b/>
          <w:bCs/>
          <w:color w:val="000000"/>
          <w:kern w:val="0"/>
          <w:sz w:val="36"/>
          <w:szCs w:val="36"/>
        </w:rPr>
        <w:t>Evaluation of Financial Performance of Pharmaceutical Commercial Companies-Based on Factor Analysis</w:t>
      </w:r>
    </w:p>
    <w:p>
      <w:pPr>
        <w:widowControl/>
        <w:spacing w:before="180" w:after="180"/>
        <w:jc w:val="left"/>
        <w:rPr>
          <w:rFonts w:ascii="Times New Roman" w:hAnsi="Times New Roman" w:eastAsia="等线" w:cs="Times New Roman"/>
          <w:color w:val="000000"/>
          <w:kern w:val="0"/>
          <w:sz w:val="36"/>
          <w:szCs w:val="36"/>
        </w:rPr>
      </w:pPr>
    </w:p>
    <w:p>
      <w:pPr>
        <w:widowControl/>
        <w:spacing w:before="180" w:after="180"/>
        <w:ind w:firstLine="1280" w:firstLineChars="400"/>
        <w:jc w:val="left"/>
        <w:rPr>
          <w:rFonts w:ascii="等线" w:hAnsi="等线" w:eastAsia="等线" w:cs="Times New Roman"/>
          <w:sz w:val="32"/>
          <w:szCs w:val="32"/>
          <w:u w:val="single"/>
        </w:rPr>
      </w:pPr>
      <w:r>
        <w:rPr>
          <w:rFonts w:ascii="等线" w:hAnsi="等线" w:eastAsia="等线" w:cs="Times New Roman"/>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2025650</wp:posOffset>
                </wp:positionH>
                <wp:positionV relativeFrom="paragraph">
                  <wp:posOffset>280035</wp:posOffset>
                </wp:positionV>
                <wp:extent cx="246697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2466975"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5pt;margin-top:22.05pt;height:0pt;width:194.25pt;z-index:251660288;mso-width-relative:page;mso-height-relative:page;" filled="f" stroked="t" coordsize="21600,21600" o:gfxdata="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L+wz1gAA&#10;AAkBAAAPAAAAAAAAAAEAIAAAACIAAABkcnMvZG93bnJldi54bWxQSwECFAAUAAAACACHTuJAPnRd&#10;U+cBAADBAwAADgAAAAAAAAABACAAAAAlAQAAZHJzL2Uyb0RvYy54bWxQSwUGAAAAAAYABgBZAQAA&#10;fgUAAAAA&#10;">
                <v:fill on="f" focussize="0,0"/>
                <v:stroke weight="0.25pt" color="#000000 [3204]" miterlimit="8" joinstyle="miter"/>
                <v:imagedata o:title=""/>
                <o:lock v:ext="edit" aspectratio="f"/>
              </v:line>
            </w:pict>
          </mc:Fallback>
        </mc:AlternateContent>
      </w:r>
      <w:r>
        <w:rPr>
          <w:rFonts w:hint="eastAsia" w:ascii="等线" w:hAnsi="等线" w:eastAsia="等线" w:cs="Times New Roman"/>
          <w:kern w:val="0"/>
          <w:sz w:val="32"/>
          <w:szCs w:val="32"/>
        </w:rPr>
        <w:t xml:space="preserve">院    系：   </w:t>
      </w:r>
      <w:r>
        <w:rPr>
          <w:rFonts w:ascii="等线" w:hAnsi="等线" w:eastAsia="等线" w:cs="Times New Roman"/>
          <w:kern w:val="0"/>
          <w:sz w:val="32"/>
          <w:szCs w:val="32"/>
        </w:rPr>
        <w:t xml:space="preserve">   </w:t>
      </w:r>
      <w:r>
        <w:rPr>
          <w:rFonts w:hint="eastAsia" w:ascii="等线" w:hAnsi="等线" w:eastAsia="等线" w:cs="Times New Roman"/>
          <w:kern w:val="0"/>
          <w:sz w:val="32"/>
          <w:szCs w:val="32"/>
        </w:rPr>
        <w:t>数</w:t>
      </w:r>
      <w:r>
        <w:rPr>
          <w:rFonts w:hint="eastAsia" w:ascii="等线" w:hAnsi="等线" w:eastAsia="等线" w:cs="Times New Roman"/>
          <w:sz w:val="32"/>
          <w:szCs w:val="32"/>
        </w:rPr>
        <w:t>学与统计学院</w:t>
      </w:r>
    </w:p>
    <w:p>
      <w:pPr>
        <w:widowControl/>
        <w:spacing w:before="180" w:after="180"/>
        <w:ind w:firstLine="1280" w:firstLineChars="400"/>
        <w:jc w:val="left"/>
        <w:rPr>
          <w:rFonts w:ascii="等线" w:hAnsi="等线" w:eastAsia="等线" w:cs="Times New Roman"/>
          <w:kern w:val="0"/>
          <w:sz w:val="32"/>
          <w:szCs w:val="32"/>
        </w:rPr>
      </w:pPr>
      <w:r>
        <w:rPr>
          <w:rFonts w:ascii="等线" w:hAnsi="等线" w:eastAsia="等线" w:cs="Times New Roman"/>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2028190</wp:posOffset>
                </wp:positionH>
                <wp:positionV relativeFrom="paragraph">
                  <wp:posOffset>297815</wp:posOffset>
                </wp:positionV>
                <wp:extent cx="246634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2466340"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7pt;margin-top:23.45pt;height:0pt;width:194.2pt;z-index:251661312;mso-width-relative:page;mso-height-relative:page;" filled="f" stroked="t" coordsize="21600,21600" o:gfxdata="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ZpdP9UA&#10;AAAJAQAADwAAAAAAAAABACAAAAAiAAAAZHJzL2Rvd25yZXYueG1sUEsBAhQAFAAAAAgAh07iQOM/&#10;wBjpAQAAwQMAAA4AAAAAAAAAAQAgAAAAJAEAAGRycy9lMm9Eb2MueG1sUEsFBgAAAAAGAAYAWQEA&#10;AH8FAAAAAA==&#10;">
                <v:fill on="f" focussize="0,0"/>
                <v:stroke weight="0.25pt" color="#000000 [3204]" miterlimit="8" joinstyle="miter"/>
                <v:imagedata o:title=""/>
                <o:lock v:ext="edit" aspectratio="f"/>
              </v:line>
            </w:pict>
          </mc:Fallback>
        </mc:AlternateContent>
      </w:r>
      <w:r>
        <w:rPr>
          <w:rFonts w:hint="eastAsia" w:ascii="等线" w:hAnsi="等线" w:eastAsia="等线" w:cs="Times New Roman"/>
          <w:kern w:val="0"/>
          <w:sz w:val="32"/>
          <w:szCs w:val="32"/>
        </w:rPr>
        <w:t xml:space="preserve">专    业：      </w:t>
      </w:r>
      <w:r>
        <w:rPr>
          <w:rFonts w:ascii="等线" w:hAnsi="等线" w:eastAsia="等线" w:cs="Times New Roman"/>
          <w:kern w:val="0"/>
          <w:sz w:val="32"/>
          <w:szCs w:val="32"/>
        </w:rPr>
        <w:t xml:space="preserve">    </w:t>
      </w:r>
      <w:r>
        <w:rPr>
          <w:rFonts w:hint="eastAsia" w:ascii="等线" w:hAnsi="等线" w:eastAsia="等线" w:cs="Times New Roman"/>
          <w:kern w:val="0"/>
          <w:sz w:val="32"/>
          <w:szCs w:val="32"/>
        </w:rPr>
        <w:t xml:space="preserve">统计学 </w:t>
      </w:r>
    </w:p>
    <w:p>
      <w:pPr>
        <w:widowControl/>
        <w:spacing w:before="180" w:after="180"/>
        <w:ind w:firstLine="1280" w:firstLineChars="400"/>
        <w:jc w:val="left"/>
        <w:rPr>
          <w:rFonts w:ascii="等线" w:hAnsi="等线" w:eastAsia="等线" w:cs="Times New Roman"/>
          <w:kern w:val="0"/>
          <w:sz w:val="32"/>
          <w:szCs w:val="32"/>
        </w:rPr>
      </w:pPr>
      <w:r>
        <w:rPr>
          <w:rFonts w:ascii="等线" w:hAnsi="等线" w:eastAsia="等线" w:cs="Times New Roman"/>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2028190</wp:posOffset>
                </wp:positionH>
                <wp:positionV relativeFrom="paragraph">
                  <wp:posOffset>280670</wp:posOffset>
                </wp:positionV>
                <wp:extent cx="246634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466340"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7pt;margin-top:22.1pt;height:0pt;width:194.2pt;z-index:251662336;mso-width-relative:page;mso-height-relative:page;" filled="f" stroked="t" coordsize="21600,21600" o:gfxdata="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pW1kdUA&#10;AAAJAQAADwAAAAAAAAABACAAAAAiAAAAZHJzL2Rvd25yZXYueG1sUEsBAhQAFAAAAAgAh07iQBoE&#10;8hLpAQAAwQMAAA4AAAAAAAAAAQAgAAAAJAEAAGRycy9lMm9Eb2MueG1sUEsFBgAAAAAGAAYAWQEA&#10;AH8FAAAAAA==&#10;">
                <v:fill on="f" focussize="0,0"/>
                <v:stroke weight="0.25pt" color="#000000 [3204]" miterlimit="8" joinstyle="miter"/>
                <v:imagedata o:title=""/>
                <o:lock v:ext="edit" aspectratio="f"/>
              </v:line>
            </w:pict>
          </mc:Fallback>
        </mc:AlternateContent>
      </w:r>
      <w:r>
        <w:rPr>
          <w:rFonts w:hint="eastAsia" w:ascii="等线" w:hAnsi="等线" w:eastAsia="等线" w:cs="Times New Roman"/>
          <w:kern w:val="0"/>
          <w:sz w:val="32"/>
          <w:szCs w:val="32"/>
        </w:rPr>
        <w:t xml:space="preserve">姓    名：     </w:t>
      </w:r>
      <w:r>
        <w:rPr>
          <w:rFonts w:ascii="等线" w:hAnsi="等线" w:eastAsia="等线" w:cs="Times New Roman"/>
          <w:kern w:val="0"/>
          <w:sz w:val="32"/>
          <w:szCs w:val="32"/>
        </w:rPr>
        <w:t xml:space="preserve">    </w:t>
      </w:r>
      <w:r>
        <w:rPr>
          <w:rFonts w:hint="eastAsia" w:ascii="等线" w:hAnsi="等线" w:eastAsia="等线" w:cs="Times New Roman"/>
          <w:kern w:val="0"/>
          <w:sz w:val="32"/>
          <w:szCs w:val="32"/>
        </w:rPr>
        <w:t xml:space="preserve"> 杨晟</w:t>
      </w:r>
    </w:p>
    <w:p>
      <w:pPr>
        <w:widowControl/>
        <w:spacing w:before="180" w:after="180"/>
        <w:ind w:firstLine="1280" w:firstLineChars="400"/>
        <w:jc w:val="left"/>
        <w:rPr>
          <w:rFonts w:ascii="等线" w:hAnsi="等线" w:eastAsia="等线" w:cs="Times New Roman"/>
          <w:kern w:val="0"/>
          <w:sz w:val="32"/>
          <w:szCs w:val="32"/>
        </w:rPr>
      </w:pPr>
      <w:r>
        <w:rPr>
          <w:rFonts w:ascii="等线" w:hAnsi="等线" w:eastAsia="等线" w:cs="Times New Roman"/>
          <w:kern w:val="0"/>
          <w:sz w:val="32"/>
          <w:szCs w:val="32"/>
        </w:rPr>
        <mc:AlternateContent>
          <mc:Choice Requires="wps">
            <w:drawing>
              <wp:anchor distT="0" distB="0" distL="114300" distR="114300" simplePos="0" relativeHeight="251663360" behindDoc="0" locked="0" layoutInCell="1" allowOverlap="1">
                <wp:simplePos x="0" y="0"/>
                <wp:positionH relativeFrom="column">
                  <wp:posOffset>2028190</wp:posOffset>
                </wp:positionH>
                <wp:positionV relativeFrom="paragraph">
                  <wp:posOffset>306070</wp:posOffset>
                </wp:positionV>
                <wp:extent cx="246634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466340"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7pt;margin-top:24.1pt;height:0pt;width:194.2pt;z-index:251663360;mso-width-relative:page;mso-height-relative:page;" filled="f" stroked="t" coordsize="21600,21600" o:gfxdata="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N28NUA&#10;AAAJAQAADwAAAAAAAAABACAAAAAiAAAAZHJzL2Rvd25yZXYueG1sUEsBAhQAFAAAAAgAh07iQG/5&#10;IN/pAQAAvwMAAA4AAAAAAAAAAQAgAAAAJAEAAGRycy9lMm9Eb2MueG1sUEsFBgAAAAAGAAYAWQEA&#10;AH8FAAAAAA==&#10;">
                <v:fill on="f" focussize="0,0"/>
                <v:stroke weight="0.25pt" color="#000000 [3204]" miterlimit="8" joinstyle="miter"/>
                <v:imagedata o:title=""/>
                <o:lock v:ext="edit" aspectratio="f"/>
              </v:line>
            </w:pict>
          </mc:Fallback>
        </mc:AlternateContent>
      </w:r>
      <w:r>
        <w:rPr>
          <w:rFonts w:hint="eastAsia" w:ascii="等线" w:hAnsi="等线" w:eastAsia="等线" w:cs="Times New Roman"/>
          <w:kern w:val="0"/>
          <w:sz w:val="32"/>
          <w:szCs w:val="32"/>
        </w:rPr>
        <w:t xml:space="preserve">学    号：    </w:t>
      </w:r>
      <w:r>
        <w:rPr>
          <w:rFonts w:ascii="等线" w:hAnsi="等线" w:eastAsia="等线" w:cs="Times New Roman"/>
          <w:kern w:val="0"/>
          <w:sz w:val="32"/>
          <w:szCs w:val="32"/>
        </w:rPr>
        <w:t xml:space="preserve">    </w:t>
      </w:r>
      <w:r>
        <w:rPr>
          <w:rFonts w:hint="eastAsia" w:ascii="等线" w:hAnsi="等线" w:eastAsia="等线" w:cs="Times New Roman"/>
          <w:kern w:val="0"/>
          <w:sz w:val="32"/>
          <w:szCs w:val="32"/>
        </w:rPr>
        <w:t>20171910084</w:t>
      </w:r>
    </w:p>
    <w:p>
      <w:pPr>
        <w:widowControl/>
        <w:spacing w:before="180" w:after="180"/>
        <w:ind w:firstLine="1280" w:firstLineChars="400"/>
        <w:jc w:val="left"/>
        <w:rPr>
          <w:rFonts w:ascii="等线" w:hAnsi="等线" w:eastAsia="等线" w:cs="Times New Roman"/>
          <w:kern w:val="0"/>
          <w:sz w:val="32"/>
          <w:szCs w:val="32"/>
        </w:rPr>
      </w:pPr>
      <w:r>
        <w:rPr>
          <w:rFonts w:ascii="等线" w:hAnsi="等线" w:eastAsia="等线" w:cs="Times New Roman"/>
          <w:kern w:val="0"/>
          <w:sz w:val="32"/>
          <w:szCs w:val="32"/>
        </w:rPr>
        <mc:AlternateContent>
          <mc:Choice Requires="wps">
            <w:drawing>
              <wp:anchor distT="0" distB="0" distL="114300" distR="114300" simplePos="0" relativeHeight="251664384" behindDoc="0" locked="0" layoutInCell="1" allowOverlap="1">
                <wp:simplePos x="0" y="0"/>
                <wp:positionH relativeFrom="column">
                  <wp:posOffset>2028190</wp:posOffset>
                </wp:positionH>
                <wp:positionV relativeFrom="paragraph">
                  <wp:posOffset>299085</wp:posOffset>
                </wp:positionV>
                <wp:extent cx="246634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2466340"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7pt;margin-top:23.55pt;height:0pt;width:194.2pt;z-index:251664384;mso-width-relative:page;mso-height-relative:page;" filled="f" stroked="t" coordsize="21600,21600" o:gfxdata="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jGsuj1QAA&#10;AAkBAAAPAAAAAAAAAAEAIAAAACIAAABkcnMvZG93bnJldi54bWxQSwECFAAUAAAACACHTuJAlQoF&#10;HegBAAC/AwAADgAAAAAAAAABACAAAAAkAQAAZHJzL2Uyb0RvYy54bWxQSwUGAAAAAAYABgBZAQAA&#10;fgUAAAAA&#10;">
                <v:fill on="f" focussize="0,0"/>
                <v:stroke weight="0.25pt" color="#000000 [3204]" miterlimit="8" joinstyle="miter"/>
                <v:imagedata o:title=""/>
                <o:lock v:ext="edit" aspectratio="f"/>
              </v:line>
            </w:pict>
          </mc:Fallback>
        </mc:AlternateContent>
      </w:r>
      <w:r>
        <w:rPr>
          <w:rFonts w:hint="eastAsia" w:ascii="等线" w:hAnsi="等线" w:eastAsia="等线" w:cs="Times New Roman"/>
          <w:kern w:val="0"/>
          <w:sz w:val="32"/>
          <w:szCs w:val="32"/>
        </w:rPr>
        <w:t xml:space="preserve">指导老师：    </w:t>
      </w:r>
      <w:r>
        <w:rPr>
          <w:rFonts w:ascii="等线" w:hAnsi="等线" w:eastAsia="等线" w:cs="Times New Roman"/>
          <w:kern w:val="0"/>
          <w:sz w:val="32"/>
          <w:szCs w:val="32"/>
        </w:rPr>
        <w:t xml:space="preserve">      </w:t>
      </w:r>
      <w:r>
        <w:rPr>
          <w:rFonts w:hint="eastAsia" w:ascii="等线" w:hAnsi="等线" w:eastAsia="等线" w:cs="Times New Roman"/>
          <w:kern w:val="0"/>
          <w:sz w:val="32"/>
          <w:szCs w:val="32"/>
        </w:rPr>
        <w:t xml:space="preserve">潘蓄林      </w:t>
      </w:r>
    </w:p>
    <w:p>
      <w:pPr>
        <w:spacing w:line="300" w:lineRule="auto"/>
        <w:ind w:firstLine="1280" w:firstLineChars="400"/>
        <w:rPr>
          <w:rFonts w:ascii="宋体" w:hAnsi="宋体" w:eastAsia="宋体" w:cs="Times New Roman"/>
          <w:b/>
          <w:bCs/>
          <w:sz w:val="32"/>
          <w:szCs w:val="32"/>
        </w:rPr>
      </w:pPr>
      <w:r>
        <w:rPr>
          <w:rFonts w:ascii="等线" w:hAnsi="等线" w:eastAsia="等线" w:cs="Times New Roman"/>
          <w:sz w:val="32"/>
          <w:szCs w:val="32"/>
        </w:rPr>
        <mc:AlternateContent>
          <mc:Choice Requires="wps">
            <w:drawing>
              <wp:anchor distT="0" distB="0" distL="114300" distR="114300" simplePos="0" relativeHeight="251665408" behindDoc="0" locked="0" layoutInCell="1" allowOverlap="1">
                <wp:simplePos x="0" y="0"/>
                <wp:positionH relativeFrom="column">
                  <wp:posOffset>2028190</wp:posOffset>
                </wp:positionH>
                <wp:positionV relativeFrom="paragraph">
                  <wp:posOffset>271145</wp:posOffset>
                </wp:positionV>
                <wp:extent cx="246634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466340" cy="0"/>
                        </a:xfrm>
                        <a:prstGeom prst="line">
                          <a:avLst/>
                        </a:prstGeom>
                        <a:noFill/>
                        <a:ln w="3175" cap="flat" cmpd="sng" algn="ctr">
                          <a:solidFill>
                            <a:srgbClr val="000000"/>
                          </a:solidFill>
                          <a:prstDash val="solid"/>
                          <a:miter lim="800000"/>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59.7pt;margin-top:21.35pt;height:0pt;width:194.2pt;z-index:251665408;mso-width-relative:page;mso-height-relative:page;" filled="f" stroked="t" coordsize="21600,21600" o:gfxdata="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d/4y1QAA&#10;AAkBAAAPAAAAAAAAAAEAIAAAACIAAABkcnMvZG93bnJldi54bWxQSwECFAAUAAAACACHTuJAJVv1&#10;megBAAC/AwAADgAAAAAAAAABACAAAAAkAQAAZHJzL2Uyb0RvYy54bWxQSwUGAAAAAAYABgBZAQAA&#10;fgUAAAAA&#10;">
                <v:fill on="f" focussize="0,0"/>
                <v:stroke weight="0.25pt" color="#000000 [3204]" miterlimit="8" joinstyle="miter"/>
                <v:imagedata o:title=""/>
                <o:lock v:ext="edit" aspectratio="f"/>
              </v:line>
            </w:pict>
          </mc:Fallback>
        </mc:AlternateContent>
      </w:r>
      <w:r>
        <w:rPr>
          <w:rFonts w:hint="eastAsia" w:ascii="等线" w:hAnsi="等线" w:eastAsia="等线" w:cs="Times New Roman"/>
          <w:sz w:val="32"/>
          <w:szCs w:val="32"/>
        </w:rPr>
        <w:t xml:space="preserve">日    期： </w:t>
      </w:r>
      <w:r>
        <w:rPr>
          <w:rFonts w:ascii="等线" w:hAnsi="等线" w:eastAsia="等线" w:cs="Times New Roman"/>
          <w:sz w:val="32"/>
          <w:szCs w:val="32"/>
        </w:rPr>
        <w:t xml:space="preserve">     2021</w:t>
      </w:r>
      <w:r>
        <w:rPr>
          <w:rFonts w:hint="eastAsia" w:ascii="等线" w:hAnsi="等线" w:eastAsia="等线" w:cs="Times New Roman"/>
          <w:sz w:val="32"/>
          <w:szCs w:val="32"/>
        </w:rPr>
        <w:t>年4月2</w:t>
      </w:r>
      <w:r>
        <w:rPr>
          <w:rFonts w:ascii="等线" w:hAnsi="等线" w:eastAsia="等线" w:cs="Times New Roman"/>
          <w:sz w:val="32"/>
          <w:szCs w:val="32"/>
        </w:rPr>
        <w:t>2</w:t>
      </w:r>
      <w:r>
        <w:rPr>
          <w:rFonts w:hint="eastAsia" w:ascii="等线" w:hAnsi="等线" w:eastAsia="等线" w:cs="Times New Roman"/>
          <w:sz w:val="32"/>
          <w:szCs w:val="32"/>
        </w:rPr>
        <w:t xml:space="preserve">日 </w:t>
      </w:r>
    </w:p>
    <w:p>
      <w:pPr>
        <w:rPr>
          <w:rFonts w:ascii="等线" w:hAnsi="等线" w:eastAsia="等线" w:cs="Times New Roman"/>
          <w:szCs w:val="22"/>
        </w:rPr>
      </w:pPr>
      <w:r>
        <w:rPr>
          <w:rFonts w:ascii="等线" w:hAnsi="等线" w:eastAsia="等线" w:cs="Times New Roman"/>
          <w:szCs w:val="22"/>
        </w:rPr>
        <w:br w:type="page"/>
      </w:r>
    </w:p>
    <w:p>
      <w:pPr>
        <w:pStyle w:val="26"/>
        <w:jc w:val="center"/>
        <w:rPr>
          <w:rFonts w:ascii="黑体" w:eastAsia="黑体"/>
          <w:sz w:val="36"/>
          <w:szCs w:val="36"/>
        </w:rPr>
      </w:pPr>
      <w:r>
        <w:rPr>
          <w:rFonts w:hint="eastAsia" w:ascii="黑体" w:eastAsia="黑体"/>
          <w:sz w:val="36"/>
          <w:szCs w:val="36"/>
        </w:rPr>
        <w:t>毕业论文（设计）独创性声明及使用授权</w:t>
      </w:r>
    </w:p>
    <w:p>
      <w:pPr>
        <w:pStyle w:val="26"/>
        <w:jc w:val="center"/>
        <w:rPr>
          <w:rFonts w:ascii="黑体" w:eastAsia="黑体"/>
          <w:sz w:val="44"/>
          <w:szCs w:val="44"/>
        </w:rPr>
      </w:pPr>
      <w:r>
        <w:rPr>
          <w:rFonts w:hint="eastAsia" w:ascii="黑体" w:eastAsia="黑体"/>
          <w:sz w:val="44"/>
          <w:szCs w:val="44"/>
        </w:rPr>
        <w:t xml:space="preserve"> </w:t>
      </w:r>
    </w:p>
    <w:p>
      <w:pPr>
        <w:pStyle w:val="26"/>
        <w:spacing w:line="360" w:lineRule="auto"/>
        <w:ind w:firstLine="480" w:firstLineChars="200"/>
        <w:rPr>
          <w:rFonts w:ascii="宋体" w:hAnsi="宋体"/>
        </w:rPr>
      </w:pPr>
      <w:r>
        <w:rPr>
          <w:rFonts w:hint="eastAsia" w:ascii="宋体" w:hAnsi="宋体"/>
        </w:rPr>
        <w:t>本毕业论文（设计）是作者在导师指导下取得的成果。除了文中特别加以标注和致谢的地方外，论文（设计）中不包含其他人已经发表或撰写过的研究成果，不存在剽窃或抄袭行为。与作者一同工作的同志对本研究所做的任何贡献均已在论文中作了明确的说明并表示了谢意。</w:t>
      </w:r>
    </w:p>
    <w:p>
      <w:pPr>
        <w:pStyle w:val="26"/>
        <w:spacing w:line="360" w:lineRule="auto"/>
        <w:ind w:firstLine="480" w:firstLineChars="200"/>
        <w:rPr>
          <w:rFonts w:ascii="宋体" w:hAnsi="宋体"/>
        </w:rPr>
      </w:pPr>
      <w:r>
        <w:rPr>
          <w:rFonts w:hint="eastAsia" w:ascii="宋体" w:hAnsi="宋体"/>
        </w:rPr>
        <w:t>现就论文（设计）的使用对云南大学授权如下：学校有权保留本论文</w:t>
      </w:r>
      <w:r>
        <w:rPr>
          <w:rFonts w:ascii="宋体" w:hAnsi="宋体"/>
        </w:rPr>
        <w:t>（</w:t>
      </w:r>
      <w:r>
        <w:rPr>
          <w:rFonts w:hint="eastAsia" w:ascii="宋体" w:hAnsi="宋体"/>
        </w:rPr>
        <w:t>设计</w:t>
      </w:r>
      <w:r>
        <w:rPr>
          <w:rFonts w:ascii="宋体" w:hAnsi="宋体"/>
        </w:rPr>
        <w:t>）</w:t>
      </w:r>
      <w:r>
        <w:rPr>
          <w:rFonts w:hint="eastAsia" w:ascii="宋体" w:hAnsi="宋体"/>
        </w:rPr>
        <w:t>（含电子版），也可以采用影印、缩印或其他复制手段保存论文</w:t>
      </w:r>
      <w:r>
        <w:rPr>
          <w:rFonts w:ascii="宋体" w:hAnsi="宋体"/>
        </w:rPr>
        <w:t>（</w:t>
      </w:r>
      <w:r>
        <w:rPr>
          <w:rFonts w:hint="eastAsia" w:ascii="宋体" w:hAnsi="宋体"/>
        </w:rPr>
        <w:t>设计</w:t>
      </w:r>
      <w:r>
        <w:rPr>
          <w:rFonts w:ascii="宋体" w:hAnsi="宋体"/>
        </w:rPr>
        <w:t>）</w:t>
      </w:r>
      <w:r>
        <w:rPr>
          <w:rFonts w:hint="eastAsia" w:ascii="宋体" w:hAnsi="宋体"/>
        </w:rPr>
        <w:t>；学校有权公布论文的全部或部分内容，可以将论文</w:t>
      </w:r>
      <w:r>
        <w:rPr>
          <w:rFonts w:ascii="宋体" w:hAnsi="宋体"/>
        </w:rPr>
        <w:t>（</w:t>
      </w:r>
      <w:r>
        <w:rPr>
          <w:rFonts w:hint="eastAsia" w:ascii="宋体" w:hAnsi="宋体"/>
        </w:rPr>
        <w:t>设计</w:t>
      </w:r>
      <w:r>
        <w:rPr>
          <w:rFonts w:ascii="宋体" w:hAnsi="宋体"/>
        </w:rPr>
        <w:t>）</w:t>
      </w:r>
      <w:r>
        <w:rPr>
          <w:rFonts w:hint="eastAsia" w:ascii="宋体" w:hAnsi="宋体"/>
        </w:rPr>
        <w:t>用于查阅或借阅服务；学校有权向有关机构送交学位论文</w:t>
      </w:r>
      <w:r>
        <w:rPr>
          <w:rFonts w:ascii="宋体" w:hAnsi="宋体"/>
        </w:rPr>
        <w:t>（</w:t>
      </w:r>
      <w:r>
        <w:rPr>
          <w:rFonts w:hint="eastAsia" w:ascii="宋体" w:hAnsi="宋体"/>
        </w:rPr>
        <w:t>设计</w:t>
      </w:r>
      <w:r>
        <w:rPr>
          <w:rFonts w:ascii="宋体" w:hAnsi="宋体"/>
        </w:rPr>
        <w:t>）</w:t>
      </w:r>
      <w:r>
        <w:rPr>
          <w:rFonts w:hint="eastAsia" w:ascii="宋体" w:hAnsi="宋体"/>
        </w:rPr>
        <w:t>用于学术规范审查、社会监督或评奖；学校有权将学位论文</w:t>
      </w:r>
      <w:r>
        <w:rPr>
          <w:rFonts w:ascii="宋体" w:hAnsi="宋体"/>
        </w:rPr>
        <w:t>（</w:t>
      </w:r>
      <w:r>
        <w:rPr>
          <w:rFonts w:hint="eastAsia" w:ascii="宋体" w:hAnsi="宋体"/>
        </w:rPr>
        <w:t>设计</w:t>
      </w:r>
      <w:r>
        <w:rPr>
          <w:rFonts w:ascii="宋体" w:hAnsi="宋体"/>
        </w:rPr>
        <w:t>）</w:t>
      </w:r>
      <w:r>
        <w:rPr>
          <w:rFonts w:hint="eastAsia" w:ascii="宋体" w:hAnsi="宋体"/>
        </w:rPr>
        <w:t>的全部或部分内容录入有关数据库用于检索服务。</w:t>
      </w:r>
    </w:p>
    <w:p>
      <w:pPr>
        <w:pStyle w:val="26"/>
        <w:spacing w:line="360" w:lineRule="auto"/>
        <w:rPr>
          <w:rFonts w:ascii="黑体" w:eastAsia="黑体"/>
        </w:rPr>
      </w:pPr>
      <w:r>
        <w:t xml:space="preserve">     </w:t>
      </w:r>
      <w:r>
        <w:rPr>
          <w:rFonts w:hint="eastAsia" w:ascii="黑体" w:eastAsia="黑体"/>
        </w:rPr>
        <w:t>（内部或保密的论文</w:t>
      </w:r>
      <w:r>
        <w:rPr>
          <w:rFonts w:ascii="宋体" w:hAnsi="宋体"/>
        </w:rPr>
        <w:t>（</w:t>
      </w:r>
      <w:r>
        <w:rPr>
          <w:rFonts w:hint="eastAsia" w:ascii="宋体" w:hAnsi="宋体"/>
        </w:rPr>
        <w:t>设计</w:t>
      </w:r>
      <w:r>
        <w:rPr>
          <w:rFonts w:ascii="宋体" w:hAnsi="宋体"/>
        </w:rPr>
        <w:t>）</w:t>
      </w:r>
      <w:r>
        <w:rPr>
          <w:rFonts w:hint="eastAsia" w:ascii="黑体" w:eastAsia="黑体"/>
        </w:rPr>
        <w:t>在解密后应遵循此规定）</w:t>
      </w:r>
    </w:p>
    <w:p>
      <w:pPr>
        <w:pStyle w:val="26"/>
        <w:spacing w:line="360" w:lineRule="auto"/>
        <w:ind w:firstLine="420"/>
        <w:rPr>
          <w:rFonts w:ascii="宋体" w:hAnsi="宋体"/>
        </w:rPr>
      </w:pPr>
    </w:p>
    <w:p>
      <w:pPr>
        <w:pStyle w:val="26"/>
        <w:spacing w:line="360" w:lineRule="auto"/>
        <w:rPr>
          <w:rFonts w:ascii="宋体" w:hAnsi="宋体"/>
        </w:rPr>
      </w:pPr>
    </w:p>
    <w:p>
      <w:pPr>
        <w:pStyle w:val="26"/>
        <w:spacing w:line="360" w:lineRule="auto"/>
        <w:rPr>
          <w:rFonts w:ascii="宋体" w:hAnsi="宋体"/>
        </w:rPr>
      </w:pPr>
    </w:p>
    <w:p>
      <w:r>
        <w:rPr>
          <w:rFonts w:hint="eastAsia" w:ascii="宋体" w:hAnsi="宋体"/>
        </w:rPr>
        <w:t>作者签名：</w:t>
      </w:r>
      <w:r>
        <w:rPr>
          <w:u w:val="single"/>
        </w:rPr>
        <w:t xml:space="preserve">              </w:t>
      </w:r>
      <w:r>
        <w:t xml:space="preserve">  </w:t>
      </w:r>
      <w:r>
        <w:rPr>
          <w:rFonts w:hint="eastAsia" w:ascii="宋体" w:hAnsi="宋体"/>
        </w:rPr>
        <w:t>导师签名：</w:t>
      </w:r>
      <w:r>
        <w:rPr>
          <w:u w:val="single"/>
        </w:rPr>
        <w:t xml:space="preserve">             </w:t>
      </w:r>
      <w:r>
        <w:t xml:space="preserve"> </w:t>
      </w:r>
      <w:r>
        <w:rPr>
          <w:rFonts w:hint="eastAsia" w:ascii="宋体" w:hAnsi="宋体"/>
        </w:rPr>
        <w:t>日</w:t>
      </w:r>
      <w:r>
        <w:t xml:space="preserve">  </w:t>
      </w:r>
      <w:r>
        <w:rPr>
          <w:rFonts w:hint="eastAsia" w:ascii="宋体" w:hAnsi="宋体"/>
        </w:rPr>
        <w:t>期：</w:t>
      </w:r>
      <w:r>
        <w:rPr>
          <w:u w:val="single"/>
        </w:rPr>
        <w:t xml:space="preserve">         </w:t>
      </w:r>
    </w:p>
    <w:p>
      <w:pPr>
        <w:rPr>
          <w:rFonts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p>
      <w:pPr>
        <w:rPr>
          <w:rFonts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hint="eastAsia" w:ascii="等线" w:hAnsi="等线" w:eastAsia="等线" w:cs="Times New Roman"/>
          <w:szCs w:val="22"/>
        </w:rPr>
      </w:pPr>
    </w:p>
    <w:p>
      <w:pPr>
        <w:rPr>
          <w:rFonts w:ascii="等线" w:hAnsi="等线" w:eastAsia="等线" w:cs="Times New Roman"/>
          <w:szCs w:val="22"/>
        </w:rPr>
        <w:sectPr>
          <w:footerReference r:id="rId3" w:type="default"/>
          <w:footerReference r:id="rId4" w:type="even"/>
          <w:pgSz w:w="11906" w:h="16838"/>
          <w:pgMar w:top="1418" w:right="1134" w:bottom="1418" w:left="1701" w:header="851" w:footer="992" w:gutter="0"/>
          <w:pgBorders>
            <w:top w:val="none" w:sz="0" w:space="0"/>
            <w:left w:val="none" w:sz="0" w:space="0"/>
            <w:bottom w:val="none" w:sz="0" w:space="0"/>
            <w:right w:val="none" w:sz="0" w:space="0"/>
          </w:pgBorders>
          <w:cols w:space="0" w:num="1"/>
          <w:docGrid w:type="lines" w:linePitch="312" w:charSpace="0"/>
        </w:sectPr>
      </w:pPr>
    </w:p>
    <w:p>
      <w:pPr>
        <w:jc w:val="center"/>
        <w:rPr>
          <w:rFonts w:ascii="黑体" w:hAnsi="黑体" w:eastAsia="黑体" w:cs="Times New Roman"/>
          <w:sz w:val="36"/>
          <w:szCs w:val="36"/>
        </w:rPr>
      </w:pPr>
      <w:r>
        <w:rPr>
          <w:rFonts w:hint="eastAsia" w:ascii="黑体" w:hAnsi="黑体" w:eastAsia="黑体" w:cs="Times New Roman"/>
          <w:sz w:val="36"/>
          <w:szCs w:val="36"/>
        </w:rPr>
        <w:t xml:space="preserve">目 </w:t>
      </w:r>
      <w:r>
        <w:rPr>
          <w:rFonts w:ascii="黑体" w:hAnsi="黑体" w:eastAsia="黑体" w:cs="Times New Roman"/>
          <w:sz w:val="36"/>
          <w:szCs w:val="36"/>
        </w:rPr>
        <w:t xml:space="preserve">   </w:t>
      </w:r>
      <w:r>
        <w:rPr>
          <w:rFonts w:hint="eastAsia" w:ascii="黑体" w:hAnsi="黑体" w:eastAsia="黑体" w:cs="Times New Roman"/>
          <w:sz w:val="36"/>
          <w:szCs w:val="36"/>
        </w:rPr>
        <w:t>录</w:t>
      </w:r>
    </w:p>
    <w:p>
      <w:pPr>
        <w:adjustRightInd w:val="0"/>
        <w:snapToGrid w:val="0"/>
        <w:spacing w:line="440" w:lineRule="exact"/>
        <w:jc w:val="center"/>
        <w:rPr>
          <w:rFonts w:cs="Times New Roman" w:asciiTheme="minorEastAsia" w:hAnsiTheme="minorEastAsia"/>
          <w:sz w:val="24"/>
        </w:rPr>
      </w:pP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 w:val="0"/>
          <w:bCs w:val="0"/>
          <w:i w:val="0"/>
          <w:iCs w:val="0"/>
          <w:caps w:val="0"/>
          <w:sz w:val="24"/>
          <w:szCs w:val="24"/>
        </w:rPr>
        <w:fldChar w:fldCharType="begin"/>
      </w:r>
      <w:r>
        <w:rPr>
          <w:rFonts w:hint="eastAsia" w:asciiTheme="minorEastAsia" w:hAnsiTheme="minorEastAsia" w:eastAsiaTheme="minorEastAsia" w:cstheme="minorEastAsia"/>
          <w:b w:val="0"/>
          <w:bCs w:val="0"/>
          <w:i w:val="0"/>
          <w:iCs w:val="0"/>
          <w:caps w:val="0"/>
          <w:sz w:val="24"/>
          <w:szCs w:val="24"/>
        </w:rPr>
        <w:instrText xml:space="preserve"> TOC \o "1-3" \h \z \u </w:instrText>
      </w:r>
      <w:r>
        <w:rPr>
          <w:rFonts w:hint="eastAsia" w:asciiTheme="minorEastAsia" w:hAnsiTheme="minorEastAsia" w:eastAsiaTheme="minorEastAsia" w:cstheme="minorEastAsia"/>
          <w:b w:val="0"/>
          <w:bCs w:val="0"/>
          <w:i w:val="0"/>
          <w:iCs w:val="0"/>
          <w:caps w:val="0"/>
          <w:sz w:val="24"/>
          <w:szCs w:val="24"/>
        </w:rPr>
        <w:fldChar w:fldCharType="separate"/>
      </w:r>
      <w:r>
        <w:rPr>
          <w:rFonts w:hint="eastAsia" w:asciiTheme="minorEastAsia" w:hAnsiTheme="minorEastAsia" w:eastAsiaTheme="minorEastAsia" w:cstheme="minorEastAsia"/>
          <w:bCs w:val="0"/>
          <w:i w:val="0"/>
          <w:iCs w:val="0"/>
          <w:caps w:val="0"/>
          <w:sz w:val="24"/>
          <w:szCs w:val="24"/>
        </w:rPr>
        <w:fldChar w:fldCharType="begin"/>
      </w:r>
      <w:r>
        <w:rPr>
          <w:rFonts w:hint="eastAsia" w:asciiTheme="minorEastAsia" w:hAnsiTheme="minorEastAsia" w:eastAsiaTheme="minorEastAsia" w:cstheme="minorEastAsia"/>
          <w:bCs w:val="0"/>
          <w:i w:val="0"/>
          <w:iCs w:val="0"/>
          <w:caps w:val="0"/>
          <w:sz w:val="24"/>
          <w:szCs w:val="24"/>
        </w:rPr>
        <w:instrText xml:space="preserve"> HYPERLINK \l _Toc3644 </w:instrText>
      </w:r>
      <w:r>
        <w:rPr>
          <w:rFonts w:hint="eastAsia" w:asciiTheme="minorEastAsia" w:hAnsiTheme="minorEastAsia" w:eastAsiaTheme="minorEastAsia" w:cstheme="minorEastAsia"/>
          <w:bCs w:val="0"/>
          <w:i w:val="0"/>
          <w:iCs w:val="0"/>
          <w:caps w:val="0"/>
          <w:sz w:val="24"/>
          <w:szCs w:val="24"/>
        </w:rPr>
        <w:fldChar w:fldCharType="separate"/>
      </w:r>
      <w:r>
        <w:rPr>
          <w:rFonts w:hint="eastAsia" w:asciiTheme="minorEastAsia" w:hAnsiTheme="minorEastAsia" w:eastAsiaTheme="minorEastAsia" w:cstheme="minorEastAsia"/>
          <w:i w:val="0"/>
          <w:iCs w:val="0"/>
          <w:sz w:val="24"/>
          <w:szCs w:val="24"/>
        </w:rPr>
        <w:t>摘  要</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_Toc3644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III</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val="0"/>
          <w:i w:val="0"/>
          <w:iCs w:val="0"/>
          <w:caps w:val="0"/>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caps/>
          <w:sz w:val="24"/>
          <w:szCs w:val="24"/>
        </w:rPr>
        <w:fldChar w:fldCharType="begin"/>
      </w:r>
      <w:r>
        <w:rPr>
          <w:rFonts w:hint="eastAsia" w:asciiTheme="minorEastAsia" w:hAnsiTheme="minorEastAsia" w:eastAsiaTheme="minorEastAsia" w:cstheme="minorEastAsia"/>
          <w:b w:val="0"/>
          <w:bCs w:val="0"/>
          <w:i w:val="0"/>
          <w:iCs w:val="0"/>
          <w:caps/>
          <w:sz w:val="24"/>
          <w:szCs w:val="24"/>
        </w:rPr>
        <w:instrText xml:space="preserve"> HYPERLINK \l _Toc20421 </w:instrText>
      </w:r>
      <w:r>
        <w:rPr>
          <w:rFonts w:hint="eastAsia" w:asciiTheme="minorEastAsia" w:hAnsiTheme="minorEastAsia" w:eastAsiaTheme="minorEastAsia" w:cstheme="minorEastAsia"/>
          <w:b w:val="0"/>
          <w:bCs w:val="0"/>
          <w:i w:val="0"/>
          <w:iCs w:val="0"/>
          <w:caps/>
          <w:sz w:val="24"/>
          <w:szCs w:val="24"/>
        </w:rPr>
        <w:fldChar w:fldCharType="separate"/>
      </w:r>
      <w:r>
        <w:rPr>
          <w:rFonts w:hint="eastAsia" w:asciiTheme="minorEastAsia" w:hAnsiTheme="minorEastAsia" w:eastAsiaTheme="minorEastAsia" w:cstheme="minorEastAsia"/>
          <w:b/>
          <w:bCs/>
          <w:i w:val="0"/>
          <w:iCs w:val="0"/>
          <w:sz w:val="24"/>
          <w:szCs w:val="24"/>
        </w:rPr>
        <w:t>Abstract</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_Toc20421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III</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_Toc9520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第一章  绪论</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_Toc9520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_Toc11662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1.1问题的提出</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_Toc11662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_Toc13961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1.1.1研究背景</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_Toc13961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_Toc16775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1.1.2研究意义</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_Toc16775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_Toc18987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1.2国内外研究现状</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_Toc18987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_Toc8465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1.2.1国内对于医药商业类公司投资价值研究</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_Toc8465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_Toc16604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1.2.2国外对于医药商业类公司投资价值研究</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_Toc16604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_Toc20276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1.3研究路线与方法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_Toc20276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_Toc2418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1.3.1研究路线</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_Toc2418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2</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_Toc24472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1.3.2研究内容</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_Toc24472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_Toc28790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1.3.3研究方法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_Toc28790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_Toc24089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第二章  投资价值理论</w:t>
      </w:r>
      <w:r>
        <w:rPr>
          <w:rFonts w:hint="eastAsia" w:ascii="黑体" w:hAnsi="黑体" w:eastAsia="黑体" w:cs="黑体"/>
          <w:b w:val="0"/>
          <w:bCs w:val="0"/>
          <w:i w:val="0"/>
          <w:iCs w:val="0"/>
          <w:sz w:val="24"/>
          <w:szCs w:val="24"/>
          <w:lang w:val="en-US" w:eastAsia="zh-CN"/>
        </w:rPr>
        <w:t>与评价方法</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_Toc24089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4</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_Toc26088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2.1投资价值理论</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_Toc26088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_Toc2052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2.1.1上市公司投资价值评估的方法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_Toc2052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_Toc12801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2.1.</w:t>
      </w:r>
      <w:r>
        <w:rPr>
          <w:rFonts w:hint="eastAsia" w:asciiTheme="minorEastAsia" w:hAnsiTheme="minorEastAsia" w:eastAsiaTheme="minorEastAsia" w:cstheme="minorEastAsia"/>
          <w:i w:val="0"/>
          <w:iCs w:val="0"/>
          <w:sz w:val="24"/>
          <w:szCs w:val="24"/>
          <w:lang w:val="en-US" w:eastAsia="zh-CN"/>
        </w:rPr>
        <w:t>2TOPSIS对最终得分的综合评价法</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_Toc12801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_Toc3145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2.1.</w:t>
      </w:r>
      <w:r>
        <w:rPr>
          <w:rFonts w:hint="eastAsia" w:asciiTheme="minorEastAsia" w:hAnsiTheme="minorEastAsia" w:eastAsiaTheme="minorEastAsia" w:cstheme="minorEastAsia"/>
          <w:i w:val="0"/>
          <w:iCs w:val="0"/>
          <w:sz w:val="24"/>
          <w:szCs w:val="24"/>
          <w:lang w:val="en-US" w:eastAsia="zh-CN"/>
        </w:rPr>
        <w:t>3</w:t>
      </w:r>
      <w:r>
        <w:rPr>
          <w:rFonts w:hint="eastAsia" w:asciiTheme="minorEastAsia" w:hAnsiTheme="minorEastAsia" w:eastAsiaTheme="minorEastAsia" w:cstheme="minorEastAsia"/>
          <w:i w:val="0"/>
          <w:iCs w:val="0"/>
          <w:sz w:val="24"/>
          <w:szCs w:val="24"/>
        </w:rPr>
        <w:t>投资价值评价指标体系构建原则</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_Toc3145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_Toc6439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2.1.</w:t>
      </w:r>
      <w:r>
        <w:rPr>
          <w:rFonts w:hint="eastAsia" w:asciiTheme="minorEastAsia" w:hAnsiTheme="minorEastAsia" w:eastAsiaTheme="minorEastAsia" w:cstheme="minorEastAsia"/>
          <w:i w:val="0"/>
          <w:iCs w:val="0"/>
          <w:sz w:val="24"/>
          <w:szCs w:val="24"/>
          <w:lang w:val="en-US" w:eastAsia="zh-CN"/>
        </w:rPr>
        <w:t>4</w:t>
      </w:r>
      <w:r>
        <w:rPr>
          <w:rFonts w:hint="eastAsia" w:asciiTheme="minorEastAsia" w:hAnsiTheme="minorEastAsia" w:eastAsiaTheme="minorEastAsia" w:cstheme="minorEastAsia"/>
          <w:i w:val="0"/>
          <w:iCs w:val="0"/>
          <w:sz w:val="24"/>
          <w:szCs w:val="24"/>
        </w:rPr>
        <w:t>医药商业公司投资价值评价体系</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_Toc6439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6</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_Toc29214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第三章  医药商业类公司投资价值评估</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_Toc29214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6</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_Toc12404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3.1因子分析在投资价值评估体系的应用</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_Toc12404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6</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_Toc495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3.1.1因子分析的基本原理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_Toc495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6</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_Toc28540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3.1.2样本数据预处理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_Toc28540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_Toc10889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3.2投资价值评估过程</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_Toc10889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_Toc12598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3.2.1样本及指标选择</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_Toc12598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_Toc27874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3.2.2因子适应性分析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_Toc27874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_Toc9522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3.2.3公共因子的提取</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_Toc9522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7</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_Toc27381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3.2.5样本公司的投资价值得分</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_Toc27381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11</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4"/>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_Toc31622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3.3医药商业公司投资价值结果分析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_Toc31622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_Toc23162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3.3.1综合排名分析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_Toc23162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14</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_Toc10516 </w:instrText>
      </w:r>
      <w:r>
        <w:rPr>
          <w:rFonts w:hint="eastAsia" w:asciiTheme="minorEastAsia" w:hAnsiTheme="minorEastAsia" w:eastAsiaTheme="minorEastAsia" w:cstheme="minorEastAsia"/>
          <w:bCs/>
          <w:i w:val="0"/>
          <w:iCs w:val="0"/>
          <w:caps/>
          <w:sz w:val="24"/>
          <w:szCs w:val="24"/>
        </w:rPr>
        <w:fldChar w:fldCharType="separate"/>
      </w:r>
      <w:r>
        <w:rPr>
          <w:rFonts w:hint="eastAsia" w:asciiTheme="minorEastAsia" w:hAnsiTheme="minorEastAsia" w:eastAsiaTheme="minorEastAsia" w:cstheme="minorEastAsia"/>
          <w:i w:val="0"/>
          <w:iCs w:val="0"/>
          <w:sz w:val="24"/>
          <w:szCs w:val="24"/>
        </w:rPr>
        <w:t>3.3.</w:t>
      </w:r>
      <w:r>
        <w:rPr>
          <w:rFonts w:hint="eastAsia" w:asciiTheme="minorEastAsia" w:hAnsiTheme="minorEastAsia" w:eastAsiaTheme="minorEastAsia" w:cstheme="minorEastAsia"/>
          <w:i w:val="0"/>
          <w:iCs w:val="0"/>
          <w:sz w:val="24"/>
          <w:szCs w:val="24"/>
          <w:lang w:val="en-US" w:eastAsia="zh-CN"/>
        </w:rPr>
        <w:t>2topsis法</w:t>
      </w:r>
      <w:r>
        <w:rPr>
          <w:rFonts w:hint="eastAsia" w:asciiTheme="minorEastAsia" w:hAnsiTheme="minorEastAsia" w:eastAsiaTheme="minorEastAsia" w:cstheme="minorEastAsia"/>
          <w:i w:val="0"/>
          <w:iCs w:val="0"/>
          <w:sz w:val="24"/>
          <w:szCs w:val="24"/>
        </w:rPr>
        <w:t>综合排名分析</w:t>
      </w:r>
      <w:r>
        <w:rPr>
          <w:rFonts w:hint="eastAsia" w:asciiTheme="minorEastAsia" w:hAnsiTheme="minorEastAsia" w:eastAsiaTheme="minorEastAsia" w:cstheme="minorEastAsia"/>
          <w:i w:val="0"/>
          <w:iCs w:val="0"/>
          <w:sz w:val="24"/>
          <w:szCs w:val="24"/>
        </w:rPr>
        <w:tab/>
      </w:r>
      <w:r>
        <w:rPr>
          <w:rFonts w:hint="eastAsia" w:asciiTheme="minorEastAsia" w:hAnsiTheme="minorEastAsia" w:eastAsiaTheme="minorEastAsia" w:cstheme="minorEastAsia"/>
          <w:i w:val="0"/>
          <w:iCs w:val="0"/>
          <w:sz w:val="24"/>
          <w:szCs w:val="24"/>
        </w:rPr>
        <w:fldChar w:fldCharType="begin"/>
      </w:r>
      <w:r>
        <w:rPr>
          <w:rFonts w:hint="eastAsia" w:asciiTheme="minorEastAsia" w:hAnsiTheme="minorEastAsia" w:eastAsiaTheme="minorEastAsia" w:cstheme="minorEastAsia"/>
          <w:i w:val="0"/>
          <w:iCs w:val="0"/>
          <w:sz w:val="24"/>
          <w:szCs w:val="24"/>
        </w:rPr>
        <w:instrText xml:space="preserve"> PAGEREF _Toc10516 \h </w:instrText>
      </w:r>
      <w:r>
        <w:rPr>
          <w:rFonts w:hint="eastAsia" w:asciiTheme="minorEastAsia" w:hAnsiTheme="minorEastAsia" w:eastAsiaTheme="minorEastAsia" w:cstheme="minorEastAsia"/>
          <w:i w:val="0"/>
          <w:iCs w:val="0"/>
          <w:sz w:val="24"/>
          <w:szCs w:val="24"/>
        </w:rPr>
        <w:fldChar w:fldCharType="separate"/>
      </w:r>
      <w:r>
        <w:rPr>
          <w:rFonts w:hint="eastAsia" w:asciiTheme="minorEastAsia" w:hAnsiTheme="minorEastAsia" w:eastAsiaTheme="minorEastAsia" w:cstheme="minorEastAsia"/>
          <w:i w:val="0"/>
          <w:iCs w:val="0"/>
          <w:sz w:val="24"/>
          <w:szCs w:val="24"/>
        </w:rPr>
        <w:t>15</w:t>
      </w:r>
      <w:r>
        <w:rPr>
          <w:rFonts w:hint="eastAsia" w:asciiTheme="minorEastAsia" w:hAnsiTheme="minorEastAsia" w:eastAsiaTheme="minorEastAsia" w:cstheme="minorEastAsia"/>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_Toc25236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结论</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_Toc25236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19</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_Toc20250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i w:val="0"/>
          <w:iCs w:val="0"/>
          <w:sz w:val="24"/>
          <w:szCs w:val="24"/>
        </w:rPr>
        <w:t>参考文献</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_Toc20250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_Toc25507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致谢</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_Toc25507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pStyle w:val="11"/>
        <w:keepNext w:val="0"/>
        <w:keepLines w:val="0"/>
        <w:pageBreakBefore w:val="0"/>
        <w:widowControl w:val="0"/>
        <w:tabs>
          <w:tab w:val="right" w:leader="dot" w:pos="9071"/>
        </w:tabs>
        <w:kinsoku/>
        <w:wordWrap/>
        <w:overflowPunct/>
        <w:topLinePunct w:val="0"/>
        <w:autoSpaceDE/>
        <w:autoSpaceDN/>
        <w:bidi w:val="0"/>
        <w:spacing w:line="440" w:lineRule="exact"/>
        <w:textAlignment w:val="auto"/>
        <w:rPr>
          <w:rFonts w:hint="eastAsia" w:asciiTheme="minorEastAsia" w:hAnsiTheme="minorEastAsia" w:eastAsiaTheme="minorEastAsia" w:cstheme="minorEastAsia"/>
          <w:i w:val="0"/>
          <w:iCs w:val="0"/>
          <w:sz w:val="24"/>
          <w:szCs w:val="24"/>
        </w:rPr>
      </w:pPr>
      <w:r>
        <w:rPr>
          <w:rFonts w:hint="eastAsia" w:asciiTheme="minorEastAsia" w:hAnsiTheme="minorEastAsia" w:eastAsiaTheme="minorEastAsia" w:cstheme="minorEastAsia"/>
          <w:bCs/>
          <w:i w:val="0"/>
          <w:iCs w:val="0"/>
          <w:caps/>
          <w:sz w:val="24"/>
          <w:szCs w:val="24"/>
        </w:rPr>
        <w:fldChar w:fldCharType="begin"/>
      </w:r>
      <w:r>
        <w:rPr>
          <w:rFonts w:hint="eastAsia" w:asciiTheme="minorEastAsia" w:hAnsiTheme="minorEastAsia" w:eastAsiaTheme="minorEastAsia" w:cstheme="minorEastAsia"/>
          <w:bCs/>
          <w:i w:val="0"/>
          <w:iCs w:val="0"/>
          <w:caps/>
          <w:sz w:val="24"/>
          <w:szCs w:val="24"/>
        </w:rPr>
        <w:instrText xml:space="preserve"> HYPERLINK \l _Toc26669 </w:instrText>
      </w:r>
      <w:r>
        <w:rPr>
          <w:rFonts w:hint="eastAsia" w:asciiTheme="minorEastAsia" w:hAnsiTheme="minorEastAsia" w:eastAsiaTheme="minorEastAsia" w:cstheme="minorEastAsia"/>
          <w:bCs/>
          <w:i w:val="0"/>
          <w:iCs w:val="0"/>
          <w:caps/>
          <w:sz w:val="24"/>
          <w:szCs w:val="24"/>
        </w:rPr>
        <w:fldChar w:fldCharType="separate"/>
      </w:r>
      <w:r>
        <w:rPr>
          <w:rFonts w:hint="eastAsia" w:ascii="黑体" w:hAnsi="黑体" w:eastAsia="黑体" w:cs="黑体"/>
          <w:b w:val="0"/>
          <w:bCs w:val="0"/>
          <w:i w:val="0"/>
          <w:iCs w:val="0"/>
          <w:sz w:val="24"/>
          <w:szCs w:val="24"/>
        </w:rPr>
        <w:t>附录</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_Toc26669 \h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22</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Cs/>
          <w:i w:val="0"/>
          <w:iCs w:val="0"/>
          <w:caps/>
          <w:sz w:val="24"/>
          <w:szCs w:val="24"/>
        </w:rPr>
        <w:fldChar w:fldCharType="end"/>
      </w:r>
    </w:p>
    <w:p>
      <w:pPr>
        <w:keepNext w:val="0"/>
        <w:keepLines w:val="0"/>
        <w:pageBreakBefore w:val="0"/>
        <w:widowControl w:val="0"/>
        <w:kinsoku/>
        <w:wordWrap/>
        <w:overflowPunct/>
        <w:topLinePunct w:val="0"/>
        <w:autoSpaceDE/>
        <w:autoSpaceDN/>
        <w:bidi w:val="0"/>
        <w:adjustRightInd w:val="0"/>
        <w:snapToGrid w:val="0"/>
        <w:spacing w:line="440" w:lineRule="exact"/>
        <w:jc w:val="center"/>
        <w:textAlignment w:val="auto"/>
      </w:pPr>
      <w:r>
        <w:rPr>
          <w:rFonts w:hint="eastAsia" w:asciiTheme="minorEastAsia" w:hAnsiTheme="minorEastAsia" w:eastAsiaTheme="minorEastAsia" w:cstheme="minorEastAsia"/>
          <w:bCs/>
          <w:i w:val="0"/>
          <w:iCs w:val="0"/>
          <w:caps/>
          <w:sz w:val="24"/>
          <w:szCs w:val="24"/>
        </w:rPr>
        <w:fldChar w:fldCharType="end"/>
      </w:r>
      <w:r>
        <w:rPr>
          <w:rFonts w:hint="eastAsia" w:eastAsia="微软雅黑"/>
        </w:rPr>
        <w:br w:type="page"/>
      </w:r>
      <w:bookmarkStart w:id="4" w:name="_Toc71557016"/>
      <w:r>
        <w:rPr>
          <w:rFonts w:hint="eastAsia"/>
          <w:b/>
          <w:bCs/>
          <w:sz w:val="30"/>
          <w:szCs w:val="30"/>
        </w:rPr>
        <w:t>摘  要</w:t>
      </w:r>
      <w:bookmarkEnd w:id="4"/>
      <w:bookmarkStart w:id="41" w:name="_GoBack"/>
      <w:bookmarkEnd w:id="41"/>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近几年我国经济的快速发展和人们的收入增加,进行投资理财已近成为了人们关注的焦点,如何帮助投资者准确判断上市公司的投资价值非常重要。本文分别选取了</w:t>
      </w:r>
      <w:r>
        <w:rPr>
          <w:rFonts w:ascii="宋体" w:hAnsi="宋体" w:eastAsia="宋体" w:cs="宋体"/>
          <w:sz w:val="24"/>
        </w:rPr>
        <w:t>申万行业分类板块下</w:t>
      </w:r>
      <w:r>
        <w:rPr>
          <w:rFonts w:hint="eastAsia" w:ascii="宋体" w:hAnsi="宋体" w:eastAsia="宋体" w:cs="宋体"/>
          <w:sz w:val="24"/>
        </w:rPr>
        <w:t>剔除st下的26家医药商业公司2018年和2019年数据，作为投资价值的研究对象，根据财务指标建立投资价值评估体系，</w:t>
      </w:r>
      <w:r>
        <w:rPr>
          <w:rFonts w:ascii="宋体" w:hAnsi="宋体" w:eastAsia="宋体" w:cs="宋体"/>
          <w:sz w:val="24"/>
        </w:rPr>
        <w:t>对样本数据进行因子分析，得出价值投资的结论，为投资者在医药</w:t>
      </w:r>
      <w:r>
        <w:rPr>
          <w:rFonts w:hint="eastAsia" w:ascii="宋体" w:hAnsi="宋体" w:eastAsia="宋体" w:cs="宋体"/>
          <w:sz w:val="24"/>
        </w:rPr>
        <w:t>商业</w:t>
      </w:r>
      <w:r>
        <w:rPr>
          <w:rFonts w:ascii="宋体" w:hAnsi="宋体" w:eastAsia="宋体" w:cs="宋体"/>
          <w:sz w:val="24"/>
        </w:rPr>
        <w:t>的投资提供一定的参考。本文采用文献法了解国内外价值投资理论的研究现状，从基础分析、宏观分析、行业分析和微观分析四个方面分析影响公司价值投资的因素</w:t>
      </w:r>
      <w:r>
        <w:rPr>
          <w:rFonts w:hint="eastAsia" w:ascii="宋体" w:hAnsi="宋体" w:eastAsia="宋体" w:cs="宋体"/>
          <w:sz w:val="24"/>
        </w:rPr>
        <w:t>。从微观层面上选择13个财务指标对企业的财务状况运用因子分析,计算出两年的投资价值综合得分并对最终得分进行排名,发现影响公司综合得分的主要因子为盈利能力因子、运营能力因子、每股指标情况和偿债能力因子；但发展能力因子对投资价值的影响不会起重要作用，再结合2年的综合排名分析,排名靠前的公司可能具有更高的投资价值。</w:t>
      </w:r>
    </w:p>
    <w:p>
      <w:pPr>
        <w:adjustRightInd w:val="0"/>
        <w:snapToGrid w:val="0"/>
        <w:spacing w:line="440" w:lineRule="exact"/>
        <w:ind w:firstLine="482" w:firstLineChars="200"/>
        <w:rPr>
          <w:rFonts w:ascii="宋体" w:hAnsi="宋体" w:eastAsia="宋体" w:cstheme="minorEastAsia"/>
          <w:sz w:val="24"/>
        </w:rPr>
      </w:pPr>
      <w:r>
        <w:rPr>
          <w:rFonts w:hint="eastAsia" w:ascii="宋体" w:hAnsi="宋体" w:eastAsia="宋体" w:cs="黑体"/>
          <w:b/>
          <w:bCs/>
          <w:sz w:val="24"/>
        </w:rPr>
        <w:t>关键字</w:t>
      </w:r>
      <w:r>
        <w:rPr>
          <w:rFonts w:hint="eastAsia" w:ascii="宋体" w:hAnsi="宋体" w:eastAsia="宋体" w:cs="黑体"/>
          <w:sz w:val="24"/>
        </w:rPr>
        <w:t>：因子分析；投资价值分析</w:t>
      </w:r>
    </w:p>
    <w:p>
      <w:pPr>
        <w:adjustRightInd w:val="0"/>
        <w:snapToGrid w:val="0"/>
        <w:spacing w:line="440" w:lineRule="exact"/>
        <w:ind w:firstLine="480" w:firstLineChars="200"/>
        <w:rPr>
          <w:rFonts w:ascii="宋体" w:hAnsi="宋体" w:eastAsia="宋体"/>
          <w:sz w:val="24"/>
        </w:rPr>
      </w:pPr>
    </w:p>
    <w:p>
      <w:pPr>
        <w:pStyle w:val="2"/>
        <w:jc w:val="center"/>
      </w:pPr>
      <w:bookmarkStart w:id="5" w:name="_Toc20421"/>
      <w:r>
        <w:rPr>
          <w:rFonts w:hint="eastAsia"/>
        </w:rPr>
        <w:t>Abstract</w:t>
      </w:r>
      <w:bookmarkEnd w:id="5"/>
    </w:p>
    <w:p>
      <w:pPr>
        <w:adjustRightInd w:val="0"/>
        <w:snapToGrid w:val="0"/>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In recent years, with the rapid development of China's economy and the increase of people's income, investment and financial management has become the focus of people's attention. How to help investors accurately judge the investment value of listed companies is very important. This paper selected the "thousands of industry classification plate strip under st the 26 medicine commercial company in 2018 and 2019 data, as the research object of investment value, according to the financial index set up investment value assessment system, factor analysis was carried out on the sample data, draw the conclusion of value investing, for investors in the pharmaceutical business investment to provide certain reference. This paper uses the literature method to understand the research status of value investment theory at home and abroad, and analyzes the factors that affect the company's value investment from four aspects: basic analysis, macro analysis, industry analysis and micro analysis. From the micro level, 13 financial indicators are selected to use factor analysis to the financial situation of the enterprise, and the comprehensive score of investment value in two years is calculated and the final score is ranked. It is found that the main factors affecting the comprehensive score of the company are profitability factor, operating ability factor, index situation per share and debt paying ability factor. However, the development ability factor does not play an important role in the impact of investment value. Combined with the comprehensive ranking analysis of 2 years, the top companies may have higher investment value.</w:t>
      </w:r>
    </w:p>
    <w:p>
      <w:pPr>
        <w:adjustRightInd w:val="0"/>
        <w:snapToGrid w:val="0"/>
        <w:spacing w:line="440" w:lineRule="exact"/>
        <w:ind w:firstLine="482" w:firstLineChars="200"/>
        <w:rPr>
          <w:rFonts w:ascii="Times New Roman" w:hAnsi="Times New Roman" w:eastAsia="宋体" w:cs="Times New Roman"/>
          <w:sz w:val="24"/>
        </w:rPr>
      </w:pPr>
      <w:r>
        <w:rPr>
          <w:rFonts w:ascii="Times New Roman" w:hAnsi="Times New Roman" w:eastAsia="宋体" w:cs="Times New Roman"/>
          <w:b/>
          <w:bCs/>
          <w:sz w:val="24"/>
        </w:rPr>
        <w:t>Key words</w:t>
      </w:r>
      <w:r>
        <w:rPr>
          <w:rFonts w:ascii="Times New Roman" w:hAnsi="Times New Roman" w:eastAsia="宋体" w:cs="Times New Roman"/>
          <w:sz w:val="24"/>
        </w:rPr>
        <w:t>: factor analysis investment value analysis</w:t>
      </w:r>
    </w:p>
    <w:p>
      <w:pPr>
        <w:adjustRightInd w:val="0"/>
        <w:snapToGrid w:val="0"/>
        <w:spacing w:line="440" w:lineRule="exact"/>
        <w:ind w:firstLine="480" w:firstLineChars="200"/>
        <w:rPr>
          <w:rFonts w:ascii="宋体" w:hAnsi="宋体" w:eastAsia="宋体"/>
          <w:sz w:val="24"/>
        </w:rPr>
      </w:pPr>
    </w:p>
    <w:p>
      <w:pPr>
        <w:adjustRightInd w:val="0"/>
        <w:snapToGrid w:val="0"/>
        <w:spacing w:line="440" w:lineRule="exact"/>
        <w:ind w:firstLine="480" w:firstLineChars="200"/>
        <w:rPr>
          <w:rFonts w:ascii="宋体" w:hAnsi="宋体" w:eastAsia="宋体"/>
          <w:sz w:val="24"/>
        </w:rPr>
      </w:pPr>
    </w:p>
    <w:p>
      <w:pPr>
        <w:adjustRightInd w:val="0"/>
        <w:snapToGrid w:val="0"/>
        <w:spacing w:line="440" w:lineRule="exact"/>
        <w:ind w:firstLine="480" w:firstLineChars="200"/>
        <w:rPr>
          <w:rFonts w:ascii="宋体" w:hAnsi="宋体" w:eastAsia="宋体"/>
          <w:sz w:val="24"/>
        </w:rPr>
      </w:pPr>
    </w:p>
    <w:p>
      <w:pPr>
        <w:adjustRightInd w:val="0"/>
        <w:snapToGrid w:val="0"/>
        <w:spacing w:line="440" w:lineRule="exact"/>
        <w:ind w:firstLine="480" w:firstLineChars="200"/>
        <w:rPr>
          <w:rFonts w:ascii="宋体" w:hAnsi="宋体" w:eastAsia="宋体"/>
          <w:sz w:val="24"/>
        </w:rPr>
      </w:pPr>
    </w:p>
    <w:p>
      <w:pPr>
        <w:adjustRightInd w:val="0"/>
        <w:snapToGrid w:val="0"/>
        <w:spacing w:line="440" w:lineRule="exact"/>
        <w:ind w:firstLine="480" w:firstLineChars="200"/>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jc w:val="cente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pPr>
    </w:p>
    <w:p>
      <w:pPr>
        <w:rPr>
          <w:rFonts w:hint="eastAsia" w:ascii="宋体" w:hAnsi="宋体" w:eastAsia="宋体"/>
          <w:sz w:val="24"/>
        </w:rPr>
        <w:sectPr>
          <w:footerReference r:id="rId5" w:type="default"/>
          <w:footerReference r:id="rId6" w:type="even"/>
          <w:pgSz w:w="11906" w:h="16838"/>
          <w:pgMar w:top="1418" w:right="1134" w:bottom="1418" w:left="1701" w:header="851" w:footer="992" w:gutter="0"/>
          <w:pgBorders>
            <w:top w:val="none" w:sz="0" w:space="0"/>
            <w:left w:val="none" w:sz="0" w:space="0"/>
            <w:bottom w:val="none" w:sz="0" w:space="0"/>
            <w:right w:val="none" w:sz="0" w:space="0"/>
          </w:pgBorders>
          <w:pgNumType w:fmt="upperRoman" w:start="1"/>
          <w:cols w:space="0" w:num="1"/>
          <w:docGrid w:type="lines" w:linePitch="312" w:charSpace="0"/>
        </w:sectPr>
      </w:pPr>
    </w:p>
    <w:p>
      <w:pPr>
        <w:pStyle w:val="2"/>
      </w:pPr>
      <w:bookmarkStart w:id="6" w:name="_Toc9520"/>
      <w:r>
        <w:rPr>
          <w:rFonts w:hint="eastAsia"/>
        </w:rPr>
        <w:t xml:space="preserve">第一章 </w:t>
      </w:r>
      <w:r>
        <w:t xml:space="preserve"> </w:t>
      </w:r>
      <w:r>
        <w:rPr>
          <w:rFonts w:hint="eastAsia"/>
        </w:rPr>
        <w:t>绪论</w:t>
      </w:r>
      <w:bookmarkEnd w:id="6"/>
    </w:p>
    <w:p>
      <w:pPr>
        <w:pStyle w:val="3"/>
      </w:pPr>
      <w:bookmarkStart w:id="7" w:name="_Toc11662"/>
      <w:r>
        <w:rPr>
          <w:rFonts w:hint="eastAsia"/>
        </w:rPr>
        <w:t>1.1问题的提出</w:t>
      </w:r>
      <w:bookmarkEnd w:id="7"/>
    </w:p>
    <w:p>
      <w:pPr>
        <w:pStyle w:val="4"/>
      </w:pPr>
      <w:bookmarkStart w:id="8" w:name="_Toc13961"/>
      <w:r>
        <w:t>1.1.1研究背景</w:t>
      </w:r>
      <w:bookmarkEnd w:id="8"/>
    </w:p>
    <w:p>
      <w:pPr>
        <w:adjustRightInd w:val="0"/>
        <w:snapToGrid w:val="0"/>
        <w:spacing w:line="440" w:lineRule="exact"/>
        <w:ind w:firstLine="480" w:firstLineChars="200"/>
        <w:rPr>
          <w:rFonts w:ascii="宋体" w:hAnsi="宋体" w:eastAsia="宋体" w:cs="??"/>
          <w:color w:val="FF0000"/>
          <w:kern w:val="0"/>
          <w:sz w:val="24"/>
          <w:lang w:bidi="ar"/>
        </w:rPr>
      </w:pPr>
      <w:r>
        <w:rPr>
          <w:rFonts w:hint="eastAsia" w:ascii="宋体" w:hAnsi="宋体" w:eastAsia="宋体" w:cs="宋体"/>
          <w:sz w:val="24"/>
        </w:rPr>
        <w:t>医药行业作为我国国民经济的重要组成部分,在国民经济的发展进程中起到了重要的作用，并且在卫生防疫方面、医疗健康方面等国民生计的问题上具有重要作用。自新中国成立以来，我国的医药行业迅速发展，改革开放为医药行业创造了良好的发展环境和市场条件；自改革开放以后我国的医药行业呈现高速发展，其行业的增长速度一直高</w:t>
      </w:r>
      <w:r>
        <w:rPr>
          <w:rFonts w:hint="eastAsia" w:ascii="宋体" w:hAnsi="宋体" w:eastAsia="宋体" w:cs="宋体"/>
          <w:sz w:val="24"/>
          <w:lang w:val="en-US" w:eastAsia="zh-CN"/>
        </w:rPr>
        <w:t>于</w:t>
      </w:r>
      <w:r>
        <w:rPr>
          <w:rFonts w:hint="eastAsia" w:ascii="宋体" w:hAnsi="宋体" w:eastAsia="宋体" w:cs="宋体"/>
          <w:sz w:val="24"/>
        </w:rPr>
        <w:t>国内生产总值增长速度。随着我国经济水平的提高和医疗保障制度的不断完善，医药市场的潜在需求正在逐渐被释放。在国家政策扶持和新医改等诸多因素的影响下，我国医药行业的发展将再次提速，在此背景下，医药行业吸引了广大投资者。在过去的几年中医药行业板块表现良好，在股市占据重要组成部分，并且在今年新冠肺炎疫情下，疫苗的出现使得医药行业板块医药板备受投资者青睐。</w:t>
      </w:r>
      <w:r>
        <w:rPr>
          <w:rFonts w:ascii="宋体" w:hAnsi="宋体" w:eastAsia="宋体" w:cs="宋体"/>
          <w:sz w:val="24"/>
        </w:rPr>
        <w:br w:type="textWrapping"/>
      </w:r>
      <w:r>
        <w:rPr>
          <w:rFonts w:hint="eastAsia" w:ascii="宋体" w:hAnsi="宋体" w:eastAsia="宋体" w:cs="宋体"/>
          <w:sz w:val="24"/>
        </w:rPr>
        <w:t>近几年来医药行业板块越来越成为投资者关注的焦点板</w:t>
      </w:r>
      <w:r>
        <w:rPr>
          <w:rFonts w:ascii="宋体" w:hAnsi="宋体" w:eastAsia="宋体" w:cs="宋体"/>
          <w:sz w:val="24"/>
        </w:rPr>
        <w:t>，</w:t>
      </w:r>
      <w:r>
        <w:rPr>
          <w:rFonts w:hint="eastAsia" w:ascii="宋体" w:hAnsi="宋体" w:eastAsia="宋体" w:cs="宋体"/>
          <w:sz w:val="24"/>
        </w:rPr>
        <w:t>但并不是每一家公司都值得投资</w:t>
      </w:r>
      <w:r>
        <w:rPr>
          <w:rFonts w:ascii="宋体" w:hAnsi="宋体" w:eastAsia="宋体" w:cs="宋体"/>
          <w:sz w:val="24"/>
        </w:rPr>
        <w:t>，</w:t>
      </w:r>
      <w:r>
        <w:rPr>
          <w:rFonts w:hint="eastAsia" w:ascii="宋体" w:hAnsi="宋体" w:eastAsia="宋体" w:cs="宋体"/>
          <w:sz w:val="24"/>
        </w:rPr>
        <w:t>投资者如何利用宏观经济情况，行业特征情况进行有效筛选，寻找更加具有投资价值的公司已经成为了投资者所关注的重点</w:t>
      </w:r>
      <w:r>
        <w:rPr>
          <w:rFonts w:ascii="宋体" w:hAnsi="宋体" w:eastAsia="宋体" w:cs="宋体"/>
          <w:sz w:val="24"/>
        </w:rPr>
        <w:t>。在</w:t>
      </w:r>
      <w:r>
        <w:rPr>
          <w:rFonts w:hint="eastAsia" w:ascii="宋体" w:hAnsi="宋体" w:eastAsia="宋体" w:cs="宋体"/>
          <w:sz w:val="24"/>
        </w:rPr>
        <w:t>证券投资的过程中</w:t>
      </w:r>
      <w:r>
        <w:rPr>
          <w:rFonts w:ascii="宋体" w:hAnsi="宋体" w:eastAsia="宋体" w:cs="宋体"/>
          <w:sz w:val="24"/>
        </w:rPr>
        <w:t>，</w:t>
      </w:r>
      <w:r>
        <w:rPr>
          <w:rFonts w:hint="eastAsia" w:ascii="宋体" w:hAnsi="宋体" w:eastAsia="宋体" w:cs="宋体"/>
          <w:sz w:val="24"/>
        </w:rPr>
        <w:t>以进行严格的计算分析和对各个影响因素的客观分析</w:t>
      </w:r>
      <w:r>
        <w:rPr>
          <w:rFonts w:ascii="宋体" w:hAnsi="宋体" w:eastAsia="宋体" w:cs="宋体"/>
          <w:sz w:val="24"/>
        </w:rPr>
        <w:t>对行业内</w:t>
      </w:r>
      <w:r>
        <w:rPr>
          <w:rFonts w:hint="eastAsia" w:ascii="宋体" w:hAnsi="宋体" w:eastAsia="宋体" w:cs="宋体"/>
          <w:sz w:val="24"/>
        </w:rPr>
        <w:t>的投资</w:t>
      </w:r>
      <w:r>
        <w:rPr>
          <w:rFonts w:ascii="宋体" w:hAnsi="宋体" w:eastAsia="宋体" w:cs="宋体"/>
          <w:sz w:val="24"/>
        </w:rPr>
        <w:t>公司</w:t>
      </w:r>
      <w:r>
        <w:rPr>
          <w:rFonts w:hint="eastAsia" w:ascii="宋体" w:hAnsi="宋体" w:eastAsia="宋体" w:cs="宋体"/>
          <w:sz w:val="24"/>
        </w:rPr>
        <w:t>做价值判断分析</w:t>
      </w:r>
      <w:r>
        <w:rPr>
          <w:rFonts w:ascii="宋体" w:hAnsi="宋体" w:eastAsia="宋体" w:cs="宋体"/>
          <w:sz w:val="24"/>
        </w:rPr>
        <w:t>，</w:t>
      </w:r>
      <w:r>
        <w:rPr>
          <w:rFonts w:hint="eastAsia" w:ascii="宋体" w:hAnsi="宋体" w:eastAsia="宋体" w:cs="宋体"/>
          <w:sz w:val="24"/>
        </w:rPr>
        <w:t>可以初步了解该企业的基本经营情况</w:t>
      </w:r>
      <w:r>
        <w:rPr>
          <w:rFonts w:ascii="宋体" w:hAnsi="宋体" w:eastAsia="宋体" w:cs="宋体"/>
          <w:sz w:val="24"/>
        </w:rPr>
        <w:t>，此外，投资者</w:t>
      </w:r>
      <w:r>
        <w:rPr>
          <w:rFonts w:hint="eastAsia" w:ascii="宋体" w:hAnsi="宋体" w:eastAsia="宋体" w:cs="宋体"/>
          <w:sz w:val="24"/>
        </w:rPr>
        <w:t>也</w:t>
      </w:r>
      <w:r>
        <w:rPr>
          <w:rFonts w:ascii="宋体" w:hAnsi="宋体" w:eastAsia="宋体" w:cs="宋体"/>
          <w:sz w:val="24"/>
        </w:rPr>
        <w:t>可以根企业财务状况做出</w:t>
      </w:r>
      <w:r>
        <w:rPr>
          <w:rFonts w:hint="eastAsia" w:ascii="宋体" w:hAnsi="宋体" w:eastAsia="宋体" w:cs="宋体"/>
          <w:sz w:val="24"/>
        </w:rPr>
        <w:t>一定的</w:t>
      </w:r>
      <w:r>
        <w:rPr>
          <w:rFonts w:ascii="宋体" w:hAnsi="宋体" w:eastAsia="宋体" w:cs="宋体"/>
          <w:sz w:val="24"/>
        </w:rPr>
        <w:t>投资决策。</w:t>
      </w:r>
    </w:p>
    <w:p>
      <w:pPr>
        <w:pStyle w:val="4"/>
      </w:pPr>
      <w:bookmarkStart w:id="9" w:name="_Toc16775"/>
      <w:r>
        <w:t>1.1.2研究意义</w:t>
      </w:r>
      <w:bookmarkEnd w:id="9"/>
    </w:p>
    <w:p>
      <w:pPr>
        <w:adjustRightInd w:val="0"/>
        <w:snapToGrid w:val="0"/>
        <w:spacing w:line="440" w:lineRule="exact"/>
        <w:ind w:firstLine="480" w:firstLineChars="200"/>
        <w:rPr>
          <w:rFonts w:ascii="宋体" w:hAnsi="宋体" w:eastAsia="宋体" w:cs="宋体"/>
          <w:color w:val="5B9BD5" w:themeColor="accent1"/>
          <w:sz w:val="24"/>
          <w14:textFill>
            <w14:solidFill>
              <w14:schemeClr w14:val="accent1"/>
            </w14:solidFill>
          </w14:textFill>
        </w:rPr>
      </w:pPr>
      <w:r>
        <w:rPr>
          <w:rFonts w:hint="eastAsia" w:ascii="宋体" w:hAnsi="宋体" w:eastAsia="宋体" w:cs="宋体"/>
          <w:sz w:val="24"/>
        </w:rPr>
        <w:t>在当下较好的经济和市场环境</w:t>
      </w:r>
      <w:r>
        <w:rPr>
          <w:rFonts w:ascii="宋体" w:hAnsi="宋体" w:eastAsia="宋体" w:cs="宋体"/>
          <w:sz w:val="24"/>
        </w:rPr>
        <w:t>，</w:t>
      </w:r>
      <w:r>
        <w:rPr>
          <w:rFonts w:hint="eastAsia" w:ascii="宋体" w:hAnsi="宋体" w:eastAsia="宋体" w:cs="宋体"/>
          <w:sz w:val="24"/>
        </w:rPr>
        <w:t>医药商业行业受到了部分投资者的较大关注</w:t>
      </w:r>
      <w:r>
        <w:rPr>
          <w:rFonts w:ascii="宋体" w:hAnsi="宋体" w:eastAsia="宋体" w:cs="宋体"/>
          <w:sz w:val="24"/>
        </w:rPr>
        <w:t>。</w:t>
      </w:r>
      <w:r>
        <w:rPr>
          <w:rFonts w:hint="eastAsia" w:ascii="宋体" w:hAnsi="宋体" w:eastAsia="宋体" w:cs="宋体"/>
          <w:sz w:val="24"/>
        </w:rPr>
        <w:t>投资者可以从基本面分析法，宏观经济分析、行业分析和微观分析四个方面分析了解公司的初步情况以防止盲目投资。从微观层面上选择13个财务指标对企业的盈利能力、运营能力、发展能力、偿债能力和每股指标情况根据财务状况进行分析，得出一定的参考意见。文章通过</w:t>
      </w:r>
      <w:r>
        <w:rPr>
          <w:rFonts w:ascii="宋体" w:hAnsi="宋体" w:eastAsia="宋体" w:cs="宋体"/>
          <w:sz w:val="24"/>
        </w:rPr>
        <w:t>因子分析，</w:t>
      </w:r>
      <w:r>
        <w:rPr>
          <w:rFonts w:hint="eastAsia" w:ascii="宋体" w:hAnsi="宋体" w:eastAsia="宋体" w:cs="宋体"/>
          <w:sz w:val="24"/>
        </w:rPr>
        <w:t>得出综合得分对比两年分析结果情况，对未来投资者在行业中选择投资公司提供参考意见和依据。</w:t>
      </w:r>
    </w:p>
    <w:p>
      <w:pPr>
        <w:pStyle w:val="3"/>
      </w:pPr>
      <w:bookmarkStart w:id="10" w:name="_Toc18987"/>
      <w:r>
        <w:rPr>
          <w:rFonts w:hint="eastAsia"/>
        </w:rPr>
        <w:t>1.2国内外研究现状</w:t>
      </w:r>
      <w:bookmarkEnd w:id="10"/>
    </w:p>
    <w:p>
      <w:pPr>
        <w:pStyle w:val="4"/>
      </w:pPr>
      <w:bookmarkStart w:id="11" w:name="_Toc8465"/>
      <w:r>
        <w:t>1.2.1国内对于医药商业类公司投资价值研究</w:t>
      </w:r>
      <w:bookmarkEnd w:id="11"/>
    </w:p>
    <w:p>
      <w:pPr>
        <w:adjustRightInd w:val="0"/>
        <w:snapToGrid w:val="0"/>
        <w:spacing w:line="440" w:lineRule="exact"/>
        <w:ind w:firstLine="480" w:firstLineChars="200"/>
        <w:rPr>
          <w:rFonts w:ascii="宋体" w:hAnsi="宋体" w:eastAsia="宋体"/>
          <w:sz w:val="24"/>
        </w:rPr>
      </w:pPr>
      <w:r>
        <w:rPr>
          <w:rFonts w:hint="eastAsia" w:ascii="宋体" w:hAnsi="宋体" w:eastAsia="宋体" w:cs="宋体"/>
          <w:sz w:val="24"/>
        </w:rPr>
        <w:t>祝静远</w:t>
      </w:r>
      <w:r>
        <w:rPr>
          <w:rFonts w:ascii="宋体" w:hAnsi="宋体" w:eastAsia="宋体" w:cs="宋体"/>
          <w:sz w:val="24"/>
        </w:rPr>
        <w:t>（</w:t>
      </w:r>
      <w:r>
        <w:rPr>
          <w:rFonts w:hint="eastAsia" w:ascii="宋体" w:hAnsi="宋体" w:eastAsia="宋体" w:cs="宋体"/>
          <w:sz w:val="24"/>
        </w:rPr>
        <w:t>2019</w:t>
      </w:r>
      <w:r>
        <w:rPr>
          <w:rFonts w:ascii="宋体" w:hAnsi="宋体" w:eastAsia="宋体" w:cs="宋体"/>
          <w:sz w:val="24"/>
        </w:rPr>
        <w:t>）</w:t>
      </w:r>
      <w:r>
        <w:rPr>
          <w:rFonts w:hint="eastAsia" w:ascii="宋体" w:hAnsi="宋体" w:eastAsia="宋体" w:cs="宋体"/>
          <w:sz w:val="24"/>
        </w:rPr>
        <w:t>通过使用TOPSIS法对因子分析进行改进，在环保上市公司财务绩效评价研究中研究评价对象与最优因子方案的贴近程度，对样本公司的财务绩效做了客观的评价。张雯睿（2018）对中国上市券商竞争力的实证研究运用因子分析 ，对财务指标的正向化、逆向化和适度化处理后进行因子分析。其中盈利能力因子的占比最大，</w:t>
      </w:r>
      <w:r>
        <w:rPr>
          <w:rFonts w:ascii="宋体" w:hAnsi="宋体" w:eastAsia="宋体" w:cs="宋体"/>
          <w:sz w:val="24"/>
        </w:rPr>
        <w:t>是上市券商提升自身竞争力的首选因子</w:t>
      </w:r>
      <w:r>
        <w:rPr>
          <w:rFonts w:hint="eastAsia" w:ascii="宋体" w:hAnsi="宋体" w:eastAsia="宋体" w:cs="宋体"/>
          <w:sz w:val="24"/>
        </w:rPr>
        <w:t xml:space="preserve">。赖陈恒（2014）选择了公司是否被追踪为y变量，在跟踪行为实证研究中使用Logit </w:t>
      </w:r>
      <w:r>
        <w:rPr>
          <w:rFonts w:ascii="宋体" w:hAnsi="宋体" w:eastAsia="宋体" w:cs="宋体"/>
          <w:sz w:val="24"/>
        </w:rPr>
        <w:t>模型</w:t>
      </w:r>
      <w:r>
        <w:rPr>
          <w:rFonts w:hint="eastAsia" w:ascii="宋体" w:hAnsi="宋体" w:eastAsia="宋体" w:cs="宋体"/>
          <w:sz w:val="24"/>
        </w:rPr>
        <w:t>；在进行因子分析后运用面板logit模型判别正确率达70.01%。程寅骁（2021）</w:t>
      </w:r>
      <w:r>
        <w:rPr>
          <w:rFonts w:ascii="宋体" w:hAnsi="宋体" w:eastAsia="宋体" w:cs="宋体"/>
          <w:sz w:val="24"/>
        </w:rPr>
        <w:t>运用因子分析等统计学手段对</w:t>
      </w:r>
      <w:r>
        <w:rPr>
          <w:rFonts w:hint="eastAsia" w:ascii="宋体" w:hAnsi="宋体" w:eastAsia="宋体" w:cs="宋体"/>
          <w:sz w:val="24"/>
        </w:rPr>
        <w:t>样本数据做</w:t>
      </w:r>
      <w:r>
        <w:rPr>
          <w:rFonts w:ascii="宋体" w:hAnsi="宋体" w:eastAsia="宋体" w:cs="宋体"/>
          <w:sz w:val="24"/>
        </w:rPr>
        <w:t>财务预警指标进行优化筛选,构建出一个城投公司财务预警体系</w:t>
      </w:r>
      <w:r>
        <w:rPr>
          <w:rFonts w:hint="eastAsia" w:ascii="宋体" w:hAnsi="宋体" w:eastAsia="宋体" w:cs="宋体"/>
          <w:sz w:val="24"/>
        </w:rPr>
        <w:t>。</w:t>
      </w:r>
    </w:p>
    <w:p>
      <w:pPr>
        <w:pStyle w:val="4"/>
      </w:pPr>
      <w:bookmarkStart w:id="12" w:name="_Toc16604"/>
      <w:r>
        <w:t>1.2.2国外对于医药商业类公司投资价值研究</w:t>
      </w:r>
      <w:bookmarkEnd w:id="12"/>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国外在价值投资方面</w:t>
      </w:r>
      <w:r>
        <w:rPr>
          <w:rFonts w:hint="eastAsia" w:ascii="宋体" w:hAnsi="宋体" w:eastAsia="宋体" w:cs="宋体"/>
          <w:sz w:val="24"/>
          <w:lang w:val="en-US" w:eastAsia="zh-CN"/>
        </w:rPr>
        <w:t>,</w:t>
      </w:r>
      <w:r>
        <w:rPr>
          <w:rFonts w:hint="eastAsia" w:ascii="宋体" w:hAnsi="宋体" w:eastAsia="宋体" w:cs="宋体"/>
          <w:sz w:val="24"/>
        </w:rPr>
        <w:t>基本分析学派和学术分析学派的主要代表人物有本杰明·格雷厄姆和股神巴菲特，他们获得收益的主要方式是购入那些具有内在价值潜力较大的股票，一直到想卖出为止。Stanley Lim Peir Shenq 等（2017）指出投资者为了在投资中获得一定的回报都在尝试寻找那些具有内在价值的，但却被市场低估的公司股票，并且在进行投资股票选择</w:t>
      </w:r>
      <w:r>
        <w:rPr>
          <w:rFonts w:hint="eastAsia" w:ascii="宋体" w:hAnsi="宋体" w:eastAsia="宋体" w:cs="宋体"/>
          <w:sz w:val="24"/>
          <w:lang w:val="en-US" w:eastAsia="zh-CN"/>
        </w:rPr>
        <w:t>时</w:t>
      </w:r>
      <w:r>
        <w:rPr>
          <w:rFonts w:ascii="宋体" w:hAnsi="宋体" w:eastAsia="宋体" w:cs="宋体"/>
          <w:sz w:val="24"/>
        </w:rPr>
        <w:t>从基础分析、宏观分析、行业分析和微观分析四个方面分析影响公司价值投资的因素</w:t>
      </w:r>
      <w:r>
        <w:rPr>
          <w:rFonts w:hint="eastAsia" w:ascii="宋体" w:hAnsi="宋体" w:eastAsia="宋体" w:cs="宋体"/>
          <w:sz w:val="24"/>
        </w:rPr>
        <w:t>。学术分析流派中不同的学者通过对投资策略的分析与研究，总结出多种理论模型，为现代投资价值评估方法的选择奠定了理论基础</w:t>
      </w:r>
    </w:p>
    <w:p>
      <w:pPr>
        <w:pStyle w:val="3"/>
      </w:pPr>
      <w:bookmarkStart w:id="13" w:name="_Toc20276"/>
      <w:r>
        <w:rPr>
          <w:rFonts w:hint="eastAsia"/>
        </w:rPr>
        <w:t>1.3研究路线与方法</w:t>
      </w:r>
      <w:bookmarkEnd w:id="13"/>
    </w:p>
    <w:p>
      <w:pPr>
        <w:pStyle w:val="4"/>
      </w:pPr>
      <w:bookmarkStart w:id="14" w:name="_Toc2418"/>
      <w:r>
        <w:t>1.3.1研究路线</w:t>
      </w:r>
      <w:bookmarkEnd w:id="14"/>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通过企业的财务指标构建价值投资的评价体系，运用因子分析对企业的财务状况有一个初步的了解，帮助投资者进一步了解近几年公司的发展情况和现状，可为投资者提供一定的参考。</w:t>
      </w:r>
    </w:p>
    <w:p>
      <w:pPr>
        <w:jc w:val="center"/>
      </w:pPr>
      <w:r>
        <w:rPr>
          <w:rFonts w:ascii="宋体" w:hAnsi="宋体" w:eastAsia="宋体" w:cs="宋体"/>
          <w:sz w:val="24"/>
        </w:rPr>
        <w:drawing>
          <wp:inline distT="0" distB="0" distL="114300" distR="114300">
            <wp:extent cx="5264785" cy="8293735"/>
            <wp:effectExtent l="0" t="0" r="0" b="0"/>
            <wp:docPr id="2" name="图片 2" descr="论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论文流程图"/>
                    <pic:cNvPicPr>
                      <a:picLocks noChangeAspect="1"/>
                    </pic:cNvPicPr>
                  </pic:nvPicPr>
                  <pic:blipFill>
                    <a:blip r:embed="rId17"/>
                    <a:stretch>
                      <a:fillRect/>
                    </a:stretch>
                  </pic:blipFill>
                  <pic:spPr>
                    <a:xfrm>
                      <a:off x="0" y="0"/>
                      <a:ext cx="5264785" cy="8293735"/>
                    </a:xfrm>
                    <a:prstGeom prst="rect">
                      <a:avLst/>
                    </a:prstGeom>
                  </pic:spPr>
                </pic:pic>
              </a:graphicData>
            </a:graphic>
          </wp:inline>
        </w:drawing>
      </w:r>
    </w:p>
    <w:p>
      <w:pPr>
        <w:rPr>
          <w:rFonts w:ascii="黑体" w:hAnsi="黑体" w:eastAsia="黑体" w:cs="黑体"/>
          <w:sz w:val="28"/>
          <w:szCs w:val="28"/>
        </w:rPr>
      </w:pPr>
    </w:p>
    <w:p>
      <w:pPr>
        <w:pStyle w:val="4"/>
      </w:pPr>
      <w:bookmarkStart w:id="15" w:name="_Toc24472"/>
      <w:r>
        <w:t>1.3.2研究内容</w:t>
      </w:r>
      <w:bookmarkEnd w:id="15"/>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文章共三章</w:t>
      </w:r>
      <w:r>
        <w:rPr>
          <w:rFonts w:cs="宋体" w:asciiTheme="minorEastAsia" w:hAnsiTheme="minorEastAsia"/>
          <w:sz w:val="24"/>
        </w:rPr>
        <w:t>：</w:t>
      </w:r>
    </w:p>
    <w:p>
      <w:pPr>
        <w:adjustRightInd w:val="0"/>
        <w:snapToGrid w:val="0"/>
        <w:spacing w:line="440" w:lineRule="exact"/>
        <w:ind w:firstLine="480" w:firstLineChars="200"/>
        <w:rPr>
          <w:rFonts w:cs="宋体" w:asciiTheme="minorEastAsia" w:hAnsiTheme="minorEastAsia"/>
          <w:sz w:val="24"/>
        </w:rPr>
      </w:pPr>
      <w:r>
        <w:rPr>
          <w:rFonts w:cs="宋体" w:asciiTheme="minorEastAsia" w:hAnsiTheme="minorEastAsia"/>
          <w:sz w:val="24"/>
        </w:rPr>
        <w:t>第一章</w:t>
      </w:r>
      <w:r>
        <w:rPr>
          <w:rFonts w:hint="eastAsia" w:cs="宋体" w:asciiTheme="minorEastAsia" w:hAnsiTheme="minorEastAsia"/>
          <w:sz w:val="24"/>
        </w:rPr>
        <w:t>为</w:t>
      </w:r>
      <w:r>
        <w:rPr>
          <w:rFonts w:cs="宋体" w:asciiTheme="minorEastAsia" w:hAnsiTheme="minorEastAsia"/>
          <w:sz w:val="24"/>
        </w:rPr>
        <w:t>绪论部分，</w:t>
      </w:r>
      <w:r>
        <w:rPr>
          <w:rFonts w:hint="eastAsia" w:cs="宋体" w:asciiTheme="minorEastAsia" w:hAnsiTheme="minorEastAsia"/>
          <w:sz w:val="24"/>
        </w:rPr>
        <w:t>介绍本文的研究背景、目的和意义；及目前在做公司投资价值理论分析的国内外的研究现状和文章的研究的路线内容及其方法。</w:t>
      </w:r>
    </w:p>
    <w:p>
      <w:pPr>
        <w:adjustRightInd w:val="0"/>
        <w:snapToGrid w:val="0"/>
        <w:spacing w:line="440" w:lineRule="exact"/>
        <w:ind w:firstLine="480" w:firstLineChars="200"/>
        <w:rPr>
          <w:rFonts w:cs="宋体" w:asciiTheme="minorEastAsia" w:hAnsiTheme="minorEastAsia"/>
          <w:sz w:val="24"/>
        </w:rPr>
      </w:pPr>
      <w:r>
        <w:rPr>
          <w:rFonts w:cs="宋体" w:asciiTheme="minorEastAsia" w:hAnsiTheme="minorEastAsia"/>
          <w:sz w:val="24"/>
        </w:rPr>
        <w:t>第</w:t>
      </w:r>
      <w:r>
        <w:rPr>
          <w:rFonts w:hint="eastAsia" w:cs="宋体" w:asciiTheme="minorEastAsia" w:hAnsiTheme="minorEastAsia"/>
          <w:sz w:val="24"/>
        </w:rPr>
        <w:t>二</w:t>
      </w:r>
      <w:r>
        <w:rPr>
          <w:rFonts w:cs="宋体" w:asciiTheme="minorEastAsia" w:hAnsiTheme="minorEastAsia"/>
          <w:sz w:val="24"/>
        </w:rPr>
        <w:t>章</w:t>
      </w:r>
      <w:r>
        <w:rPr>
          <w:rFonts w:hint="eastAsia" w:cs="宋体" w:asciiTheme="minorEastAsia" w:hAnsiTheme="minorEastAsia"/>
          <w:sz w:val="24"/>
        </w:rPr>
        <w:t>主要为理论部分，介绍投资价值评估的体系，包括了上市公司投资价值评估的方法；在通过基本面分析法、宏观经济分析和微观分析建立了财务指标的投资价值评估体系。</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第三</w:t>
      </w:r>
      <w:r>
        <w:rPr>
          <w:rFonts w:cs="宋体" w:asciiTheme="minorEastAsia" w:hAnsiTheme="minorEastAsia"/>
          <w:sz w:val="24"/>
        </w:rPr>
        <w:t>部分为</w:t>
      </w:r>
      <w:r>
        <w:rPr>
          <w:rFonts w:hint="eastAsia" w:cs="宋体" w:asciiTheme="minorEastAsia" w:hAnsiTheme="minorEastAsia"/>
          <w:sz w:val="24"/>
        </w:rPr>
        <w:t>因子分析部分，包括因子分析在投资价值评估体系的应用</w:t>
      </w:r>
      <w:r>
        <w:rPr>
          <w:rFonts w:cs="宋体" w:asciiTheme="minorEastAsia" w:hAnsiTheme="minorEastAsia"/>
          <w:sz w:val="24"/>
        </w:rPr>
        <w:t>，</w:t>
      </w:r>
      <w:r>
        <w:rPr>
          <w:rFonts w:hint="eastAsia" w:cs="宋体" w:asciiTheme="minorEastAsia" w:hAnsiTheme="minorEastAsia"/>
          <w:sz w:val="24"/>
        </w:rPr>
        <w:t>投资价值评估过程和最后的投资价值分析结果，</w:t>
      </w:r>
      <w:r>
        <w:rPr>
          <w:rFonts w:hint="eastAsia" w:cs="宋体" w:asciiTheme="minorEastAsia" w:hAnsiTheme="minorEastAsia"/>
          <w:sz w:val="24"/>
          <w:lang w:val="en-US" w:eastAsia="zh-CN"/>
        </w:rPr>
        <w:t>根据</w:t>
      </w:r>
      <w:r>
        <w:rPr>
          <w:rFonts w:hint="eastAsia" w:cs="宋体" w:asciiTheme="minorEastAsia" w:hAnsiTheme="minorEastAsia"/>
          <w:sz w:val="24"/>
        </w:rPr>
        <w:t>综合得分结果对全文进行总结。</w:t>
      </w:r>
    </w:p>
    <w:p>
      <w:pPr>
        <w:pStyle w:val="4"/>
      </w:pPr>
      <w:bookmarkStart w:id="16" w:name="_Toc28790"/>
      <w:r>
        <w:t>1.3.3研究方法</w:t>
      </w:r>
      <w:bookmarkEnd w:id="16"/>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（1）</w:t>
      </w:r>
      <w:r>
        <w:rPr>
          <w:rFonts w:cs="宋体" w:asciiTheme="minorEastAsia" w:hAnsiTheme="minorEastAsia"/>
          <w:sz w:val="24"/>
        </w:rPr>
        <w:t>文献研究法</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阅读国内外有关公司价值投资的相关文献，了解投资价值的理论和方法，在通过对比选择适合分析的因子分析法，对样本数据进行分析，借此希望通过该研究可以将研究的结果运用到实际的投资选择和公司发展情况方面。</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（2）</w:t>
      </w:r>
      <w:r>
        <w:rPr>
          <w:rFonts w:cs="宋体" w:asciiTheme="minorEastAsia" w:hAnsiTheme="minorEastAsia"/>
          <w:sz w:val="24"/>
        </w:rPr>
        <w:t>定量分析</w:t>
      </w:r>
      <w:r>
        <w:rPr>
          <w:rFonts w:hint="eastAsia" w:cs="宋体" w:asciiTheme="minorEastAsia" w:hAnsiTheme="minorEastAsia"/>
          <w:sz w:val="24"/>
        </w:rPr>
        <w:t>法</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对基本面分析法、宏观经济分析法、行业分析和微观分析等一系列概念的介绍</w:t>
      </w:r>
      <w:r>
        <w:rPr>
          <w:rFonts w:cs="宋体" w:asciiTheme="minorEastAsia" w:hAnsiTheme="minorEastAsia"/>
          <w:sz w:val="24"/>
        </w:rPr>
        <w:t>，同时结合数据资料，</w:t>
      </w:r>
      <w:r>
        <w:rPr>
          <w:rFonts w:hint="eastAsia" w:cs="宋体" w:asciiTheme="minorEastAsia" w:hAnsiTheme="minorEastAsia"/>
          <w:sz w:val="24"/>
          <w:lang w:val="en-US" w:eastAsia="zh-CN"/>
        </w:rPr>
        <w:t>选</w:t>
      </w:r>
      <w:r>
        <w:rPr>
          <w:rFonts w:hint="eastAsia" w:cs="宋体" w:asciiTheme="minorEastAsia" w:hAnsiTheme="minorEastAsia"/>
          <w:sz w:val="24"/>
        </w:rPr>
        <w:t>择５个方面13个财务指标构建综合指标评价体系。</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（3）定性</w:t>
      </w:r>
      <w:r>
        <w:rPr>
          <w:rFonts w:cs="宋体" w:asciiTheme="minorEastAsia" w:hAnsiTheme="minorEastAsia"/>
          <w:sz w:val="24"/>
        </w:rPr>
        <w:t>分析</w:t>
      </w:r>
      <w:r>
        <w:rPr>
          <w:rFonts w:hint="eastAsia" w:cs="宋体" w:asciiTheme="minorEastAsia" w:hAnsiTheme="minorEastAsia"/>
          <w:sz w:val="24"/>
        </w:rPr>
        <w:t>法</w:t>
      </w:r>
    </w:p>
    <w:p>
      <w:pPr>
        <w:adjustRightInd w:val="0"/>
        <w:snapToGrid w:val="0"/>
        <w:spacing w:line="440" w:lineRule="exact"/>
        <w:ind w:firstLine="480" w:firstLineChars="200"/>
        <w:rPr>
          <w:rFonts w:asciiTheme="minorEastAsia" w:hAnsiTheme="minorEastAsia"/>
          <w:sz w:val="24"/>
        </w:rPr>
      </w:pPr>
      <w:r>
        <w:rPr>
          <w:rFonts w:hint="eastAsia" w:cs="宋体" w:asciiTheme="minorEastAsia" w:hAnsiTheme="minorEastAsia"/>
          <w:sz w:val="24"/>
        </w:rPr>
        <w:t>通过建立好的指标体系运用因子分析，按步骤对样本数据进行实证分析并得出数据结果</w:t>
      </w:r>
      <w:r>
        <w:rPr>
          <w:rFonts w:cs="宋体" w:asciiTheme="minorEastAsia" w:hAnsiTheme="minorEastAsia"/>
          <w:sz w:val="24"/>
        </w:rPr>
        <w:t>结论</w:t>
      </w:r>
      <w:r>
        <w:rPr>
          <w:rFonts w:hint="eastAsia" w:cs="宋体" w:asciiTheme="minorEastAsia" w:hAnsiTheme="minorEastAsia"/>
          <w:sz w:val="24"/>
        </w:rPr>
        <w:t>。</w:t>
      </w:r>
    </w:p>
    <w:p>
      <w:pPr>
        <w:adjustRightInd w:val="0"/>
        <w:snapToGrid w:val="0"/>
        <w:spacing w:line="440" w:lineRule="exact"/>
        <w:ind w:firstLine="480" w:firstLineChars="200"/>
        <w:rPr>
          <w:rFonts w:asciiTheme="minorEastAsia" w:hAnsiTheme="minorEastAsia"/>
          <w:sz w:val="24"/>
        </w:rPr>
      </w:pPr>
    </w:p>
    <w:p>
      <w:pPr>
        <w:adjustRightInd w:val="0"/>
        <w:snapToGrid w:val="0"/>
        <w:spacing w:line="440" w:lineRule="exact"/>
        <w:ind w:firstLine="480" w:firstLineChars="200"/>
        <w:rPr>
          <w:rFonts w:asciiTheme="minorEastAsia" w:hAnsiTheme="minorEastAsia"/>
          <w:sz w:val="24"/>
        </w:rPr>
        <w:sectPr>
          <w:headerReference r:id="rId7" w:type="default"/>
          <w:footerReference r:id="rId9" w:type="default"/>
          <w:headerReference r:id="rId8" w:type="even"/>
          <w:footerReference r:id="rId10" w:type="even"/>
          <w:pgSz w:w="11906" w:h="16838"/>
          <w:pgMar w:top="1418" w:right="1134" w:bottom="1418" w:left="1701" w:header="851" w:footer="992" w:gutter="0"/>
          <w:pgBorders>
            <w:top w:val="none" w:sz="0" w:space="0"/>
            <w:left w:val="none" w:sz="0" w:space="0"/>
            <w:bottom w:val="none" w:sz="0" w:space="0"/>
            <w:right w:val="none" w:sz="0" w:space="0"/>
          </w:pgBorders>
          <w:pgNumType w:fmt="decimal" w:start="1"/>
          <w:cols w:space="0" w:num="1"/>
          <w:docGrid w:type="lines" w:linePitch="312" w:charSpace="0"/>
        </w:sectPr>
      </w:pPr>
    </w:p>
    <w:p>
      <w:pPr>
        <w:adjustRightInd w:val="0"/>
        <w:snapToGrid w:val="0"/>
        <w:spacing w:line="440" w:lineRule="exact"/>
        <w:ind w:firstLine="480" w:firstLineChars="200"/>
        <w:rPr>
          <w:rFonts w:hint="eastAsia" w:asciiTheme="minorEastAsia" w:hAnsiTheme="minorEastAsia"/>
          <w:sz w:val="24"/>
        </w:rPr>
      </w:pPr>
    </w:p>
    <w:p>
      <w:pPr>
        <w:pStyle w:val="2"/>
        <w:rPr>
          <w:rFonts w:hint="default" w:eastAsia="宋体"/>
          <w:lang w:val="en-US" w:eastAsia="zh-CN"/>
        </w:rPr>
      </w:pPr>
      <w:bookmarkStart w:id="17" w:name="_Toc24089"/>
      <w:r>
        <w:rPr>
          <w:rFonts w:hint="eastAsia"/>
        </w:rPr>
        <w:t xml:space="preserve">第二章 </w:t>
      </w:r>
      <w:r>
        <w:t xml:space="preserve"> </w:t>
      </w:r>
      <w:r>
        <w:rPr>
          <w:rFonts w:hint="eastAsia"/>
        </w:rPr>
        <w:t>投资价值理论</w:t>
      </w:r>
      <w:r>
        <w:rPr>
          <w:rFonts w:hint="eastAsia"/>
          <w:lang w:val="en-US" w:eastAsia="zh-CN"/>
        </w:rPr>
        <w:t>与评价方法</w:t>
      </w:r>
      <w:bookmarkEnd w:id="17"/>
    </w:p>
    <w:p>
      <w:pPr>
        <w:pStyle w:val="3"/>
      </w:pPr>
      <w:bookmarkStart w:id="18" w:name="_Toc26088"/>
      <w:r>
        <w:rPr>
          <w:rFonts w:hint="eastAsia"/>
        </w:rPr>
        <w:t>2.1投资价值理论</w:t>
      </w:r>
      <w:bookmarkEnd w:id="18"/>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价值投资理论是以企业的内在价值为基础，对于投资者来说他们获得收益的主要方式是购入那些具有内在价值潜力较大的股票，一直到想卖出为止。在国外投资家们指出每个人为了在投资中获得一定的回报都在尝试寻找那些具有内在价值的，但却被市场低估的公司股票，以公司的基本财务数据为基础的投资分析，并且在进行分析时充分考虑宏观经济情况，行业形势和特征等因素。比如，当市场环境不好时，某一只股票股票的内在价值已经下跌，那么这些投资者们会将已持有的股票将钱转到另一个内在价值被低估的投资上。</w:t>
      </w:r>
    </w:p>
    <w:p>
      <w:pPr>
        <w:pStyle w:val="4"/>
        <w:rPr>
          <w:rFonts w:cs="宋体"/>
        </w:rPr>
      </w:pPr>
      <w:bookmarkStart w:id="19" w:name="_Toc2052"/>
      <w:r>
        <w:t>2.1.1上市公司投资价值评估的方法</w:t>
      </w:r>
      <w:bookmarkEnd w:id="19"/>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投资是一个长远的计划，投资者如何选择一家公司进行投资，主要看该公司股票的基本情况、目前市场环境等等一些列因素，从宏观经济形式和行业特征的宏观分析可以使得投资者对目标投资公司的股票在市场目前有上涨趋势或是下跌趋势或是持平有一个大概的了解；投资公司主要看其内在价值，而内在价值的主要由财务指标表现出来，公司健康的财务状况说明该公司目前或在未来短时间内公司经营管理是良好的，不会出现债务危机，财务状况良好的公司可能具有较大的潜在的内在价值，投资者们不会选择一家财务状况不健康的公司作为投资目标。因此，在投资中，投资者们不仅要了解当前的经济形势，行业特征等，还要从公司的财务状况观察其内在价值，才能对投资的公司有一个基本全面的认识。</w:t>
      </w:r>
    </w:p>
    <w:p>
      <w:pPr>
        <w:pStyle w:val="4"/>
        <w:rPr>
          <w:rFonts w:hint="eastAsia"/>
          <w:lang w:val="en-US" w:eastAsia="zh-CN"/>
        </w:rPr>
      </w:pPr>
      <w:bookmarkStart w:id="20" w:name="_Toc71557035"/>
      <w:bookmarkStart w:id="21" w:name="_Toc12801"/>
      <w:r>
        <w:t>2.1.</w:t>
      </w:r>
      <w:bookmarkEnd w:id="20"/>
      <w:r>
        <w:rPr>
          <w:rFonts w:hint="eastAsia"/>
          <w:lang w:val="en-US" w:eastAsia="zh-CN"/>
        </w:rPr>
        <w:t>2TOPSIS对最终得分的综合评价法</w:t>
      </w:r>
      <w:bookmarkEnd w:id="21"/>
    </w:p>
    <w:p>
      <w:pPr>
        <w:adjustRightInd w:val="0"/>
        <w:snapToGrid w:val="0"/>
        <w:spacing w:line="440" w:lineRule="exact"/>
        <w:ind w:firstLine="480" w:firstLineChars="200"/>
        <w:rPr>
          <w:rFonts w:hint="eastAsia" w:cs="宋体" w:asciiTheme="minorEastAsia" w:hAnsiTheme="minorEastAsia"/>
          <w:sz w:val="24"/>
          <w:lang w:val="en-US" w:eastAsia="zh-CN"/>
        </w:rPr>
      </w:pPr>
      <w:r>
        <w:rPr>
          <w:rFonts w:hint="eastAsia" w:cs="宋体" w:asciiTheme="minorEastAsia" w:hAnsiTheme="minorEastAsia"/>
          <w:sz w:val="24"/>
          <w:lang w:val="en-US" w:eastAsia="zh-CN"/>
        </w:rPr>
        <w:t>在因子分析得到综合得分排名后，选择两年的综合得分作topsis法的新指标，topsis法可将两年的波动性的排名做最终的综合排名，topsos法是综合评价方法，通过计算最优与最劣的距离得出需要评价的对象与最优方案之间的贴近距离，可以运用于面板数据。</w:t>
      </w:r>
    </w:p>
    <w:p>
      <w:pPr>
        <w:numPr>
          <w:ilvl w:val="0"/>
          <w:numId w:val="1"/>
        </w:numPr>
        <w:adjustRightInd w:val="0"/>
        <w:snapToGrid w:val="0"/>
        <w:spacing w:line="440" w:lineRule="exact"/>
        <w:ind w:firstLine="480" w:firstLineChars="200"/>
        <w:rPr>
          <w:rFonts w:hint="eastAsia" w:cs="宋体" w:asciiTheme="minorEastAsia" w:hAnsiTheme="minorEastAsia"/>
          <w:sz w:val="24"/>
          <w:lang w:val="en-US" w:eastAsia="zh-CN"/>
        </w:rPr>
      </w:pPr>
      <w:r>
        <w:rPr>
          <w:rFonts w:hint="eastAsia" w:cs="宋体" w:asciiTheme="minorEastAsia" w:hAnsiTheme="minorEastAsia"/>
          <w:sz w:val="24"/>
          <w:lang w:val="en-US" w:eastAsia="zh-CN"/>
        </w:rPr>
        <w:t>对两你那的综合得分做标准化，归一化处理</w:t>
      </w:r>
    </w:p>
    <w:p>
      <w:pPr>
        <w:numPr>
          <w:ilvl w:val="0"/>
          <w:numId w:val="0"/>
        </w:numPr>
        <w:ind w:firstLine="420" w:firstLineChars="0"/>
        <w:rPr>
          <w:rFonts w:hint="default"/>
          <w:lang w:val="en-US" w:eastAsia="zh-CN"/>
        </w:rPr>
      </w:pPr>
      <w:r>
        <w:rPr>
          <w:rFonts w:hint="default"/>
          <w:position w:val="-30"/>
          <w:lang w:val="en-US" w:eastAsia="zh-CN"/>
        </w:rPr>
        <w:object>
          <v:shape id="_x0000_i1025" o:spt="75" type="#_x0000_t75" style="height:38pt;width:78pt;" o:ole="t" filled="f" o:preferrelative="t" stroked="f" coordsize="21600,21600">
            <v:path/>
            <v:fill on="f" focussize="0,0"/>
            <v:stroke on="f"/>
            <v:imagedata r:id="rId19" o:title=""/>
            <o:lock v:ext="edit" aspectratio="t"/>
            <w10:wrap type="none"/>
            <w10:anchorlock/>
          </v:shape>
          <o:OLEObject Type="Embed" ProgID="Equation.DSMT4" ShapeID="_x0000_i1025" DrawAspect="Content" ObjectID="_1468075725" r:id="rId18">
            <o:LockedField>false</o:LockedField>
          </o:OLEObject>
        </w:object>
      </w:r>
    </w:p>
    <w:p>
      <w:pPr>
        <w:numPr>
          <w:ilvl w:val="0"/>
          <w:numId w:val="1"/>
        </w:numPr>
        <w:adjustRightInd w:val="0"/>
        <w:snapToGrid w:val="0"/>
        <w:spacing w:line="440" w:lineRule="exact"/>
        <w:ind w:firstLine="480" w:firstLineChars="200"/>
        <w:rPr>
          <w:rFonts w:hint="eastAsia" w:cs="宋体" w:asciiTheme="minorEastAsia" w:hAnsiTheme="minorEastAsia"/>
          <w:sz w:val="24"/>
          <w:lang w:val="en-US" w:eastAsia="zh-CN"/>
        </w:rPr>
      </w:pPr>
      <w:r>
        <w:rPr>
          <w:rFonts w:hint="eastAsia" w:cs="宋体" w:asciiTheme="minorEastAsia" w:hAnsiTheme="minorEastAsia"/>
          <w:sz w:val="24"/>
          <w:lang w:val="en-US" w:eastAsia="zh-CN"/>
        </w:rPr>
        <w:t xml:space="preserve"> 最优列值向量和最劣值向量</w:t>
      </w:r>
    </w:p>
    <w:p>
      <w:pPr>
        <w:numPr>
          <w:ilvl w:val="0"/>
          <w:numId w:val="0"/>
        </w:numPr>
        <w:adjustRightInd w:val="0"/>
        <w:snapToGrid w:val="0"/>
        <w:spacing w:line="440" w:lineRule="exact"/>
        <w:ind w:firstLine="420" w:firstLineChars="0"/>
        <w:rPr>
          <w:rFonts w:hint="eastAsia" w:cs="宋体" w:asciiTheme="minorEastAsia" w:hAnsiTheme="minorEastAsia"/>
          <w:sz w:val="24"/>
          <w:lang w:val="en-US" w:eastAsia="zh-CN"/>
        </w:rPr>
      </w:pPr>
      <w:r>
        <w:rPr>
          <w:rFonts w:hint="eastAsia" w:cs="宋体" w:asciiTheme="minorEastAsia" w:hAnsiTheme="minorEastAsia"/>
          <w:position w:val="-14"/>
          <w:sz w:val="24"/>
          <w:lang w:val="en-US" w:eastAsia="zh-CN"/>
        </w:rPr>
        <w:object>
          <v:shape id="_x0000_i1026" o:spt="75" type="#_x0000_t75" style="height:19.5pt;width:91.35pt;" o:ole="t" filled="f" o:preferrelative="t" stroked="f" coordsize="21600,21600">
            <v:path/>
            <v:fill on="f" focussize="0,0"/>
            <v:stroke on="f"/>
            <v:imagedata r:id="rId21" o:title=""/>
            <o:lock v:ext="edit" aspectratio="t"/>
            <w10:wrap type="none"/>
            <w10:anchorlock/>
          </v:shape>
          <o:OLEObject Type="Embed" ProgID="Equation.DSMT4" ShapeID="_x0000_i1026" DrawAspect="Content" ObjectID="_1468075726" r:id="rId20">
            <o:LockedField>false</o:LockedField>
          </o:OLEObject>
        </w:object>
      </w:r>
    </w:p>
    <w:p>
      <w:pPr>
        <w:numPr>
          <w:ilvl w:val="0"/>
          <w:numId w:val="0"/>
        </w:numPr>
        <w:adjustRightInd w:val="0"/>
        <w:snapToGrid w:val="0"/>
        <w:spacing w:line="440" w:lineRule="exact"/>
        <w:ind w:firstLine="420" w:firstLineChars="0"/>
        <w:rPr>
          <w:rFonts w:hint="eastAsia" w:cs="宋体" w:asciiTheme="minorEastAsia" w:hAnsiTheme="minorEastAsia"/>
          <w:sz w:val="24"/>
          <w:lang w:val="en-US" w:eastAsia="zh-CN"/>
        </w:rPr>
      </w:pPr>
      <w:r>
        <w:rPr>
          <w:rFonts w:hint="eastAsia" w:cs="宋体" w:asciiTheme="minorEastAsia" w:hAnsiTheme="minorEastAsia"/>
          <w:position w:val="-14"/>
          <w:sz w:val="24"/>
          <w:lang w:val="en-US" w:eastAsia="zh-CN"/>
        </w:rPr>
        <w:object>
          <v:shape id="_x0000_i1027" o:spt="75" type="#_x0000_t75" style="height:20pt;width:92pt;" o:ole="t" filled="f" o:preferrelative="t" stroked="f" coordsize="21600,21600">
            <v:path/>
            <v:fill on="f" focussize="0,0"/>
            <v:stroke on="f"/>
            <v:imagedata r:id="rId23" o:title=""/>
            <o:lock v:ext="edit" aspectratio="t"/>
            <w10:wrap type="none"/>
            <w10:anchorlock/>
          </v:shape>
          <o:OLEObject Type="Embed" ProgID="Equation.DSMT4" ShapeID="_x0000_i1027" DrawAspect="Content" ObjectID="_1468075727" r:id="rId22">
            <o:LockedField>false</o:LockedField>
          </o:OLEObject>
        </w:object>
      </w:r>
    </w:p>
    <w:p>
      <w:pPr>
        <w:numPr>
          <w:ilvl w:val="0"/>
          <w:numId w:val="1"/>
        </w:numPr>
        <w:adjustRightInd w:val="0"/>
        <w:snapToGrid w:val="0"/>
        <w:spacing w:line="440" w:lineRule="exact"/>
        <w:ind w:firstLine="480" w:firstLineChars="200"/>
        <w:rPr>
          <w:rFonts w:hint="eastAsia" w:cs="宋体" w:asciiTheme="minorEastAsia" w:hAnsiTheme="minorEastAsia"/>
          <w:sz w:val="24"/>
          <w:lang w:val="en-US" w:eastAsia="zh-CN"/>
        </w:rPr>
      </w:pPr>
      <w:r>
        <w:rPr>
          <w:rFonts w:hint="eastAsia" w:cs="宋体" w:asciiTheme="minorEastAsia" w:hAnsiTheme="minorEastAsia"/>
          <w:sz w:val="24"/>
          <w:lang w:val="en-US" w:eastAsia="zh-CN"/>
        </w:rPr>
        <w:t>计算最优方案和最劣方案</w:t>
      </w:r>
    </w:p>
    <w:p>
      <w:pPr>
        <w:numPr>
          <w:ilvl w:val="0"/>
          <w:numId w:val="0"/>
        </w:numPr>
        <w:ind w:firstLine="420" w:firstLineChars="0"/>
        <w:rPr>
          <w:rFonts w:hint="default"/>
          <w:lang w:val="en-US" w:eastAsia="zh-CN"/>
        </w:rPr>
      </w:pPr>
      <w:r>
        <w:rPr>
          <w:rFonts w:hint="default"/>
          <w:position w:val="-30"/>
          <w:lang w:val="en-US" w:eastAsia="zh-CN"/>
        </w:rPr>
        <w:object>
          <v:shape id="_x0000_i1028" o:spt="75" type="#_x0000_t75" style="height:38pt;width:114pt;" o:ole="t" filled="f" o:preferrelative="t" stroked="f" coordsize="21600,21600">
            <v:path/>
            <v:fill on="f" focussize="0,0"/>
            <v:stroke on="f"/>
            <v:imagedata r:id="rId25" o:title=""/>
            <o:lock v:ext="edit" aspectratio="t"/>
            <w10:wrap type="none"/>
            <w10:anchorlock/>
          </v:shape>
          <o:OLEObject Type="Embed" ProgID="Equation.DSMT4" ShapeID="_x0000_i1028" DrawAspect="Content" ObjectID="_1468075728" r:id="rId24">
            <o:LockedField>false</o:LockedField>
          </o:OLEObject>
        </w:object>
      </w:r>
    </w:p>
    <w:p>
      <w:pPr>
        <w:numPr>
          <w:ilvl w:val="0"/>
          <w:numId w:val="0"/>
        </w:numPr>
        <w:ind w:firstLine="420" w:firstLineChars="0"/>
        <w:rPr>
          <w:rFonts w:hint="default"/>
          <w:lang w:val="en-US" w:eastAsia="zh-CN"/>
        </w:rPr>
      </w:pPr>
      <w:r>
        <w:rPr>
          <w:rFonts w:hint="default"/>
          <w:position w:val="-30"/>
          <w:lang w:val="en-US" w:eastAsia="zh-CN"/>
        </w:rPr>
        <w:object>
          <v:shape id="_x0000_i1029" o:spt="75" type="#_x0000_t75" style="height:38pt;width:114pt;" o:ole="t" filled="f" o:preferrelative="t" stroked="f" coordsize="21600,21600">
            <v:path/>
            <v:fill on="f" focussize="0,0"/>
            <v:stroke on="f"/>
            <v:imagedata r:id="rId27" o:title=""/>
            <o:lock v:ext="edit" aspectratio="t"/>
            <w10:wrap type="none"/>
            <w10:anchorlock/>
          </v:shape>
          <o:OLEObject Type="Embed" ProgID="Equation.DSMT4" ShapeID="_x0000_i1029" DrawAspect="Content" ObjectID="_1468075729" r:id="rId26">
            <o:LockedField>false</o:LockedField>
          </o:OLEObject>
        </w:object>
      </w:r>
    </w:p>
    <w:p>
      <w:pPr>
        <w:numPr>
          <w:ilvl w:val="0"/>
          <w:numId w:val="1"/>
        </w:numPr>
        <w:adjustRightInd w:val="0"/>
        <w:snapToGrid w:val="0"/>
        <w:spacing w:line="440" w:lineRule="exact"/>
        <w:ind w:firstLine="480" w:firstLineChars="200"/>
        <w:rPr>
          <w:rFonts w:hint="eastAsia" w:cs="宋体" w:asciiTheme="minorEastAsia" w:hAnsiTheme="minorEastAsia"/>
          <w:sz w:val="24"/>
          <w:lang w:val="en-US" w:eastAsia="zh-CN"/>
        </w:rPr>
      </w:pPr>
      <w:r>
        <w:rPr>
          <w:rFonts w:hint="eastAsia" w:cs="宋体" w:asciiTheme="minorEastAsia" w:hAnsiTheme="minorEastAsia"/>
          <w:sz w:val="24"/>
          <w:lang w:val="en-US" w:eastAsia="zh-CN"/>
        </w:rPr>
        <w:t>计算评价对象与最优方案接近程度</w:t>
      </w:r>
    </w:p>
    <w:p>
      <w:pPr>
        <w:numPr>
          <w:ilvl w:val="0"/>
          <w:numId w:val="0"/>
        </w:numPr>
        <w:ind w:firstLine="420" w:firstLineChars="0"/>
        <w:rPr>
          <w:rFonts w:hint="default"/>
          <w:lang w:val="en-US" w:eastAsia="zh-CN"/>
        </w:rPr>
      </w:pPr>
      <w:r>
        <w:rPr>
          <w:rFonts w:hint="default"/>
          <w:position w:val="-10"/>
          <w:lang w:val="en-US" w:eastAsia="zh-CN"/>
        </w:rPr>
        <w:object>
          <v:shape id="_x0000_i1030" o:spt="75" type="#_x0000_t75" style="height:16pt;width:95pt;" o:ole="t" filled="f" o:preferrelative="t" stroked="f" coordsize="21600,21600">
            <v:path/>
            <v:fill on="f" focussize="0,0"/>
            <v:stroke on="f"/>
            <v:imagedata r:id="rId29" o:title=""/>
            <o:lock v:ext="edit" aspectratio="t"/>
            <w10:wrap type="none"/>
            <w10:anchorlock/>
          </v:shape>
          <o:OLEObject Type="Embed" ProgID="Equation.DSMT4" ShapeID="_x0000_i1030" DrawAspect="Content" ObjectID="_1468075730" r:id="rId28">
            <o:LockedField>false</o:LockedField>
          </o:OLEObject>
        </w:object>
      </w:r>
    </w:p>
    <w:p>
      <w:pPr>
        <w:pStyle w:val="4"/>
      </w:pPr>
      <w:bookmarkStart w:id="22" w:name="_Toc3145"/>
      <w:r>
        <w:t>2.1.</w:t>
      </w:r>
      <w:r>
        <w:rPr>
          <w:rFonts w:hint="eastAsia"/>
          <w:lang w:val="en-US" w:eastAsia="zh-CN"/>
        </w:rPr>
        <w:t>3</w:t>
      </w:r>
      <w:r>
        <w:t>投资价值评价指标体系构建原则</w:t>
      </w:r>
      <w:bookmarkEnd w:id="22"/>
    </w:p>
    <w:p>
      <w:pPr>
        <w:adjustRightInd w:val="0"/>
        <w:snapToGrid w:val="0"/>
        <w:spacing w:line="440" w:lineRule="exact"/>
        <w:ind w:firstLine="480" w:firstLineChars="200"/>
        <w:rPr>
          <w:rFonts w:cs="宋体" w:asciiTheme="minorEastAsia" w:hAnsiTheme="minorEastAsia"/>
          <w:sz w:val="24"/>
        </w:rPr>
      </w:pPr>
      <w:r>
        <w:rPr>
          <w:rFonts w:cs="宋体" w:asciiTheme="minorEastAsia" w:hAnsiTheme="minorEastAsia"/>
          <w:sz w:val="24"/>
        </w:rPr>
        <w:t>（１）可比性原则</w:t>
      </w:r>
    </w:p>
    <w:p>
      <w:pPr>
        <w:adjustRightInd w:val="0"/>
        <w:snapToGrid w:val="0"/>
        <w:spacing w:line="440" w:lineRule="exact"/>
        <w:ind w:firstLine="480" w:firstLineChars="200"/>
        <w:rPr>
          <w:rFonts w:cs="宋体" w:asciiTheme="minorEastAsia" w:hAnsiTheme="minorEastAsia"/>
          <w:sz w:val="24"/>
        </w:rPr>
      </w:pPr>
      <w:r>
        <w:rPr>
          <w:rFonts w:hint="eastAsia" w:cs="宋体" w:asciiTheme="minorEastAsia" w:hAnsiTheme="minorEastAsia"/>
          <w:sz w:val="24"/>
        </w:rPr>
        <w:t>指标选择时依据医药商业公司财务状况主要评价指标为基础。</w:t>
      </w:r>
      <w:r>
        <w:rPr>
          <w:rFonts w:cs="宋体" w:asciiTheme="minorEastAsia" w:hAnsiTheme="minorEastAsia"/>
          <w:sz w:val="24"/>
        </w:rPr>
        <w:t></w:t>
      </w:r>
    </w:p>
    <w:p>
      <w:pPr>
        <w:adjustRightInd w:val="0"/>
        <w:snapToGrid w:val="0"/>
        <w:spacing w:line="440" w:lineRule="exact"/>
        <w:ind w:firstLine="480" w:firstLineChars="200"/>
        <w:rPr>
          <w:rFonts w:cs="宋体" w:asciiTheme="minorEastAsia" w:hAnsiTheme="minorEastAsia"/>
          <w:sz w:val="24"/>
        </w:rPr>
      </w:pPr>
      <w:r>
        <w:rPr>
          <w:rFonts w:cs="宋体" w:asciiTheme="minorEastAsia" w:hAnsiTheme="minorEastAsia"/>
          <w:sz w:val="24"/>
        </w:rPr>
        <w:t>（２）全面科学原则</w:t>
      </w:r>
    </w:p>
    <w:p>
      <w:pPr>
        <w:adjustRightInd w:val="0"/>
        <w:snapToGrid w:val="0"/>
        <w:spacing w:line="440" w:lineRule="exact"/>
        <w:ind w:firstLine="480" w:firstLineChars="200"/>
        <w:rPr>
          <w:rFonts w:cs="宋体" w:asciiTheme="minorEastAsia" w:hAnsiTheme="minorEastAsia"/>
          <w:sz w:val="24"/>
        </w:rPr>
      </w:pPr>
      <w:r>
        <w:rPr>
          <w:rFonts w:cs="宋体" w:asciiTheme="minorEastAsia" w:hAnsiTheme="minorEastAsia"/>
          <w:sz w:val="24"/>
        </w:rPr>
        <w:t>从多角度、</w:t>
      </w:r>
      <w:r>
        <w:rPr>
          <w:rFonts w:hint="eastAsia" w:cs="宋体" w:asciiTheme="minorEastAsia" w:hAnsiTheme="minorEastAsia"/>
          <w:sz w:val="24"/>
        </w:rPr>
        <w:t>多层次方面</w:t>
      </w:r>
      <w:r>
        <w:rPr>
          <w:rFonts w:cs="宋体" w:asciiTheme="minorEastAsia" w:hAnsiTheme="minorEastAsia"/>
          <w:sz w:val="24"/>
        </w:rPr>
        <w:t>尽可能全面地反映公司的整体</w:t>
      </w:r>
      <w:r>
        <w:rPr>
          <w:rFonts w:hint="eastAsia" w:cs="宋体" w:asciiTheme="minorEastAsia" w:hAnsiTheme="minorEastAsia"/>
          <w:sz w:val="24"/>
        </w:rPr>
        <w:t>经营</w:t>
      </w:r>
      <w:r>
        <w:rPr>
          <w:rFonts w:cs="宋体" w:asciiTheme="minorEastAsia" w:hAnsiTheme="minorEastAsia"/>
          <w:sz w:val="24"/>
        </w:rPr>
        <w:t>状况</w:t>
      </w:r>
      <w:r>
        <w:rPr>
          <w:rFonts w:hint="eastAsia" w:cs="宋体" w:asciiTheme="minorEastAsia" w:hAnsiTheme="minorEastAsia"/>
          <w:sz w:val="24"/>
        </w:rPr>
        <w:t>，以便清晰的反映出公司实际的经营情况</w:t>
      </w:r>
      <w:r>
        <w:rPr>
          <w:rFonts w:cs="宋体" w:asciiTheme="minorEastAsia" w:hAnsiTheme="minorEastAsia"/>
          <w:sz w:val="24"/>
        </w:rPr>
        <w:t>。</w:t>
      </w:r>
    </w:p>
    <w:p>
      <w:pPr>
        <w:pStyle w:val="4"/>
      </w:pPr>
      <w:bookmarkStart w:id="23" w:name="_Toc6439"/>
      <w:r>
        <w:t>2.1.</w:t>
      </w:r>
      <w:r>
        <w:rPr>
          <w:rFonts w:hint="eastAsia"/>
          <w:lang w:val="en-US" w:eastAsia="zh-CN"/>
        </w:rPr>
        <w:t>4</w:t>
      </w:r>
      <w:r>
        <w:t>医药商业公司投资价值评价体系</w:t>
      </w:r>
      <w:bookmarkEnd w:id="23"/>
    </w:p>
    <w:p>
      <w:pPr>
        <w:adjustRightInd w:val="0"/>
        <w:snapToGrid w:val="0"/>
        <w:spacing w:line="440" w:lineRule="exact"/>
        <w:ind w:firstLine="480" w:firstLineChars="200"/>
        <w:rPr>
          <w:rFonts w:hint="default" w:cs="宋体" w:asciiTheme="minorEastAsia" w:hAnsiTheme="minorEastAsia"/>
          <w:sz w:val="24"/>
          <w:lang w:val="en-US" w:eastAsia="zh-CN"/>
        </w:rPr>
      </w:pPr>
      <w:r>
        <w:rPr>
          <w:rFonts w:hint="eastAsia" w:cs="宋体" w:asciiTheme="minorEastAsia" w:hAnsiTheme="minorEastAsia"/>
          <w:sz w:val="24"/>
          <w:lang w:val="en-US" w:eastAsia="zh-CN"/>
        </w:rPr>
        <w:t>根据经验选择以下13个指标</w:t>
      </w:r>
    </w:p>
    <w:tbl>
      <w:tblPr>
        <w:tblStyle w:val="16"/>
        <w:tblW w:w="898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8"/>
        <w:gridCol w:w="1889"/>
        <w:gridCol w:w="4183"/>
        <w:gridCol w:w="15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jc w:val="center"/>
        </w:trPr>
        <w:tc>
          <w:tcPr>
            <w:tcW w:w="1368" w:type="dxa"/>
            <w:tcBorders>
              <w:bottom w:val="single" w:color="auto" w:sz="4" w:space="0"/>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指标类别</w:t>
            </w:r>
          </w:p>
        </w:tc>
        <w:tc>
          <w:tcPr>
            <w:tcW w:w="1889" w:type="dxa"/>
            <w:tcBorders>
              <w:bottom w:val="single" w:color="auto" w:sz="4" w:space="0"/>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指标名称</w:t>
            </w:r>
          </w:p>
        </w:tc>
        <w:tc>
          <w:tcPr>
            <w:tcW w:w="4183" w:type="dxa"/>
            <w:tcBorders>
              <w:bottom w:val="single" w:color="auto" w:sz="4" w:space="0"/>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指标计算方法</w:t>
            </w:r>
          </w:p>
        </w:tc>
        <w:tc>
          <w:tcPr>
            <w:tcW w:w="1542" w:type="dxa"/>
            <w:tcBorders>
              <w:bottom w:val="single" w:color="auto" w:sz="4" w:space="0"/>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指标代码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8" w:hRule="atLeast"/>
          <w:jc w:val="center"/>
        </w:trPr>
        <w:tc>
          <w:tcPr>
            <w:tcW w:w="1368" w:type="dxa"/>
            <w:vMerge w:val="restart"/>
            <w:tcBorders>
              <w:top w:val="single" w:color="auto" w:sz="4" w:space="0"/>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盈利能力</w:t>
            </w:r>
          </w:p>
        </w:tc>
        <w:tc>
          <w:tcPr>
            <w:tcW w:w="1889" w:type="dxa"/>
            <w:tcBorders>
              <w:top w:val="single" w:color="auto" w:sz="4" w:space="0"/>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净资产收益率</w:t>
            </w:r>
          </w:p>
        </w:tc>
        <w:tc>
          <w:tcPr>
            <w:tcW w:w="4183" w:type="dxa"/>
            <w:tcBorders>
              <w:top w:val="single" w:color="auto" w:sz="4" w:space="0"/>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净利润／所有者权益*100％</w:t>
            </w:r>
          </w:p>
        </w:tc>
        <w:tc>
          <w:tcPr>
            <w:tcW w:w="1542" w:type="dxa"/>
            <w:tcBorders>
              <w:top w:val="single" w:color="auto" w:sz="4" w:space="0"/>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X1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资产报酬率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息税前利润／资产平均总额*100％</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0"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销售毛利率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（销售收入－销售成本）／销售收入*100％</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1368" w:type="dxa"/>
            <w:vMerge w:val="restart"/>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发展能力</w:t>
            </w:r>
          </w:p>
        </w:tc>
        <w:tc>
          <w:tcPr>
            <w:tcW w:w="1889"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净利润增长率</w:t>
            </w:r>
          </w:p>
        </w:tc>
        <w:tc>
          <w:tcPr>
            <w:tcW w:w="4183"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本年净利润增长额／上年净利润*100％</w:t>
            </w:r>
          </w:p>
        </w:tc>
        <w:tc>
          <w:tcPr>
            <w:tcW w:w="1542"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X4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营业收入増长率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ascii="宋体" w:hAnsi="宋体" w:eastAsia="宋体" w:cs="宋体"/>
                <w:szCs w:val="21"/>
              </w:rPr>
              <w:t>(本期主营业务收入-上期主营业务收入)/上期主营业务收入*100%</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总资产增长率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本年总资产增长额／年初资产总额*100％</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1368" w:type="dxa"/>
            <w:vMerge w:val="restart"/>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偿债能力</w:t>
            </w:r>
          </w:p>
        </w:tc>
        <w:tc>
          <w:tcPr>
            <w:tcW w:w="1889"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流动比率</w:t>
            </w:r>
          </w:p>
        </w:tc>
        <w:tc>
          <w:tcPr>
            <w:tcW w:w="4183"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流动资产／流动负债</w:t>
            </w:r>
          </w:p>
        </w:tc>
        <w:tc>
          <w:tcPr>
            <w:tcW w:w="1542"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X7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5"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速动比率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速动资产／流动负债</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2"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资产负债率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负债总额／资产总额</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368" w:type="dxa"/>
            <w:vMerge w:val="restart"/>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运营能力</w:t>
            </w:r>
          </w:p>
        </w:tc>
        <w:tc>
          <w:tcPr>
            <w:tcW w:w="1889"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存货周转率</w:t>
            </w:r>
          </w:p>
        </w:tc>
        <w:tc>
          <w:tcPr>
            <w:tcW w:w="4183"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销货成本／平均存货余额</w:t>
            </w:r>
          </w:p>
        </w:tc>
        <w:tc>
          <w:tcPr>
            <w:tcW w:w="1542"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X10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0"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总资产周转率</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营业收入净额／平均资产总额</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4" w:hRule="atLeast"/>
          <w:jc w:val="center"/>
        </w:trPr>
        <w:tc>
          <w:tcPr>
            <w:tcW w:w="1368" w:type="dxa"/>
            <w:vMerge w:val="restart"/>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每股指标</w:t>
            </w:r>
          </w:p>
        </w:tc>
        <w:tc>
          <w:tcPr>
            <w:tcW w:w="1889"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每股收益</w:t>
            </w:r>
          </w:p>
        </w:tc>
        <w:tc>
          <w:tcPr>
            <w:tcW w:w="4183"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净利润／普通股股数</w:t>
            </w:r>
          </w:p>
        </w:tc>
        <w:tc>
          <w:tcPr>
            <w:tcW w:w="1542" w:type="dxa"/>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r>
              <w:rPr>
                <w:rFonts w:hint="eastAsia" w:ascii="宋体" w:hAnsi="宋体" w:eastAsia="宋体" w:cs="宋体"/>
                <w:szCs w:val="21"/>
              </w:rPr>
              <w:t>X12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1" w:hRule="atLeast"/>
          <w:jc w:val="center"/>
        </w:trPr>
        <w:tc>
          <w:tcPr>
            <w:tcW w:w="1368" w:type="dxa"/>
            <w:vMerge w:val="continue"/>
            <w:tcBorders>
              <w:tl2br w:val="nil"/>
              <w:tr2bl w:val="nil"/>
            </w:tcBorders>
            <w:shd w:val="clear" w:color="auto" w:fill="auto"/>
            <w:vAlign w:val="center"/>
          </w:tcPr>
          <w:p>
            <w:pPr>
              <w:adjustRightInd w:val="0"/>
              <w:snapToGrid w:val="0"/>
              <w:spacing w:line="400" w:lineRule="exact"/>
              <w:jc w:val="center"/>
              <w:rPr>
                <w:rFonts w:ascii="宋体" w:hAnsi="宋体" w:eastAsia="宋体" w:cs="宋体"/>
                <w:szCs w:val="21"/>
              </w:rPr>
            </w:pPr>
          </w:p>
        </w:tc>
        <w:tc>
          <w:tcPr>
            <w:tcW w:w="1889"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每股净资产</w:t>
            </w:r>
          </w:p>
        </w:tc>
        <w:tc>
          <w:tcPr>
            <w:tcW w:w="4183"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股东权益／总股数</w:t>
            </w:r>
          </w:p>
        </w:tc>
        <w:tc>
          <w:tcPr>
            <w:tcW w:w="1542" w:type="dxa"/>
            <w:tcBorders>
              <w:tl2br w:val="nil"/>
              <w:tr2bl w:val="nil"/>
            </w:tcBorders>
            <w:shd w:val="clear" w:color="auto" w:fill="auto"/>
            <w:vAlign w:val="center"/>
          </w:tcPr>
          <w:p>
            <w:pPr>
              <w:widowControl/>
              <w:adjustRightInd w:val="0"/>
              <w:snapToGrid w:val="0"/>
              <w:spacing w:line="400" w:lineRule="exact"/>
              <w:jc w:val="center"/>
              <w:textAlignment w:val="center"/>
              <w:rPr>
                <w:rFonts w:ascii="宋体" w:hAnsi="宋体" w:eastAsia="宋体" w:cs="宋体"/>
                <w:szCs w:val="21"/>
              </w:rPr>
            </w:pPr>
            <w:r>
              <w:rPr>
                <w:rFonts w:hint="eastAsia" w:ascii="宋体" w:hAnsi="宋体" w:eastAsia="宋体" w:cs="宋体"/>
                <w:szCs w:val="21"/>
              </w:rPr>
              <w:t>X13</w:t>
            </w:r>
          </w:p>
        </w:tc>
      </w:tr>
    </w:tbl>
    <w:p>
      <w:pPr>
        <w:spacing w:line="300" w:lineRule="auto"/>
        <w:rPr>
          <w:rFonts w:hint="eastAsia" w:ascii="宋体" w:hAnsi="宋体" w:eastAsia="宋体" w:cs="宋体"/>
          <w:sz w:val="24"/>
        </w:rPr>
      </w:pPr>
    </w:p>
    <w:p>
      <w:pPr>
        <w:spacing w:line="300" w:lineRule="auto"/>
        <w:rPr>
          <w:rFonts w:ascii="宋体" w:hAnsi="宋体" w:eastAsia="宋体" w:cs="宋体"/>
          <w:sz w:val="24"/>
        </w:rPr>
        <w:sectPr>
          <w:headerReference r:id="rId11" w:type="default"/>
          <w:type w:val="continuous"/>
          <w:pgSz w:w="11906" w:h="16838"/>
          <w:pgMar w:top="1418" w:right="1134" w:bottom="1418" w:left="1701" w:header="851" w:footer="992" w:gutter="0"/>
          <w:pgBorders>
            <w:top w:val="none" w:sz="0" w:space="0"/>
            <w:left w:val="none" w:sz="0" w:space="0"/>
            <w:bottom w:val="none" w:sz="0" w:space="0"/>
            <w:right w:val="none" w:sz="0" w:space="0"/>
          </w:pgBorders>
          <w:pgNumType w:fmt="decimal"/>
          <w:cols w:space="0" w:num="1"/>
          <w:docGrid w:type="lines" w:linePitch="312" w:charSpace="0"/>
        </w:sectPr>
      </w:pPr>
    </w:p>
    <w:p>
      <w:pPr>
        <w:pStyle w:val="2"/>
      </w:pPr>
      <w:bookmarkStart w:id="24" w:name="_Toc29214"/>
      <w:r>
        <w:rPr>
          <w:rFonts w:hint="eastAsia"/>
        </w:rPr>
        <w:t xml:space="preserve">第三章 </w:t>
      </w:r>
      <w:r>
        <w:t xml:space="preserve"> </w:t>
      </w:r>
      <w:r>
        <w:rPr>
          <w:rFonts w:hint="eastAsia"/>
        </w:rPr>
        <w:t>医药商业类公司投资价值评估</w:t>
      </w:r>
      <w:bookmarkEnd w:id="24"/>
    </w:p>
    <w:p>
      <w:pPr>
        <w:pStyle w:val="3"/>
      </w:pPr>
      <w:bookmarkStart w:id="25" w:name="_Toc12404"/>
      <w:r>
        <w:rPr>
          <w:rFonts w:hint="eastAsia"/>
        </w:rPr>
        <w:t>3.1因子分析在投资价值评估体系的应用</w:t>
      </w:r>
      <w:bookmarkEnd w:id="25"/>
    </w:p>
    <w:p>
      <w:pPr>
        <w:pStyle w:val="4"/>
      </w:pPr>
      <w:bookmarkStart w:id="26" w:name="_Toc495"/>
      <w:r>
        <w:t>3.1.1因子分析的基本原理</w:t>
      </w:r>
      <w:bookmarkEnd w:id="26"/>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因子分析就是降维，通过相关性将相关程度高的变量归为一类，通过降维手段将多个变量归类为少数几个具有代表的变量。</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因子分析主要步骤：</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（１）</w:t>
      </w:r>
      <w:r>
        <w:rPr>
          <w:rFonts w:hint="eastAsia" w:ascii="宋体" w:hAnsi="宋体" w:eastAsia="宋体" w:cs="宋体"/>
          <w:sz w:val="24"/>
        </w:rPr>
        <w:t>因子适应性检验，检验数据是否合适做因子分析。</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w:t>
      </w:r>
      <w:r>
        <w:rPr>
          <w:rFonts w:hint="eastAsia" w:ascii="宋体" w:hAnsi="宋体" w:eastAsia="宋体" w:cs="宋体"/>
          <w:sz w:val="24"/>
        </w:rPr>
        <w:t>2</w:t>
      </w:r>
      <w:r>
        <w:rPr>
          <w:rFonts w:ascii="宋体" w:hAnsi="宋体" w:eastAsia="宋体" w:cs="宋体"/>
          <w:sz w:val="24"/>
        </w:rPr>
        <w:t>）</w:t>
      </w:r>
      <w:r>
        <w:rPr>
          <w:rFonts w:hint="eastAsia" w:ascii="宋体" w:hAnsi="宋体" w:eastAsia="宋体" w:cs="宋体"/>
          <w:sz w:val="24"/>
        </w:rPr>
        <w:t>构造因子变量，由方差分析表确定因子数量</w:t>
      </w:r>
      <w:r>
        <w:rPr>
          <w:rFonts w:ascii="宋体" w:hAnsi="宋体" w:eastAsia="宋体" w:cs="宋体"/>
          <w:sz w:val="24"/>
        </w:rPr>
        <w:t>。</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w:t>
      </w:r>
      <w:r>
        <w:rPr>
          <w:rFonts w:hint="eastAsia" w:ascii="宋体" w:hAnsi="宋体" w:eastAsia="宋体" w:cs="宋体"/>
          <w:sz w:val="24"/>
        </w:rPr>
        <w:t>3</w:t>
      </w:r>
      <w:r>
        <w:rPr>
          <w:rFonts w:ascii="宋体" w:hAnsi="宋体" w:eastAsia="宋体" w:cs="宋体"/>
          <w:sz w:val="24"/>
        </w:rPr>
        <w:t>）计算因子载荷矩阵</w:t>
      </w:r>
      <w:r>
        <w:rPr>
          <w:rFonts w:hint="eastAsia" w:ascii="宋体" w:hAnsi="宋体" w:eastAsia="宋体" w:cs="宋体"/>
          <w:sz w:val="24"/>
        </w:rPr>
        <w:t>，旋转后更加容易解释变量因子</w:t>
      </w:r>
      <w:r>
        <w:rPr>
          <w:rFonts w:ascii="宋体" w:hAnsi="宋体" w:eastAsia="宋体" w:cs="宋体"/>
          <w:sz w:val="24"/>
        </w:rPr>
        <w:t>。</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w:t>
      </w:r>
      <w:r>
        <w:rPr>
          <w:rFonts w:hint="eastAsia" w:ascii="宋体" w:hAnsi="宋体" w:eastAsia="宋体" w:cs="宋体"/>
          <w:sz w:val="24"/>
        </w:rPr>
        <w:t>4</w:t>
      </w:r>
      <w:r>
        <w:rPr>
          <w:rFonts w:ascii="宋体" w:hAnsi="宋体" w:eastAsia="宋体" w:cs="宋体"/>
          <w:sz w:val="24"/>
        </w:rPr>
        <w:t>）因子</w:t>
      </w:r>
      <w:r>
        <w:rPr>
          <w:rFonts w:hint="eastAsia" w:ascii="宋体" w:hAnsi="宋体" w:eastAsia="宋体" w:cs="宋体"/>
          <w:sz w:val="24"/>
        </w:rPr>
        <w:t>分析</w:t>
      </w:r>
      <w:r>
        <w:rPr>
          <w:rFonts w:ascii="宋体" w:hAnsi="宋体" w:eastAsia="宋体" w:cs="宋体"/>
          <w:sz w:val="24"/>
        </w:rPr>
        <w:t>模型，</w:t>
      </w:r>
      <w:r>
        <w:rPr>
          <w:rFonts w:hint="eastAsia" w:ascii="宋体" w:hAnsi="宋体" w:eastAsia="宋体" w:cs="宋体"/>
          <w:sz w:val="24"/>
        </w:rPr>
        <w:t>计算</w:t>
      </w:r>
      <w:r>
        <w:rPr>
          <w:rFonts w:ascii="宋体" w:hAnsi="宋体" w:eastAsia="宋体" w:cs="宋体"/>
          <w:sz w:val="24"/>
        </w:rPr>
        <w:t>综合得分。</w:t>
      </w:r>
    </w:p>
    <w:p>
      <w:pPr>
        <w:pStyle w:val="4"/>
      </w:pPr>
      <w:bookmarkStart w:id="27" w:name="_Toc28540"/>
      <w:r>
        <w:t>3.1.2样本数据预处理</w:t>
      </w:r>
      <w:bookmarkEnd w:id="27"/>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用SPSS做分析，因为spss在因子分析前已经将数据做了标准化处理，</w:t>
      </w:r>
      <w:r>
        <w:rPr>
          <w:rFonts w:hint="eastAsia" w:ascii="宋体" w:hAnsi="宋体" w:eastAsia="宋体" w:cs="宋体"/>
          <w:sz w:val="24"/>
          <w:lang w:val="en-US" w:eastAsia="zh-CN"/>
        </w:rPr>
        <w:t>所以我们在利用spss做因子分析前可以不用标准化</w:t>
      </w:r>
      <w:r>
        <w:rPr>
          <w:rFonts w:hint="eastAsia" w:ascii="宋体" w:hAnsi="宋体" w:eastAsia="宋体" w:cs="宋体"/>
          <w:sz w:val="24"/>
        </w:rPr>
        <w:t>。数据来源于RESSET据库；选择5个财务指标方面13个经济指标。</w:t>
      </w:r>
    </w:p>
    <w:p>
      <w:pPr>
        <w:pStyle w:val="3"/>
      </w:pPr>
      <w:bookmarkStart w:id="28" w:name="_Toc10889"/>
      <w:r>
        <w:rPr>
          <w:rFonts w:hint="eastAsia"/>
        </w:rPr>
        <w:t>3.2投资价值评估过程</w:t>
      </w:r>
      <w:bookmarkEnd w:id="28"/>
    </w:p>
    <w:p>
      <w:pPr>
        <w:pStyle w:val="4"/>
      </w:pPr>
      <w:bookmarkStart w:id="29" w:name="_Toc12598"/>
      <w:r>
        <w:t>3.2.1样本及指标选择</w:t>
      </w:r>
      <w:bookmarkEnd w:id="29"/>
    </w:p>
    <w:p>
      <w:pPr>
        <w:adjustRightInd w:val="0"/>
        <w:snapToGrid w:val="0"/>
        <w:spacing w:line="440" w:lineRule="exact"/>
        <w:ind w:firstLine="480" w:firstLineChars="200"/>
        <w:rPr>
          <w:rFonts w:ascii="宋体" w:hAnsi="宋体" w:eastAsia="宋体" w:cs="黑体"/>
          <w:sz w:val="24"/>
        </w:rPr>
      </w:pPr>
      <w:r>
        <w:rPr>
          <w:rFonts w:hint="eastAsia" w:ascii="宋体" w:hAnsi="宋体" w:eastAsia="宋体" w:cs="宋体"/>
          <w:sz w:val="24"/>
        </w:rPr>
        <w:t>为保证数据的有效性</w:t>
      </w:r>
      <w:r>
        <w:rPr>
          <w:rFonts w:ascii="宋体" w:hAnsi="宋体" w:eastAsia="宋体" w:cs="宋体"/>
          <w:sz w:val="24"/>
        </w:rPr>
        <w:t>，</w:t>
      </w:r>
      <w:r>
        <w:rPr>
          <w:rFonts w:hint="eastAsia" w:ascii="宋体" w:hAnsi="宋体" w:eastAsia="宋体" w:cs="宋体"/>
          <w:sz w:val="24"/>
        </w:rPr>
        <w:t>样本数据</w:t>
      </w:r>
      <w:r>
        <w:rPr>
          <w:rFonts w:ascii="宋体" w:hAnsi="宋体" w:eastAsia="宋体" w:cs="宋体"/>
          <w:sz w:val="24"/>
        </w:rPr>
        <w:t>剔除了</w:t>
      </w:r>
      <w:r>
        <w:rPr>
          <w:rFonts w:hint="eastAsia" w:ascii="宋体" w:hAnsi="宋体" w:eastAsia="宋体" w:cs="宋体"/>
          <w:sz w:val="24"/>
        </w:rPr>
        <w:t>ST</w:t>
      </w:r>
      <w:r>
        <w:rPr>
          <w:rFonts w:ascii="宋体" w:hAnsi="宋体" w:eastAsia="宋体" w:cs="宋体"/>
          <w:sz w:val="24"/>
        </w:rPr>
        <w:t>公司、信息不完整的公司</w:t>
      </w:r>
      <w:r>
        <w:rPr>
          <w:rFonts w:hint="eastAsia" w:ascii="宋体" w:hAnsi="宋体" w:eastAsia="宋体" w:cs="宋体"/>
          <w:sz w:val="24"/>
        </w:rPr>
        <w:t>。运用SPSS统计软件进行因子分析。</w:t>
      </w:r>
    </w:p>
    <w:p>
      <w:pPr>
        <w:pStyle w:val="4"/>
      </w:pPr>
      <w:bookmarkStart w:id="30" w:name="_Toc27874"/>
      <w:r>
        <w:t>3.2.2因子适应性分析</w:t>
      </w:r>
      <w:bookmarkEnd w:id="30"/>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对数据</w:t>
      </w:r>
      <w:r>
        <w:rPr>
          <w:rFonts w:hint="eastAsia" w:ascii="宋体" w:hAnsi="宋体" w:eastAsia="宋体" w:cs="宋体"/>
          <w:sz w:val="24"/>
        </w:rPr>
        <w:t>做Bartlett球形</w:t>
      </w:r>
      <w:r>
        <w:rPr>
          <w:rFonts w:ascii="宋体" w:hAnsi="宋体" w:eastAsia="宋体" w:cs="宋体"/>
          <w:sz w:val="24"/>
        </w:rPr>
        <w:t>检验和</w:t>
      </w:r>
      <w:r>
        <w:rPr>
          <w:rFonts w:hint="eastAsia" w:ascii="宋体" w:hAnsi="宋体" w:eastAsia="宋体" w:cs="宋体"/>
          <w:sz w:val="24"/>
        </w:rPr>
        <w:t>KMO</w:t>
      </w:r>
      <w:r>
        <w:rPr>
          <w:rFonts w:ascii="宋体" w:hAnsi="宋体" w:eastAsia="宋体" w:cs="宋体"/>
          <w:sz w:val="24"/>
        </w:rPr>
        <w:t>结果如表</w:t>
      </w:r>
      <w:r>
        <w:rPr>
          <w:rFonts w:hint="eastAsia" w:ascii="宋体" w:hAnsi="宋体" w:eastAsia="宋体" w:cs="宋体"/>
          <w:sz w:val="24"/>
        </w:rPr>
        <w:t>1 KMO与Bartlett检验；数据测量值为0.5</w:t>
      </w:r>
      <w:r>
        <w:rPr>
          <w:rFonts w:hint="eastAsia" w:ascii="宋体" w:hAnsi="宋体" w:eastAsia="宋体" w:cs="宋体"/>
          <w:sz w:val="24"/>
          <w:lang w:val="en-US" w:eastAsia="zh-CN"/>
        </w:rPr>
        <w:t>74</w:t>
      </w:r>
      <w:r>
        <w:rPr>
          <w:rFonts w:hint="eastAsia" w:ascii="宋体" w:hAnsi="宋体" w:eastAsia="宋体" w:cs="宋体"/>
          <w:sz w:val="24"/>
        </w:rPr>
        <w:t>，表明样本数据可以做因子分析。</w:t>
      </w:r>
    </w:p>
    <w:p>
      <w:pPr>
        <w:adjustRightInd w:val="0"/>
        <w:snapToGrid w:val="0"/>
        <w:spacing w:line="440" w:lineRule="exact"/>
        <w:jc w:val="center"/>
        <w:rPr>
          <w:rFonts w:ascii="宋体" w:hAnsi="宋体" w:eastAsia="宋体" w:cs="宋体"/>
          <w:szCs w:val="21"/>
        </w:rPr>
      </w:pP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表1 KMO与Bartlett检验</w:t>
      </w:r>
    </w:p>
    <w:tbl>
      <w:tblPr>
        <w:tblStyle w:val="16"/>
        <w:tblpPr w:leftFromText="180" w:rightFromText="180" w:vertAnchor="text" w:horzAnchor="page" w:tblpXSpec="center" w:tblpY="186"/>
        <w:tblOverlap w:val="never"/>
        <w:tblW w:w="6639"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6"/>
        <w:gridCol w:w="2285"/>
        <w:gridCol w:w="1868"/>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4771" w:type="dxa"/>
            <w:gridSpan w:val="2"/>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bookmarkStart w:id="31" w:name="OLE_LINK1" w:colFirst="0" w:colLast="2"/>
            <w:r>
              <w:rPr>
                <w:rFonts w:hint="eastAsia" w:ascii="宋体" w:hAnsi="宋体" w:eastAsia="宋体" w:cs="宋体"/>
                <w:szCs w:val="21"/>
              </w:rPr>
              <w:t>抽样适度测试值</w:t>
            </w:r>
          </w:p>
        </w:tc>
        <w:tc>
          <w:tcPr>
            <w:tcW w:w="1868" w:type="dxa"/>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0.574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jc w:val="center"/>
        </w:trPr>
        <w:tc>
          <w:tcPr>
            <w:tcW w:w="2486" w:type="dxa"/>
            <w:vMerge w:val="restart"/>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Bartlett 的球形度检验</w:t>
            </w:r>
          </w:p>
        </w:tc>
        <w:tc>
          <w:tcPr>
            <w:tcW w:w="2285"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近似卡方值</w:t>
            </w:r>
          </w:p>
        </w:tc>
        <w:tc>
          <w:tcPr>
            <w:tcW w:w="1868"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341.065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2486" w:type="dxa"/>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c>
          <w:tcPr>
            <w:tcW w:w="228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自由度</w:t>
            </w:r>
          </w:p>
        </w:tc>
        <w:tc>
          <w:tcPr>
            <w:tcW w:w="186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jc w:val="center"/>
        </w:trPr>
        <w:tc>
          <w:tcPr>
            <w:tcW w:w="2486" w:type="dxa"/>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c>
          <w:tcPr>
            <w:tcW w:w="228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显著性</w:t>
            </w:r>
          </w:p>
        </w:tc>
        <w:tc>
          <w:tcPr>
            <w:tcW w:w="186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w:t>
            </w:r>
          </w:p>
        </w:tc>
      </w:tr>
      <w:bookmarkEnd w:id="31"/>
    </w:tbl>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
    <w:p/>
    <w:p/>
    <w:p>
      <w:pPr>
        <w:spacing w:line="300" w:lineRule="auto"/>
        <w:rPr>
          <w:rFonts w:ascii="宋体" w:hAnsi="宋体" w:eastAsia="宋体" w:cs="宋体"/>
          <w:sz w:val="24"/>
        </w:rPr>
      </w:pP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通过</w:t>
      </w:r>
      <w:r>
        <w:rPr>
          <w:rFonts w:hint="eastAsia" w:ascii="宋体" w:hAnsi="宋体" w:eastAsia="宋体" w:cs="宋体"/>
          <w:sz w:val="24"/>
        </w:rPr>
        <w:t>上表1 KMO与Bartlett球形检验</w:t>
      </w:r>
      <w:r>
        <w:rPr>
          <w:rFonts w:ascii="宋体" w:hAnsi="宋体" w:eastAsia="宋体" w:cs="宋体"/>
          <w:sz w:val="24"/>
        </w:rPr>
        <w:t>的结果</w:t>
      </w:r>
      <w:r>
        <w:rPr>
          <w:rFonts w:hint="eastAsia" w:ascii="宋体" w:hAnsi="宋体" w:eastAsia="宋体" w:cs="宋体"/>
          <w:sz w:val="24"/>
        </w:rPr>
        <w:t>显示</w:t>
      </w:r>
      <w:r>
        <w:rPr>
          <w:rFonts w:ascii="宋体" w:hAnsi="宋体" w:eastAsia="宋体" w:cs="宋体"/>
          <w:sz w:val="24"/>
        </w:rPr>
        <w:t>，卡方值为</w:t>
      </w:r>
      <w:r>
        <w:rPr>
          <w:rFonts w:hint="eastAsia" w:ascii="宋体" w:hAnsi="宋体" w:eastAsia="宋体" w:cs="宋体"/>
          <w:sz w:val="24"/>
        </w:rPr>
        <w:t>341.065</w:t>
      </w:r>
      <w:r>
        <w:rPr>
          <w:rFonts w:ascii="宋体" w:hAnsi="宋体" w:eastAsia="宋体" w:cs="宋体"/>
          <w:sz w:val="24"/>
        </w:rPr>
        <w:t>，显著性</w:t>
      </w:r>
      <w:r>
        <w:rPr>
          <w:rFonts w:hint="eastAsia" w:ascii="宋体" w:hAnsi="宋体" w:eastAsia="宋体" w:cs="宋体"/>
          <w:sz w:val="24"/>
        </w:rPr>
        <w:t>sig</w:t>
      </w:r>
      <w:r>
        <w:rPr>
          <w:rFonts w:ascii="宋体" w:hAnsi="宋体" w:eastAsia="宋体" w:cs="宋体"/>
          <w:sz w:val="24"/>
        </w:rPr>
        <w:t>为</w:t>
      </w:r>
      <w:r>
        <w:rPr>
          <w:rFonts w:hint="eastAsia" w:ascii="宋体" w:hAnsi="宋体" w:eastAsia="宋体" w:cs="宋体"/>
          <w:sz w:val="24"/>
        </w:rPr>
        <w:t>0.000</w:t>
      </w:r>
      <w:r>
        <w:rPr>
          <w:rFonts w:ascii="宋体" w:hAnsi="宋体" w:eastAsia="宋体" w:cs="宋体"/>
          <w:sz w:val="24"/>
        </w:rPr>
        <w:t>＜</w:t>
      </w:r>
      <w:r>
        <w:rPr>
          <w:rFonts w:hint="eastAsia" w:ascii="宋体" w:hAnsi="宋体" w:eastAsia="宋体" w:cs="宋体"/>
          <w:sz w:val="24"/>
        </w:rPr>
        <w:t>0.01</w:t>
      </w:r>
      <w:r>
        <w:rPr>
          <w:rFonts w:ascii="宋体" w:hAnsi="宋体" w:eastAsia="宋体" w:cs="宋体"/>
          <w:sz w:val="24"/>
        </w:rPr>
        <w:t>，说明相关系数矩阵与单位矩阵有显著</w:t>
      </w:r>
      <w:r>
        <w:rPr>
          <w:rFonts w:hint="eastAsia" w:ascii="宋体" w:hAnsi="宋体" w:eastAsia="宋体" w:cs="宋体"/>
          <w:sz w:val="24"/>
        </w:rPr>
        <w:t>性</w:t>
      </w:r>
      <w:r>
        <w:rPr>
          <w:rFonts w:ascii="宋体" w:hAnsi="宋体" w:eastAsia="宋体" w:cs="宋体"/>
          <w:sz w:val="24"/>
        </w:rPr>
        <w:t>差异，可</w:t>
      </w:r>
      <w:r>
        <w:rPr>
          <w:rFonts w:hint="eastAsia" w:ascii="宋体" w:hAnsi="宋体" w:eastAsia="宋体" w:cs="宋体"/>
          <w:sz w:val="24"/>
        </w:rPr>
        <w:t>以</w:t>
      </w:r>
      <w:r>
        <w:rPr>
          <w:rFonts w:ascii="宋体" w:hAnsi="宋体" w:eastAsia="宋体" w:cs="宋体"/>
          <w:sz w:val="24"/>
        </w:rPr>
        <w:t>进行因子分析。</w:t>
      </w:r>
    </w:p>
    <w:p>
      <w:pPr>
        <w:pStyle w:val="4"/>
      </w:pPr>
      <w:bookmarkStart w:id="32" w:name="_Toc9522"/>
      <w:r>
        <w:t>3.2.3公共因子的提取</w:t>
      </w:r>
      <w:bookmarkEnd w:id="32"/>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变量共同度分析</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如下</w:t>
      </w:r>
      <w:r>
        <w:rPr>
          <w:rFonts w:ascii="宋体" w:hAnsi="宋体" w:eastAsia="宋体" w:cs="宋体"/>
          <w:sz w:val="24"/>
        </w:rPr>
        <w:t>表</w:t>
      </w:r>
      <w:r>
        <w:rPr>
          <w:rFonts w:hint="eastAsia" w:ascii="宋体" w:hAnsi="宋体" w:eastAsia="宋体" w:cs="宋体"/>
          <w:sz w:val="24"/>
        </w:rPr>
        <w:t>2公因子方差</w:t>
      </w:r>
      <w:r>
        <w:rPr>
          <w:rFonts w:ascii="宋体" w:hAnsi="宋体" w:eastAsia="宋体" w:cs="宋体"/>
          <w:sz w:val="24"/>
        </w:rPr>
        <w:t>反映</w:t>
      </w:r>
      <w:r>
        <w:rPr>
          <w:rFonts w:hint="eastAsia" w:ascii="宋体" w:hAnsi="宋体" w:eastAsia="宋体" w:cs="宋体"/>
          <w:sz w:val="24"/>
        </w:rPr>
        <w:t>了提取的指标对原始变量的解释</w:t>
      </w:r>
      <w:r>
        <w:rPr>
          <w:rFonts w:ascii="宋体" w:hAnsi="宋体" w:eastAsia="宋体" w:cs="宋体"/>
          <w:sz w:val="24"/>
        </w:rPr>
        <w:t>度，若提取数值</w:t>
      </w:r>
      <w:r>
        <w:rPr>
          <w:rFonts w:hint="eastAsia" w:ascii="宋体" w:hAnsi="宋体" w:eastAsia="宋体" w:cs="宋体"/>
          <w:sz w:val="24"/>
        </w:rPr>
        <w:t>越小</w:t>
      </w:r>
      <w:r>
        <w:rPr>
          <w:rFonts w:ascii="宋体" w:hAnsi="宋体" w:eastAsia="宋体" w:cs="宋体"/>
          <w:sz w:val="24"/>
        </w:rPr>
        <w:t>，</w:t>
      </w:r>
      <w:r>
        <w:rPr>
          <w:rFonts w:hint="eastAsia" w:ascii="宋体" w:hAnsi="宋体" w:eastAsia="宋体" w:cs="宋体"/>
          <w:sz w:val="24"/>
        </w:rPr>
        <w:t>则表明该指标所提取的因子越不具有代表性，越难解释该指标</w:t>
      </w:r>
      <w:r>
        <w:rPr>
          <w:rFonts w:ascii="宋体" w:hAnsi="宋体" w:eastAsia="宋体" w:cs="宋体"/>
          <w:sz w:val="24"/>
        </w:rPr>
        <w:t>。</w:t>
      </w:r>
      <w:r>
        <w:rPr>
          <w:rFonts w:hint="eastAsia" w:ascii="宋体" w:hAnsi="宋体" w:eastAsia="宋体" w:cs="宋体"/>
          <w:sz w:val="24"/>
        </w:rPr>
        <w:t>从表中可以看出</w:t>
      </w:r>
      <w:r>
        <w:rPr>
          <w:rFonts w:ascii="宋体" w:hAnsi="宋体" w:eastAsia="宋体" w:cs="宋体"/>
          <w:sz w:val="24"/>
        </w:rPr>
        <w:t>选取的</w:t>
      </w:r>
      <w:r>
        <w:rPr>
          <w:rFonts w:hint="eastAsia" w:ascii="宋体" w:hAnsi="宋体" w:eastAsia="宋体" w:cs="宋体"/>
          <w:sz w:val="24"/>
        </w:rPr>
        <w:t>13</w:t>
      </w:r>
      <w:r>
        <w:rPr>
          <w:rFonts w:ascii="宋体" w:hAnsi="宋体" w:eastAsia="宋体" w:cs="宋体"/>
          <w:sz w:val="24"/>
        </w:rPr>
        <w:t>个指标提取</w:t>
      </w:r>
      <w:r>
        <w:rPr>
          <w:rFonts w:hint="eastAsia" w:ascii="宋体" w:hAnsi="宋体" w:eastAsia="宋体" w:cs="宋体"/>
          <w:sz w:val="24"/>
        </w:rPr>
        <w:t>后对原始变量的解释程度都高与75%</w:t>
      </w:r>
      <w:r>
        <w:rPr>
          <w:rFonts w:ascii="宋体" w:hAnsi="宋体" w:eastAsia="宋体" w:cs="宋体"/>
          <w:sz w:val="24"/>
        </w:rPr>
        <w:t>，</w:t>
      </w:r>
      <w:r>
        <w:rPr>
          <w:rFonts w:hint="eastAsia" w:ascii="宋体" w:hAnsi="宋体" w:eastAsia="宋体" w:cs="宋体"/>
          <w:sz w:val="24"/>
        </w:rPr>
        <w:t>大部分指标的解释</w:t>
      </w:r>
      <w:r>
        <w:rPr>
          <w:rFonts w:hint="eastAsia" w:ascii="宋体" w:hAnsi="宋体" w:eastAsia="宋体" w:cs="宋体"/>
          <w:sz w:val="24"/>
          <w:lang w:val="en-US" w:eastAsia="zh-CN"/>
        </w:rPr>
        <w:t>率</w:t>
      </w:r>
      <w:r>
        <w:rPr>
          <w:rFonts w:hint="eastAsia" w:ascii="宋体" w:hAnsi="宋体" w:eastAsia="宋体" w:cs="宋体"/>
          <w:sz w:val="24"/>
        </w:rPr>
        <w:t>在90%以上，提取效果好，保留了大部分有效信息。</w:t>
      </w:r>
    </w:p>
    <w:p>
      <w:pPr>
        <w:adjustRightInd w:val="0"/>
        <w:snapToGrid w:val="0"/>
        <w:spacing w:line="440" w:lineRule="exact"/>
        <w:jc w:val="center"/>
        <w:rPr>
          <w:rFonts w:ascii="宋体" w:hAnsi="宋体" w:eastAsia="宋体" w:cs="宋体"/>
          <w:szCs w:val="21"/>
        </w:rPr>
      </w:pP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表2公因子方差</w:t>
      </w:r>
    </w:p>
    <w:tbl>
      <w:tblPr>
        <w:tblStyle w:val="16"/>
        <w:tblW w:w="360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6"/>
        <w:gridCol w:w="960"/>
        <w:gridCol w:w="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成分</w:t>
            </w:r>
          </w:p>
        </w:tc>
        <w:tc>
          <w:tcPr>
            <w:tcW w:w="960"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初始值</w:t>
            </w:r>
          </w:p>
        </w:tc>
        <w:tc>
          <w:tcPr>
            <w:tcW w:w="960"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提取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净资产收益率</w:t>
            </w:r>
          </w:p>
        </w:tc>
        <w:tc>
          <w:tcPr>
            <w:tcW w:w="960"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资产报酬率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销售毛利率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净利润增长率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0.766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营业收入增长率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总资产增长率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速动比率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流动比率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资产负债率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存货周转率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总资产周转率</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每股收益</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每股净资产</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96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0.94</w:t>
            </w:r>
          </w:p>
        </w:tc>
      </w:tr>
    </w:tbl>
    <w:p>
      <w:pPr>
        <w:numPr>
          <w:ilvl w:val="0"/>
          <w:numId w:val="2"/>
        </w:num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变量公共因子的提取</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按照特征值大于1的规则提取公共因子；五个因子解释总方差比例依次为21.613%，42.209%，61.41%，77.975%，90.27%，这5个因子的方差累计解释率达到了90.27%，通过降维重新构造的这5个因子</w:t>
      </w:r>
      <w:r>
        <w:rPr>
          <w:rFonts w:ascii="宋体" w:hAnsi="宋体" w:eastAsia="宋体" w:cs="宋体"/>
          <w:sz w:val="24"/>
        </w:rPr>
        <w:t>具有</w:t>
      </w:r>
      <w:r>
        <w:rPr>
          <w:rFonts w:hint="eastAsia" w:ascii="宋体" w:hAnsi="宋体" w:eastAsia="宋体" w:cs="宋体"/>
          <w:sz w:val="24"/>
        </w:rPr>
        <w:t>很强的</w:t>
      </w:r>
      <w:r>
        <w:rPr>
          <w:rFonts w:ascii="宋体" w:hAnsi="宋体" w:eastAsia="宋体" w:cs="宋体"/>
          <w:sz w:val="24"/>
        </w:rPr>
        <w:t>代表意义</w:t>
      </w:r>
      <w:r>
        <w:rPr>
          <w:rFonts w:hint="eastAsia" w:ascii="宋体" w:hAnsi="宋体" w:eastAsia="宋体" w:cs="宋体"/>
          <w:sz w:val="24"/>
        </w:rPr>
        <w:t>，解释了原有变量的大部分信息。</w:t>
      </w:r>
    </w:p>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hint="eastAsia" w:ascii="宋体" w:hAnsi="宋体" w:eastAsia="宋体" w:cs="宋体"/>
          <w:sz w:val="24"/>
        </w:rPr>
      </w:pP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表3公共因子解释的总方差</w:t>
      </w:r>
    </w:p>
    <w:tbl>
      <w:tblPr>
        <w:tblStyle w:val="16"/>
        <w:tblpPr w:leftFromText="180" w:rightFromText="180" w:vertAnchor="text" w:horzAnchor="page" w:tblpX="1852" w:tblpY="424"/>
        <w:tblOverlap w:val="never"/>
        <w:tblW w:w="8985"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
        <w:gridCol w:w="741"/>
        <w:gridCol w:w="1266"/>
        <w:gridCol w:w="846"/>
        <w:gridCol w:w="741"/>
        <w:gridCol w:w="1266"/>
        <w:gridCol w:w="846"/>
        <w:gridCol w:w="741"/>
        <w:gridCol w:w="1266"/>
        <w:gridCol w:w="84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trPr>
        <w:tc>
          <w:tcPr>
            <w:tcW w:w="426" w:type="dxa"/>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成分</w:t>
            </w:r>
          </w:p>
        </w:tc>
        <w:tc>
          <w:tcPr>
            <w:tcW w:w="2853" w:type="dxa"/>
            <w:gridSpan w:val="3"/>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初始特征值</w:t>
            </w:r>
          </w:p>
        </w:tc>
        <w:tc>
          <w:tcPr>
            <w:tcW w:w="2853" w:type="dxa"/>
            <w:gridSpan w:val="3"/>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提取载荷平方和</w:t>
            </w:r>
          </w:p>
        </w:tc>
        <w:tc>
          <w:tcPr>
            <w:tcW w:w="2853" w:type="dxa"/>
            <w:gridSpan w:val="3"/>
            <w:tcBorders>
              <w:bottom w:val="single" w:color="000000"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旋转载荷平方和</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c>
          <w:tcPr>
            <w:tcW w:w="741"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总计</w:t>
            </w:r>
          </w:p>
        </w:tc>
        <w:tc>
          <w:tcPr>
            <w:tcW w:w="126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方差百分比</w:t>
            </w:r>
          </w:p>
        </w:tc>
        <w:tc>
          <w:tcPr>
            <w:tcW w:w="84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累积 %</w:t>
            </w:r>
          </w:p>
        </w:tc>
        <w:tc>
          <w:tcPr>
            <w:tcW w:w="741"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总计</w:t>
            </w:r>
          </w:p>
        </w:tc>
        <w:tc>
          <w:tcPr>
            <w:tcW w:w="126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方差百分比</w:t>
            </w:r>
          </w:p>
        </w:tc>
        <w:tc>
          <w:tcPr>
            <w:tcW w:w="84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累积 %</w:t>
            </w:r>
          </w:p>
        </w:tc>
        <w:tc>
          <w:tcPr>
            <w:tcW w:w="741"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总计</w:t>
            </w:r>
          </w:p>
        </w:tc>
        <w:tc>
          <w:tcPr>
            <w:tcW w:w="126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方差百分比</w:t>
            </w:r>
          </w:p>
        </w:tc>
        <w:tc>
          <w:tcPr>
            <w:tcW w:w="846" w:type="dxa"/>
            <w:tcBorders>
              <w:top w:val="single" w:color="000000"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累积 %</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4.425</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34.037</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34.037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4.425</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34.037</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34.037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2.81</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21.613</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21.613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3.2</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24.614</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58.651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3.2</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24.614</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58.651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2.677</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20.595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42.209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1.995</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15.35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1.995</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15.35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2.496</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19.202</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61.41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1.289</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9.919</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83.919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1.289</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9.919</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83.919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2.153</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16.564</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77.975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0.826</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6.35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90.27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0.826</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6.35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90.27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1.598</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12.295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90.27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0.477</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3.667</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93.936</w:t>
            </w:r>
          </w:p>
        </w:tc>
        <w:tc>
          <w:tcPr>
            <w:tcW w:w="5706" w:type="dxa"/>
            <w:gridSpan w:val="6"/>
            <w:vMerge w:val="restart"/>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0.325</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2.497</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96.433</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0.237</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1.826</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98.259</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0.126</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0.972</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99.231</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0.038</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0.292</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99.522</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0.032</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0.245</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99.767</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0.02</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0.157</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99.924</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9" w:hRule="atLeast"/>
        </w:trPr>
        <w:tc>
          <w:tcPr>
            <w:tcW w:w="42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0.01</w:t>
            </w:r>
          </w:p>
        </w:tc>
        <w:tc>
          <w:tcPr>
            <w:tcW w:w="12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0.076</w:t>
            </w:r>
          </w:p>
        </w:tc>
        <w:tc>
          <w:tcPr>
            <w:tcW w:w="84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100</w:t>
            </w:r>
          </w:p>
        </w:tc>
        <w:tc>
          <w:tcPr>
            <w:tcW w:w="5706" w:type="dxa"/>
            <w:gridSpan w:val="6"/>
            <w:vMerge w:val="continue"/>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p>
        </w:tc>
      </w:tr>
    </w:tbl>
    <w:p>
      <w:pPr>
        <w:spacing w:line="300" w:lineRule="auto"/>
        <w:rPr>
          <w:rFonts w:ascii="宋体" w:hAnsi="宋体" w:eastAsia="宋体" w:cs="宋体"/>
          <w:sz w:val="24"/>
        </w:rPr>
      </w:pPr>
    </w:p>
    <w:p>
      <w:pPr>
        <w:rPr>
          <w:rFonts w:ascii="黑体" w:hAnsi="黑体" w:eastAsia="黑体" w:cs="黑体"/>
          <w:sz w:val="28"/>
          <w:szCs w:val="28"/>
        </w:rPr>
      </w:pPr>
      <w:r>
        <w:rPr>
          <w:rFonts w:hint="eastAsia" w:ascii="黑体" w:hAnsi="黑体" w:eastAsia="黑体" w:cs="黑体"/>
          <w:sz w:val="28"/>
          <w:szCs w:val="28"/>
        </w:rPr>
        <w:t>3.2.4变量的公共因子载荷分析</w:t>
      </w: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表4实施因子旋转后的载荷矩阵</w:t>
      </w:r>
    </w:p>
    <w:tbl>
      <w:tblPr>
        <w:tblStyle w:val="16"/>
        <w:tblW w:w="6486"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6"/>
        <w:gridCol w:w="960"/>
        <w:gridCol w:w="960"/>
        <w:gridCol w:w="960"/>
        <w:gridCol w:w="960"/>
        <w:gridCol w:w="9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成分</w:t>
            </w:r>
          </w:p>
        </w:tc>
        <w:tc>
          <w:tcPr>
            <w:tcW w:w="960"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1</w:t>
            </w:r>
          </w:p>
        </w:tc>
        <w:tc>
          <w:tcPr>
            <w:tcW w:w="960"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2</w:t>
            </w:r>
          </w:p>
        </w:tc>
        <w:tc>
          <w:tcPr>
            <w:tcW w:w="960"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3</w:t>
            </w:r>
          </w:p>
        </w:tc>
        <w:tc>
          <w:tcPr>
            <w:tcW w:w="960"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4</w:t>
            </w:r>
          </w:p>
        </w:tc>
        <w:tc>
          <w:tcPr>
            <w:tcW w:w="960" w:type="dxa"/>
            <w:tcBorders>
              <w:bottom w:val="single" w:color="000000" w:sz="4" w:space="0"/>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净资产收益率</w:t>
            </w:r>
          </w:p>
        </w:tc>
        <w:tc>
          <w:tcPr>
            <w:tcW w:w="960"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-0.089</w:t>
            </w:r>
          </w:p>
        </w:tc>
        <w:tc>
          <w:tcPr>
            <w:tcW w:w="960"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0.537</w:t>
            </w:r>
          </w:p>
        </w:tc>
        <w:tc>
          <w:tcPr>
            <w:tcW w:w="960"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-0.234</w:t>
            </w:r>
          </w:p>
        </w:tc>
        <w:tc>
          <w:tcPr>
            <w:tcW w:w="960"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0.416</w:t>
            </w:r>
          </w:p>
        </w:tc>
        <w:tc>
          <w:tcPr>
            <w:tcW w:w="960" w:type="dxa"/>
            <w:tcBorders>
              <w:top w:val="single" w:color="000000" w:sz="4" w:space="0"/>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0.599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资产报酬率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0.219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0.536</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-0.391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0.361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0.522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销售毛利率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0.092</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0.013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-0.969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0.104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-0.036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净利润增长率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0.203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0.836</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0.041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0.034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营业收入增长率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-0.417</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0.729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-0.064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0.302</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-0.111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总资产增长率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-0.153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0.855</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0.088</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0.113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0.268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速动比率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0.888</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-0.145</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0.119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-0.059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-0.332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流动比率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0.969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-0.081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-0.121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0.119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资产负债率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-0.863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-0.097</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0.423</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-0.021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-0.063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存货周转率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-0.087</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0.014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0.939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0.132</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总资产周转率</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-0.076</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0.201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0.479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0.068</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0.795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每股收益</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-0.142</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0.236</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-0.097</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0.884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0.305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6"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每股净资产</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-0.034</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0.129</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0.955</w:t>
            </w:r>
          </w:p>
        </w:tc>
        <w:tc>
          <w:tcPr>
            <w:tcW w:w="960" w:type="dxa"/>
            <w:tcBorders>
              <w:tl2br w:val="nil"/>
              <w:tr2bl w:val="nil"/>
            </w:tcBorders>
            <w:shd w:val="clear" w:color="auto" w:fill="auto"/>
            <w:vAlign w:val="center"/>
          </w:tcPr>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-0.025</w:t>
            </w:r>
          </w:p>
        </w:tc>
      </w:tr>
    </w:tbl>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表4实施因子旋转后的载荷矩阵，表中值的绝对值若越接近于1则该因子可以更好的解释该变量。</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第</w:t>
      </w:r>
      <w:r>
        <w:rPr>
          <w:rFonts w:hint="eastAsia" w:ascii="宋体" w:hAnsi="宋体" w:eastAsia="宋体" w:cs="宋体"/>
          <w:sz w:val="24"/>
        </w:rPr>
        <w:t>一个</w:t>
      </w:r>
      <w:r>
        <w:rPr>
          <w:rFonts w:ascii="宋体" w:hAnsi="宋体" w:eastAsia="宋体" w:cs="宋体"/>
          <w:sz w:val="24"/>
        </w:rPr>
        <w:t>公共因子</w:t>
      </w:r>
      <w:r>
        <w:rPr>
          <w:rFonts w:hint="eastAsia" w:ascii="宋体" w:hAnsi="宋体" w:eastAsia="宋体" w:cs="宋体"/>
          <w:sz w:val="24"/>
        </w:rPr>
        <w:t>F1反映的偿债能力，速动比率、流动比率和资产负债率作为第一公共因子中解释程度最高的三个指标</w:t>
      </w:r>
      <w:r>
        <w:rPr>
          <w:rFonts w:ascii="宋体" w:hAnsi="宋体" w:eastAsia="宋体" w:cs="宋体"/>
          <w:sz w:val="24"/>
        </w:rPr>
        <w:t>，偿债能力</w:t>
      </w:r>
      <w:r>
        <w:rPr>
          <w:rFonts w:hint="eastAsia" w:ascii="宋体" w:hAnsi="宋体" w:eastAsia="宋体" w:cs="宋体"/>
          <w:sz w:val="24"/>
        </w:rPr>
        <w:t>作为第一因子贡献率达到21%</w:t>
      </w:r>
      <w:r>
        <w:rPr>
          <w:rFonts w:ascii="宋体" w:hAnsi="宋体" w:eastAsia="宋体" w:cs="宋体"/>
          <w:sz w:val="24"/>
        </w:rPr>
        <w:t>，评价时所起的作用最大。</w:t>
      </w:r>
      <w:r>
        <w:rPr>
          <w:rFonts w:hint="eastAsia" w:ascii="宋体" w:hAnsi="宋体" w:eastAsia="宋体" w:cs="宋体"/>
          <w:sz w:val="24"/>
        </w:rPr>
        <w:t>偿债能力是企业在经济萧条时期偿还债务能力的表现</w:t>
      </w:r>
      <w:r>
        <w:rPr>
          <w:rFonts w:ascii="宋体" w:hAnsi="宋体" w:eastAsia="宋体" w:cs="宋体"/>
          <w:sz w:val="24"/>
        </w:rPr>
        <w:t>，在经济不景气期间，偿债能力是企业能否生存下去的关键</w:t>
      </w:r>
      <w:r>
        <w:rPr>
          <w:rFonts w:hint="eastAsia" w:ascii="宋体" w:hAnsi="宋体" w:eastAsia="宋体" w:cs="宋体"/>
          <w:sz w:val="24"/>
        </w:rPr>
        <w:t>；因此，将公共因子一命名为偿债能力因子</w:t>
      </w:r>
      <w:r>
        <w:rPr>
          <w:rFonts w:ascii="宋体" w:hAnsi="宋体" w:eastAsia="宋体" w:cs="宋体"/>
          <w:sz w:val="24"/>
        </w:rPr>
        <w:t>。</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第二个公共因子F2反映了发展能力，净利润增长率、营业收入增长率和总资产增长率作为第二公共因子中解释程度最高的三个指标，反映的是为企业对资产的利用效率、对未來的发展做出预测和在发展能力方面对企业价值投资的影响。</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第</w:t>
      </w:r>
      <w:r>
        <w:rPr>
          <w:rFonts w:hint="eastAsia" w:ascii="宋体" w:hAnsi="宋体" w:eastAsia="宋体" w:cs="宋体"/>
          <w:sz w:val="24"/>
        </w:rPr>
        <w:t>三个</w:t>
      </w:r>
      <w:r>
        <w:rPr>
          <w:rFonts w:ascii="宋体" w:hAnsi="宋体" w:eastAsia="宋体" w:cs="宋体"/>
          <w:sz w:val="24"/>
        </w:rPr>
        <w:t>公共因子</w:t>
      </w:r>
      <w:r>
        <w:rPr>
          <w:rFonts w:hint="eastAsia" w:ascii="宋体" w:hAnsi="宋体" w:eastAsia="宋体" w:cs="宋体"/>
          <w:sz w:val="24"/>
        </w:rPr>
        <w:t>F3反映了运营能力，存货周转率</w:t>
      </w:r>
      <w:r>
        <w:rPr>
          <w:rFonts w:ascii="宋体" w:hAnsi="宋体" w:eastAsia="宋体" w:cs="宋体"/>
          <w:sz w:val="24"/>
        </w:rPr>
        <w:t>和</w:t>
      </w:r>
      <w:r>
        <w:rPr>
          <w:rFonts w:hint="eastAsia" w:ascii="宋体" w:hAnsi="宋体" w:eastAsia="宋体" w:cs="宋体"/>
          <w:sz w:val="24"/>
        </w:rPr>
        <w:t>总资产周转率作为第三公共因子中解释程度最高的两个指标</w:t>
      </w:r>
      <w:r>
        <w:rPr>
          <w:rFonts w:hint="eastAsia" w:ascii="宋体" w:hAnsi="宋体" w:eastAsia="宋体" w:cs="宋体"/>
          <w:sz w:val="24"/>
          <w:lang w:eastAsia="zh-CN"/>
        </w:rPr>
        <w:t>；</w:t>
      </w:r>
      <w:r>
        <w:rPr>
          <w:rFonts w:hint="eastAsia" w:ascii="宋体" w:hAnsi="宋体" w:eastAsia="宋体" w:cs="宋体"/>
          <w:sz w:val="24"/>
        </w:rPr>
        <w:t>分别体现周转效率和资金使用效率。</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第四个公共因子F4反映了每股指标情况因子，每股净资产、每股收益指标作为第四公共因子中解释程度最高的两个指标</w:t>
      </w:r>
      <w:r>
        <w:rPr>
          <w:rFonts w:ascii="宋体" w:hAnsi="宋体" w:eastAsia="宋体" w:cs="宋体"/>
          <w:sz w:val="24"/>
        </w:rPr>
        <w:t>。</w:t>
      </w:r>
      <w:r>
        <w:rPr>
          <w:rFonts w:hint="eastAsia" w:ascii="宋体" w:hAnsi="宋体" w:eastAsia="宋体" w:cs="宋体"/>
          <w:sz w:val="24"/>
        </w:rPr>
        <w:t>每股净资产、每股收益指标分别反映的是公司股票在税收后给公司所带来的利润，而税收后的股票带来的利润也真好是公司盈利的基础。</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第五个公共因子在资产报酬率、净资产收益率两个指标具有较大的解释率，将该公共因子命名为盈利能力因子，而其他的变量因子在第五个公共因子部分有较小的解释率并且保留的有效信息也很少，盈利是每一家企业应当追求的第一目标，企业盈利情况由资产报酬率、净资产收益率直接表现，这两个变量体现的是企业获利情况。</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通过上述对五个公共因子的分析</w:t>
      </w:r>
      <w:r>
        <w:rPr>
          <w:rFonts w:ascii="宋体" w:hAnsi="宋体" w:eastAsia="宋体" w:cs="宋体"/>
          <w:sz w:val="24"/>
        </w:rPr>
        <w:t>，</w:t>
      </w:r>
      <w:r>
        <w:rPr>
          <w:rFonts w:hint="eastAsia" w:ascii="宋体" w:hAnsi="宋体" w:eastAsia="宋体" w:cs="宋体"/>
          <w:sz w:val="24"/>
        </w:rPr>
        <w:t>我们得出对医药商业上市的价值投资因素主要在偿债</w:t>
      </w:r>
      <w:r>
        <w:rPr>
          <w:rFonts w:ascii="宋体" w:hAnsi="宋体" w:eastAsia="宋体" w:cs="宋体"/>
          <w:sz w:val="24"/>
        </w:rPr>
        <w:t>能力</w:t>
      </w:r>
      <w:r>
        <w:rPr>
          <w:rFonts w:hint="eastAsia" w:ascii="宋体" w:hAnsi="宋体" w:eastAsia="宋体" w:cs="宋体"/>
          <w:sz w:val="24"/>
        </w:rPr>
        <w:t>方面</w:t>
      </w:r>
      <w:r>
        <w:rPr>
          <w:rFonts w:ascii="宋体" w:hAnsi="宋体" w:eastAsia="宋体" w:cs="宋体"/>
          <w:sz w:val="24"/>
        </w:rPr>
        <w:t>、</w:t>
      </w:r>
      <w:r>
        <w:rPr>
          <w:rFonts w:hint="eastAsia" w:ascii="宋体" w:hAnsi="宋体" w:eastAsia="宋体" w:cs="宋体"/>
          <w:sz w:val="24"/>
        </w:rPr>
        <w:t>发展</w:t>
      </w:r>
      <w:r>
        <w:rPr>
          <w:rFonts w:ascii="宋体" w:hAnsi="宋体" w:eastAsia="宋体" w:cs="宋体"/>
          <w:sz w:val="24"/>
        </w:rPr>
        <w:t>能力</w:t>
      </w:r>
      <w:r>
        <w:rPr>
          <w:rFonts w:hint="eastAsia" w:ascii="宋体" w:hAnsi="宋体" w:eastAsia="宋体" w:cs="宋体"/>
          <w:sz w:val="24"/>
        </w:rPr>
        <w:t>反面</w:t>
      </w:r>
      <w:r>
        <w:rPr>
          <w:rFonts w:ascii="宋体" w:hAnsi="宋体" w:eastAsia="宋体" w:cs="宋体"/>
          <w:sz w:val="24"/>
        </w:rPr>
        <w:t>、营运能力</w:t>
      </w:r>
      <w:r>
        <w:rPr>
          <w:rFonts w:hint="eastAsia" w:ascii="宋体" w:hAnsi="宋体" w:eastAsia="宋体" w:cs="宋体"/>
          <w:sz w:val="24"/>
        </w:rPr>
        <w:t>反面</w:t>
      </w:r>
      <w:r>
        <w:rPr>
          <w:rFonts w:ascii="宋体" w:hAnsi="宋体" w:eastAsia="宋体" w:cs="宋体"/>
          <w:sz w:val="24"/>
        </w:rPr>
        <w:t>、每股指标</w:t>
      </w:r>
      <w:r>
        <w:rPr>
          <w:rFonts w:hint="eastAsia" w:ascii="宋体" w:hAnsi="宋体" w:eastAsia="宋体" w:cs="宋体"/>
          <w:sz w:val="24"/>
        </w:rPr>
        <w:t>情况方面和盈利能力这五个方面</w:t>
      </w:r>
      <w:r>
        <w:rPr>
          <w:rFonts w:ascii="宋体" w:hAnsi="宋体" w:eastAsia="宋体" w:cs="宋体"/>
          <w:sz w:val="24"/>
        </w:rPr>
        <w:t>。</w:t>
      </w:r>
      <w:r>
        <w:rPr>
          <w:rFonts w:hint="eastAsia" w:ascii="宋体" w:hAnsi="宋体" w:eastAsia="宋体" w:cs="宋体"/>
          <w:sz w:val="24"/>
        </w:rPr>
        <w:t>这五个公共因子对原始13个变量解释程度达到92%，有效的保留了大部分信息，从投资者角度来看</w:t>
      </w:r>
      <w:r>
        <w:rPr>
          <w:rFonts w:ascii="宋体" w:hAnsi="宋体" w:eastAsia="宋体" w:cs="宋体"/>
          <w:sz w:val="24"/>
        </w:rPr>
        <w:t>，</w:t>
      </w:r>
      <w:r>
        <w:rPr>
          <w:rFonts w:hint="eastAsia" w:ascii="宋体" w:hAnsi="宋体" w:eastAsia="宋体" w:cs="宋体"/>
          <w:sz w:val="24"/>
        </w:rPr>
        <w:t>盈利能力是公司当前盈亏</w:t>
      </w:r>
      <w:r>
        <w:rPr>
          <w:rFonts w:hint="eastAsia" w:ascii="宋体" w:hAnsi="宋体" w:eastAsia="宋体" w:cs="宋体"/>
          <w:sz w:val="24"/>
          <w:lang w:val="en-US" w:eastAsia="zh-CN"/>
        </w:rPr>
        <w:t>最</w:t>
      </w:r>
      <w:r>
        <w:rPr>
          <w:rFonts w:hint="eastAsia" w:ascii="宋体" w:hAnsi="宋体" w:eastAsia="宋体" w:cs="宋体"/>
          <w:sz w:val="24"/>
        </w:rPr>
        <w:t>为</w:t>
      </w:r>
      <w:r>
        <w:rPr>
          <w:rFonts w:hint="eastAsia" w:ascii="宋体" w:hAnsi="宋体" w:eastAsia="宋体" w:cs="宋体"/>
          <w:sz w:val="24"/>
          <w:lang w:val="en-US" w:eastAsia="zh-CN"/>
        </w:rPr>
        <w:t>直接</w:t>
      </w:r>
      <w:r>
        <w:rPr>
          <w:rFonts w:hint="eastAsia" w:ascii="宋体" w:hAnsi="宋体" w:eastAsia="宋体" w:cs="宋体"/>
          <w:sz w:val="24"/>
        </w:rPr>
        <w:t>的表现，是投资时</w:t>
      </w:r>
      <w:r>
        <w:rPr>
          <w:rFonts w:ascii="宋体" w:hAnsi="宋体" w:eastAsia="宋体" w:cs="宋体"/>
          <w:sz w:val="24"/>
        </w:rPr>
        <w:t>十分重要的一环，</w:t>
      </w:r>
      <w:r>
        <w:rPr>
          <w:rFonts w:hint="eastAsia" w:ascii="宋体" w:hAnsi="宋体" w:eastAsia="宋体" w:cs="宋体"/>
          <w:sz w:val="24"/>
        </w:rPr>
        <w:t>投资者在未来能获得多少的营收利润主要取决于企业的未来的收益多少，因此公司盈利能力的强弱是大部分投资者主要关注点。</w:t>
      </w:r>
      <w:r>
        <w:rPr>
          <w:rFonts w:ascii="宋体" w:hAnsi="宋体" w:eastAsia="宋体" w:cs="宋体"/>
          <w:sz w:val="24"/>
        </w:rPr>
        <w:t>偿债能</w:t>
      </w:r>
      <w:r>
        <w:rPr>
          <w:rFonts w:hint="eastAsia" w:ascii="宋体" w:hAnsi="宋体" w:eastAsia="宋体" w:cs="宋体"/>
          <w:sz w:val="24"/>
        </w:rPr>
        <w:t>力主要</w:t>
      </w:r>
      <w:r>
        <w:rPr>
          <w:rFonts w:ascii="宋体" w:hAnsi="宋体" w:eastAsia="宋体" w:cs="宋体"/>
          <w:sz w:val="24"/>
        </w:rPr>
        <w:t>体现</w:t>
      </w:r>
      <w:r>
        <w:rPr>
          <w:rFonts w:hint="eastAsia" w:ascii="宋体" w:hAnsi="宋体" w:eastAsia="宋体" w:cs="宋体"/>
          <w:sz w:val="24"/>
        </w:rPr>
        <w:t>在</w:t>
      </w:r>
      <w:r>
        <w:rPr>
          <w:rFonts w:ascii="宋体" w:hAnsi="宋体" w:eastAsia="宋体" w:cs="宋体"/>
          <w:sz w:val="24"/>
        </w:rPr>
        <w:t>企业对抗风险</w:t>
      </w:r>
      <w:r>
        <w:rPr>
          <w:rFonts w:hint="eastAsia" w:ascii="宋体" w:hAnsi="宋体" w:eastAsia="宋体" w:cs="宋体"/>
          <w:sz w:val="24"/>
        </w:rPr>
        <w:t>时的</w:t>
      </w:r>
      <w:r>
        <w:rPr>
          <w:rFonts w:ascii="宋体" w:hAnsi="宋体" w:eastAsia="宋体" w:cs="宋体"/>
          <w:sz w:val="24"/>
        </w:rPr>
        <w:t>能力，</w:t>
      </w:r>
      <w:r>
        <w:rPr>
          <w:rFonts w:hint="eastAsia" w:ascii="宋体" w:hAnsi="宋体" w:eastAsia="宋体" w:cs="宋体"/>
          <w:sz w:val="24"/>
        </w:rPr>
        <w:t>能够在较大风险中保持不亏本甚至盈利的企业也是非常受到投资者青睐的，特别是医药商业行业来说，这样一个高投入，高风险的行业，偿债能力的强弱直接关系到了企业未来发展的命运</w:t>
      </w:r>
      <w:r>
        <w:rPr>
          <w:rFonts w:ascii="宋体" w:hAnsi="宋体" w:eastAsia="宋体" w:cs="宋体"/>
          <w:sz w:val="24"/>
        </w:rPr>
        <w:t>。营运能力</w:t>
      </w:r>
      <w:r>
        <w:rPr>
          <w:rFonts w:hint="eastAsia" w:ascii="宋体" w:hAnsi="宋体" w:eastAsia="宋体" w:cs="宋体"/>
          <w:sz w:val="24"/>
        </w:rPr>
        <w:t>是企业经营管理最为直观的表现，企业经营管理好的企业或许会有较好的盈利情况，但经营管理较差的企业，企业在盈利能力方面和偿债能力方面将不会有突出的表现，企业的运营能力是企业在一定的条件下向着更高经营效率的运营的关键因素。企业的发展能力因子是企业在未来一到两年内在所处行业中是否更加具有竞争力的表现，一个企业具有较强的发展能力，竞争力，在未来一年内的</w:t>
      </w:r>
      <w:r>
        <w:rPr>
          <w:rFonts w:hint="eastAsia" w:ascii="宋体" w:hAnsi="宋体" w:eastAsia="宋体" w:cs="宋体"/>
          <w:sz w:val="24"/>
          <w:lang w:val="en-US" w:eastAsia="zh-CN"/>
        </w:rPr>
        <w:t>盈利</w:t>
      </w:r>
      <w:r>
        <w:rPr>
          <w:rFonts w:hint="eastAsia" w:ascii="宋体" w:hAnsi="宋体" w:eastAsia="宋体" w:cs="宋体"/>
          <w:sz w:val="24"/>
        </w:rPr>
        <w:t>能力方面会有较好的表现，从长远方面来看更加</w:t>
      </w:r>
      <w:r>
        <w:rPr>
          <w:rFonts w:ascii="宋体" w:hAnsi="宋体" w:eastAsia="宋体" w:cs="宋体"/>
          <w:sz w:val="24"/>
        </w:rPr>
        <w:t>具有</w:t>
      </w:r>
      <w:r>
        <w:rPr>
          <w:rFonts w:hint="eastAsia" w:ascii="宋体" w:hAnsi="宋体" w:eastAsia="宋体" w:cs="宋体"/>
          <w:sz w:val="24"/>
        </w:rPr>
        <w:t>发展</w:t>
      </w:r>
      <w:r>
        <w:rPr>
          <w:rFonts w:ascii="宋体" w:hAnsi="宋体" w:eastAsia="宋体" w:cs="宋体"/>
          <w:sz w:val="24"/>
        </w:rPr>
        <w:t>性的企业</w:t>
      </w:r>
      <w:r>
        <w:rPr>
          <w:rFonts w:hint="eastAsia" w:ascii="宋体" w:hAnsi="宋体" w:eastAsia="宋体" w:cs="宋体"/>
          <w:sz w:val="24"/>
        </w:rPr>
        <w:t>会</w:t>
      </w:r>
      <w:r>
        <w:rPr>
          <w:rFonts w:ascii="宋体" w:hAnsi="宋体" w:eastAsia="宋体" w:cs="宋体"/>
          <w:sz w:val="24"/>
        </w:rPr>
        <w:t>投资者</w:t>
      </w:r>
      <w:r>
        <w:rPr>
          <w:rFonts w:hint="eastAsia" w:ascii="宋体" w:hAnsi="宋体" w:eastAsia="宋体" w:cs="宋体"/>
          <w:sz w:val="24"/>
        </w:rPr>
        <w:t>的关注</w:t>
      </w:r>
      <w:r>
        <w:rPr>
          <w:rFonts w:ascii="宋体" w:hAnsi="宋体" w:eastAsia="宋体" w:cs="宋体"/>
          <w:sz w:val="24"/>
        </w:rPr>
        <w:t>。因此这</w:t>
      </w:r>
      <w:r>
        <w:rPr>
          <w:rFonts w:hint="eastAsia" w:ascii="宋体" w:hAnsi="宋体" w:eastAsia="宋体" w:cs="宋体"/>
          <w:sz w:val="24"/>
        </w:rPr>
        <w:t>几个公共因子</w:t>
      </w:r>
      <w:r>
        <w:rPr>
          <w:rFonts w:ascii="宋体" w:hAnsi="宋体" w:eastAsia="宋体" w:cs="宋体"/>
          <w:sz w:val="24"/>
        </w:rPr>
        <w:t>个可</w:t>
      </w:r>
      <w:r>
        <w:rPr>
          <w:rFonts w:hint="eastAsia" w:ascii="宋体" w:hAnsi="宋体" w:eastAsia="宋体" w:cs="宋体"/>
          <w:sz w:val="24"/>
        </w:rPr>
        <w:t>以</w:t>
      </w:r>
      <w:r>
        <w:rPr>
          <w:rFonts w:ascii="宋体" w:hAnsi="宋体" w:eastAsia="宋体" w:cs="宋体"/>
          <w:sz w:val="24"/>
        </w:rPr>
        <w:t>反映</w:t>
      </w:r>
      <w:r>
        <w:rPr>
          <w:rFonts w:hint="eastAsia" w:ascii="宋体" w:hAnsi="宋体" w:eastAsia="宋体" w:cs="宋体"/>
          <w:sz w:val="24"/>
        </w:rPr>
        <w:t>投资者对企业</w:t>
      </w:r>
      <w:r>
        <w:rPr>
          <w:rFonts w:ascii="宋体" w:hAnsi="宋体" w:eastAsia="宋体" w:cs="宋体"/>
          <w:sz w:val="24"/>
        </w:rPr>
        <w:t>投资价值</w:t>
      </w:r>
      <w:r>
        <w:rPr>
          <w:rFonts w:hint="eastAsia" w:ascii="宋体" w:hAnsi="宋体" w:eastAsia="宋体" w:cs="宋体"/>
          <w:sz w:val="24"/>
        </w:rPr>
        <w:t>的筛选</w:t>
      </w:r>
      <w:r>
        <w:rPr>
          <w:rFonts w:ascii="宋体" w:hAnsi="宋体" w:eastAsia="宋体" w:cs="宋体"/>
          <w:sz w:val="24"/>
        </w:rPr>
        <w:t>。</w:t>
      </w:r>
    </w:p>
    <w:p>
      <w:pPr>
        <w:pStyle w:val="4"/>
      </w:pPr>
      <w:bookmarkStart w:id="33" w:name="_Toc27381"/>
      <w:r>
        <w:t>3.2.5样本公司的投资价值得分</w:t>
      </w:r>
      <w:bookmarkEnd w:id="33"/>
    </w:p>
    <w:p>
      <w:pPr>
        <w:spacing w:line="300" w:lineRule="auto"/>
        <w:ind w:firstLine="420"/>
        <w:jc w:val="center"/>
        <w:rPr>
          <w:rFonts w:ascii="宋体" w:hAnsi="宋体" w:eastAsia="宋体" w:cs="宋体"/>
          <w:szCs w:val="21"/>
        </w:rPr>
      </w:pPr>
      <w:r>
        <w:rPr>
          <w:rFonts w:ascii="宋体" w:hAnsi="宋体" w:eastAsia="宋体" w:cs="宋体"/>
          <w:szCs w:val="21"/>
        </w:rPr>
        <w:t>表</w:t>
      </w:r>
      <w:r>
        <w:rPr>
          <w:rFonts w:hint="eastAsia" w:ascii="宋体" w:hAnsi="宋体" w:eastAsia="宋体" w:cs="宋体"/>
          <w:szCs w:val="21"/>
        </w:rPr>
        <w:t>5</w:t>
      </w:r>
      <w:r>
        <w:rPr>
          <w:rFonts w:ascii="宋体" w:hAnsi="宋体" w:eastAsia="宋体" w:cs="宋体"/>
          <w:szCs w:val="21"/>
        </w:rPr>
        <w:t>因子得分系数矩阵</w:t>
      </w:r>
    </w:p>
    <w:tbl>
      <w:tblPr>
        <w:tblStyle w:val="16"/>
        <w:tblW w:w="779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77"/>
        <w:gridCol w:w="1164"/>
        <w:gridCol w:w="1164"/>
        <w:gridCol w:w="1164"/>
        <w:gridCol w:w="1164"/>
        <w:gridCol w:w="11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jc w:val="center"/>
        </w:trPr>
        <w:tc>
          <w:tcPr>
            <w:tcW w:w="1977"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成分</w:t>
            </w:r>
          </w:p>
        </w:tc>
        <w:tc>
          <w:tcPr>
            <w:tcW w:w="1164"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1</w:t>
            </w:r>
          </w:p>
        </w:tc>
        <w:tc>
          <w:tcPr>
            <w:tcW w:w="1164"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2</w:t>
            </w:r>
          </w:p>
        </w:tc>
        <w:tc>
          <w:tcPr>
            <w:tcW w:w="1164"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3</w:t>
            </w:r>
          </w:p>
        </w:tc>
        <w:tc>
          <w:tcPr>
            <w:tcW w:w="1164"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4</w:t>
            </w:r>
          </w:p>
        </w:tc>
        <w:tc>
          <w:tcPr>
            <w:tcW w:w="1165" w:type="dxa"/>
            <w:tcBorders>
              <w:bottom w:val="single" w:color="auto" w:sz="4" w:space="0"/>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净资产收益率</w:t>
            </w:r>
          </w:p>
        </w:tc>
        <w:tc>
          <w:tcPr>
            <w:tcW w:w="1164"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-0.026</w:t>
            </w:r>
          </w:p>
        </w:tc>
        <w:tc>
          <w:tcPr>
            <w:tcW w:w="1164"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0.022</w:t>
            </w:r>
          </w:p>
        </w:tc>
        <w:tc>
          <w:tcPr>
            <w:tcW w:w="1164"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-0.103</w:t>
            </w:r>
          </w:p>
        </w:tc>
        <w:tc>
          <w:tcPr>
            <w:tcW w:w="1164"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0.052</w:t>
            </w:r>
          </w:p>
        </w:tc>
        <w:tc>
          <w:tcPr>
            <w:tcW w:w="1165" w:type="dxa"/>
            <w:tcBorders>
              <w:top w:val="single" w:color="auto" w:sz="4" w:space="0"/>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0.337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资产报酬率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0.077</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0.061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-0.137</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0.046</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0.273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销售毛利率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-0.052</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-0.058</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-0.404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0.032</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净利润增长率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0.116</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0.463</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0.084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-0.132</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营业收入增长率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-0.113</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0.411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0.001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0.048</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-0.399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总资产增长率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-0.016</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0.406</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0.064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-0.129</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速动比率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0.36</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0.087</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0.154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0.112</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-0.298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流动比率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0.356</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0.045</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-0.022</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资产负债率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-0.298</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-0.041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0.095</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-0.03</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存货周转率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0.068</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0.401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0.104</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总资产周转率</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0.004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-0.145</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0.155</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-0.108</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0.647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每股收益</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-0.002</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-0.131</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-0.025</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0.449</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1" w:hRule="atLeast"/>
          <w:jc w:val="center"/>
        </w:trPr>
        <w:tc>
          <w:tcPr>
            <w:tcW w:w="1977"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每股净资产</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0.074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-0.089</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0.104</w:t>
            </w:r>
          </w:p>
        </w:tc>
        <w:tc>
          <w:tcPr>
            <w:tcW w:w="1164"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0.589</w:t>
            </w:r>
          </w:p>
        </w:tc>
        <w:tc>
          <w:tcPr>
            <w:tcW w:w="1165" w:type="dxa"/>
            <w:tcBorders>
              <w:tl2br w:val="nil"/>
              <w:tr2bl w:val="nil"/>
            </w:tcBorders>
            <w:shd w:val="clear" w:color="auto" w:fill="auto"/>
            <w:vAlign w:val="center"/>
          </w:tcPr>
          <w:p>
            <w:pPr>
              <w:spacing w:line="440" w:lineRule="exact"/>
              <w:rPr>
                <w:rFonts w:ascii="宋体" w:hAnsi="宋体" w:eastAsia="宋体" w:cs="宋体"/>
                <w:szCs w:val="21"/>
              </w:rPr>
            </w:pPr>
            <w:r>
              <w:rPr>
                <w:rFonts w:hint="eastAsia" w:ascii="宋体" w:hAnsi="宋体" w:eastAsia="宋体" w:cs="宋体"/>
                <w:szCs w:val="21"/>
              </w:rPr>
              <w:t>-0.227</w:t>
            </w:r>
          </w:p>
        </w:tc>
      </w:tr>
    </w:tbl>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五个公共因子分别是</w:t>
      </w:r>
      <w:r>
        <w:rPr>
          <w:rFonts w:ascii="宋体" w:hAnsi="宋体" w:eastAsia="宋体" w:cs="宋体"/>
          <w:sz w:val="24"/>
        </w:rPr>
        <w:t>偿债能力</w:t>
      </w:r>
      <w:r>
        <w:rPr>
          <w:rFonts w:hint="eastAsia" w:ascii="宋体" w:hAnsi="宋体" w:eastAsia="宋体" w:cs="宋体"/>
          <w:sz w:val="24"/>
        </w:rPr>
        <w:t>因子</w:t>
      </w:r>
      <w:r>
        <w:rPr>
          <w:rFonts w:ascii="宋体" w:hAnsi="宋体" w:eastAsia="宋体" w:cs="宋体"/>
          <w:sz w:val="24"/>
        </w:rPr>
        <w:t>、</w:t>
      </w:r>
      <w:r>
        <w:rPr>
          <w:rFonts w:hint="eastAsia" w:ascii="宋体" w:hAnsi="宋体" w:eastAsia="宋体" w:cs="宋体"/>
          <w:sz w:val="24"/>
        </w:rPr>
        <w:t>发展能力因子</w:t>
      </w:r>
      <w:r>
        <w:rPr>
          <w:rFonts w:ascii="宋体" w:hAnsi="宋体" w:eastAsia="宋体" w:cs="宋体"/>
          <w:sz w:val="24"/>
        </w:rPr>
        <w:t>、</w:t>
      </w:r>
      <w:r>
        <w:rPr>
          <w:rFonts w:hint="eastAsia" w:ascii="宋体" w:hAnsi="宋体" w:eastAsia="宋体" w:cs="宋体"/>
          <w:sz w:val="24"/>
        </w:rPr>
        <w:t>运营</w:t>
      </w:r>
      <w:r>
        <w:rPr>
          <w:rFonts w:ascii="宋体" w:hAnsi="宋体" w:eastAsia="宋体" w:cs="宋体"/>
          <w:sz w:val="24"/>
        </w:rPr>
        <w:t>能力</w:t>
      </w:r>
      <w:r>
        <w:rPr>
          <w:rFonts w:hint="eastAsia" w:ascii="宋体" w:hAnsi="宋体" w:eastAsia="宋体" w:cs="宋体"/>
          <w:sz w:val="24"/>
        </w:rPr>
        <w:t>因子</w:t>
      </w:r>
      <w:r>
        <w:rPr>
          <w:rFonts w:ascii="宋体" w:hAnsi="宋体" w:eastAsia="宋体" w:cs="宋体"/>
          <w:sz w:val="24"/>
        </w:rPr>
        <w:t>、每股指标</w:t>
      </w:r>
      <w:r>
        <w:rPr>
          <w:rFonts w:hint="eastAsia" w:ascii="宋体" w:hAnsi="宋体" w:eastAsia="宋体" w:cs="宋体"/>
          <w:sz w:val="24"/>
        </w:rPr>
        <w:t>因子和盈利</w:t>
      </w:r>
      <w:r>
        <w:rPr>
          <w:rFonts w:ascii="宋体" w:hAnsi="宋体" w:eastAsia="宋体" w:cs="宋体"/>
          <w:sz w:val="24"/>
        </w:rPr>
        <w:t>能力</w:t>
      </w:r>
      <w:r>
        <w:rPr>
          <w:rFonts w:hint="eastAsia" w:ascii="宋体" w:hAnsi="宋体" w:eastAsia="宋体" w:cs="宋体"/>
          <w:sz w:val="24"/>
        </w:rPr>
        <w:t>因子</w:t>
      </w:r>
      <w:r>
        <w:rPr>
          <w:rFonts w:hint="eastAsia" w:ascii="宋体" w:hAnsi="宋体" w:eastAsia="宋体" w:cs="宋体"/>
          <w:sz w:val="24"/>
          <w:lang w:val="en-US" w:eastAsia="zh-CN"/>
        </w:rPr>
        <w:t>且</w:t>
      </w:r>
      <w:r>
        <w:rPr>
          <w:rFonts w:hint="eastAsia" w:ascii="宋体" w:hAnsi="宋体" w:eastAsia="宋体" w:cs="宋体"/>
          <w:sz w:val="24"/>
        </w:rPr>
        <w:t>最终</w:t>
      </w:r>
      <w:r>
        <w:rPr>
          <w:rFonts w:ascii="宋体" w:hAnsi="宋体" w:eastAsia="宋体" w:cs="宋体"/>
          <w:sz w:val="24"/>
        </w:rPr>
        <w:t>得分分别记为</w:t>
      </w:r>
      <w:r>
        <w:rPr>
          <w:rFonts w:hint="eastAsia" w:ascii="宋体" w:hAnsi="宋体" w:eastAsia="宋体" w:cs="宋体"/>
          <w:sz w:val="24"/>
        </w:rPr>
        <w:t>F1</w:t>
      </w:r>
      <w:r>
        <w:rPr>
          <w:rFonts w:ascii="宋体" w:hAnsi="宋体" w:eastAsia="宋体" w:cs="宋体"/>
          <w:sz w:val="24"/>
        </w:rPr>
        <w:t>、</w:t>
      </w:r>
      <w:r>
        <w:rPr>
          <w:rFonts w:hint="eastAsia" w:ascii="宋体" w:hAnsi="宋体" w:eastAsia="宋体" w:cs="宋体"/>
          <w:sz w:val="24"/>
        </w:rPr>
        <w:t>F2</w:t>
      </w:r>
      <w:r>
        <w:rPr>
          <w:rFonts w:ascii="宋体" w:hAnsi="宋体" w:eastAsia="宋体" w:cs="宋体"/>
          <w:sz w:val="24"/>
        </w:rPr>
        <w:t>、</w:t>
      </w:r>
      <w:r>
        <w:rPr>
          <w:rFonts w:hint="eastAsia" w:ascii="宋体" w:hAnsi="宋体" w:eastAsia="宋体" w:cs="宋体"/>
          <w:sz w:val="24"/>
        </w:rPr>
        <w:t>F3</w:t>
      </w:r>
      <w:r>
        <w:rPr>
          <w:rFonts w:ascii="宋体" w:hAnsi="宋体" w:eastAsia="宋体" w:cs="宋体"/>
          <w:sz w:val="24"/>
        </w:rPr>
        <w:t>、</w:t>
      </w:r>
      <w:r>
        <w:rPr>
          <w:rFonts w:hint="eastAsia" w:ascii="宋体" w:hAnsi="宋体" w:eastAsia="宋体" w:cs="宋体"/>
          <w:sz w:val="24"/>
        </w:rPr>
        <w:t>F4、F5；</w:t>
      </w:r>
      <w:r>
        <w:rPr>
          <w:rFonts w:ascii="宋体" w:hAnsi="宋体" w:eastAsia="宋体" w:cs="宋体"/>
          <w:sz w:val="24"/>
        </w:rPr>
        <w:t>各</w:t>
      </w:r>
      <w:r>
        <w:rPr>
          <w:rFonts w:hint="eastAsia" w:ascii="宋体" w:hAnsi="宋体" w:eastAsia="宋体" w:cs="宋体"/>
          <w:sz w:val="24"/>
        </w:rPr>
        <w:t>财务指标</w:t>
      </w:r>
      <w:r>
        <w:rPr>
          <w:rFonts w:ascii="宋体" w:hAnsi="宋体" w:eastAsia="宋体" w:cs="宋体"/>
          <w:sz w:val="24"/>
        </w:rPr>
        <w:t>名称用变量</w:t>
      </w:r>
      <w:r>
        <w:rPr>
          <w:rFonts w:hint="eastAsia" w:ascii="宋体" w:hAnsi="宋体" w:eastAsia="宋体" w:cs="宋体"/>
          <w:sz w:val="24"/>
        </w:rPr>
        <w:t>X1~X13</w:t>
      </w:r>
      <w:r>
        <w:rPr>
          <w:rFonts w:ascii="宋体" w:hAnsi="宋体" w:eastAsia="宋体" w:cs="宋体"/>
          <w:sz w:val="24"/>
        </w:rPr>
        <w:t>表示</w:t>
      </w:r>
      <w:r>
        <w:rPr>
          <w:rFonts w:hint="eastAsia" w:ascii="宋体" w:hAnsi="宋体" w:eastAsia="宋体" w:cs="宋体"/>
          <w:sz w:val="24"/>
        </w:rPr>
        <w:t>，并建立</w:t>
      </w:r>
      <w:r>
        <w:rPr>
          <w:rFonts w:hint="eastAsia" w:ascii="宋体" w:hAnsi="宋体" w:eastAsia="宋体" w:cs="宋体"/>
          <w:sz w:val="24"/>
          <w:lang w:val="en-US" w:eastAsia="zh-CN"/>
        </w:rPr>
        <w:t>以</w:t>
      </w:r>
      <w:r>
        <w:rPr>
          <w:rFonts w:hint="eastAsia" w:ascii="宋体" w:hAnsi="宋体" w:eastAsia="宋体" w:cs="宋体"/>
          <w:sz w:val="24"/>
        </w:rPr>
        <w:t>下五</w:t>
      </w:r>
      <w:r>
        <w:rPr>
          <w:rFonts w:ascii="宋体" w:hAnsi="宋体" w:eastAsia="宋体" w:cs="宋体"/>
          <w:sz w:val="24"/>
        </w:rPr>
        <w:t>个方程：</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F1=-0.026X1+0.077X2-0.052X3+0.116X4-0.113X5-0.016X6+0.36X7+0.356X8-0.298X9+0.068X10+0.004X11-0.002X12+0.074X13</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F2=0.022X1+0.061X2-0.058X3+0.463X4+0.411X5+0.406X6+0.087X7-0.01X8-0.041X9+0.02X10-0.145X11-0.131X12-0.089X13</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F3=-0.103X1-0.137X2-0.404X3+0.084X4+0.001X5+0.064X6+0.154X7+0.045X8+0.095X9+0.401X10+0.155X11-0.025X12+0.104X13</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F4=0.052X1+0.046X2+0.032X3-0.132X4+0.048X5-0.129X6+0.112X7-0.022X8-0.03X9+0.104X10-0.108X11+0.449X12+0.589X13</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F5=0.337X1+0.273X2+0.016X3-0.172X4-0.399X5-0.069X6-0.298X7+0.122X8-0.026X9-0.03X10+0.647X11+0.076X12-0.227X13</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最后</w:t>
      </w:r>
      <w:r>
        <w:rPr>
          <w:rFonts w:hint="eastAsia" w:ascii="宋体" w:hAnsi="宋体" w:eastAsia="宋体" w:cs="宋体"/>
          <w:sz w:val="24"/>
        </w:rPr>
        <w:t>以方差贡献率</w:t>
      </w:r>
      <w:r>
        <w:rPr>
          <w:rFonts w:ascii="宋体" w:hAnsi="宋体" w:eastAsia="宋体" w:cs="宋体"/>
          <w:sz w:val="24"/>
        </w:rPr>
        <w:t>作为权数计算</w:t>
      </w:r>
      <w:r>
        <w:rPr>
          <w:rFonts w:hint="eastAsia" w:ascii="宋体" w:hAnsi="宋体" w:eastAsia="宋体" w:cs="宋体"/>
          <w:sz w:val="24"/>
        </w:rPr>
        <w:t>变量因子</w:t>
      </w:r>
      <w:r>
        <w:rPr>
          <w:rFonts w:ascii="宋体" w:hAnsi="宋体" w:eastAsia="宋体" w:cs="宋体"/>
          <w:sz w:val="24"/>
        </w:rPr>
        <w:t>综合得分Ｆ</w:t>
      </w:r>
      <w:r>
        <w:rPr>
          <w:rFonts w:hint="eastAsia" w:ascii="宋体" w:hAnsi="宋体" w:eastAsia="宋体" w:cs="宋体"/>
          <w:sz w:val="24"/>
        </w:rPr>
        <w:t>如下：</w:t>
      </w:r>
    </w:p>
    <w:p>
      <w:pPr>
        <w:adjustRightInd w:val="0"/>
        <w:snapToGrid w:val="0"/>
        <w:spacing w:line="440" w:lineRule="exact"/>
        <w:ind w:firstLine="480" w:firstLineChars="200"/>
        <w:rPr>
          <w:rFonts w:ascii="宋体" w:hAnsi="宋体" w:eastAsia="宋体" w:cs="宋体"/>
          <w:sz w:val="24"/>
        </w:rPr>
      </w:pPr>
      <w:r>
        <w:rPr>
          <w:rFonts w:ascii="宋体" w:hAnsi="宋体" w:eastAsia="宋体" w:cs="宋体"/>
          <w:sz w:val="24"/>
        </w:rPr>
        <w:t>Ｆ＝</w:t>
      </w:r>
      <w:r>
        <w:rPr>
          <w:rFonts w:hint="eastAsia" w:ascii="宋体" w:hAnsi="宋体" w:eastAsia="宋体" w:cs="宋体"/>
          <w:sz w:val="24"/>
        </w:rPr>
        <w:t>(21.63%*F1+42.209%*F2+61.410%*F3+77.975%*F4+90.27%*F5)</w:t>
      </w:r>
    </w:p>
    <w:p>
      <w:pPr>
        <w:adjustRightInd w:val="0"/>
        <w:snapToGrid w:val="0"/>
        <w:spacing w:line="440" w:lineRule="exact"/>
        <w:ind w:firstLine="480" w:firstLineChars="200"/>
        <w:jc w:val="center"/>
        <w:rPr>
          <w:rFonts w:ascii="宋体" w:hAnsi="宋体" w:eastAsia="宋体" w:cs="宋体"/>
          <w:sz w:val="24"/>
        </w:rPr>
      </w:pPr>
      <w:r>
        <w:rPr>
          <w:rFonts w:hint="eastAsia" w:ascii="宋体" w:hAnsi="宋体" w:eastAsia="宋体" w:cs="宋体"/>
          <w:sz w:val="24"/>
        </w:rPr>
        <w:t>根据综合得分，我们对样本数据得26家企业进行排名，结果入下表6  2019年</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综合得分排名和表7 2018年综合得分排名显示。</w:t>
      </w:r>
    </w:p>
    <w:p>
      <w:pPr>
        <w:adjustRightInd w:val="0"/>
        <w:snapToGrid w:val="0"/>
        <w:spacing w:line="440" w:lineRule="exact"/>
        <w:jc w:val="center"/>
        <w:rPr>
          <w:rFonts w:ascii="宋体" w:hAnsi="宋体" w:eastAsia="宋体" w:cs="宋体"/>
          <w:szCs w:val="21"/>
        </w:rPr>
      </w:pP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表6 2019年综合得分排名</w:t>
      </w:r>
    </w:p>
    <w:tbl>
      <w:tblPr>
        <w:tblStyle w:val="16"/>
        <w:tblW w:w="900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3024"/>
        <w:gridCol w:w="898"/>
        <w:gridCol w:w="649"/>
        <w:gridCol w:w="649"/>
        <w:gridCol w:w="649"/>
        <w:gridCol w:w="649"/>
        <w:gridCol w:w="741"/>
        <w:gridCol w:w="64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1" w:hRule="atLeast"/>
          <w:jc w:val="center"/>
        </w:trPr>
        <w:tc>
          <w:tcPr>
            <w:tcW w:w="1101"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代码</w:t>
            </w:r>
          </w:p>
        </w:tc>
        <w:tc>
          <w:tcPr>
            <w:tcW w:w="3024"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公司名称</w:t>
            </w:r>
          </w:p>
        </w:tc>
        <w:tc>
          <w:tcPr>
            <w:tcW w:w="898"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偿债</w:t>
            </w:r>
          </w:p>
          <w:p>
            <w:pPr>
              <w:adjustRightInd w:val="0"/>
              <w:snapToGrid w:val="0"/>
              <w:spacing w:line="440" w:lineRule="exact"/>
              <w:rPr>
                <w:rFonts w:ascii="宋体" w:hAnsi="宋体" w:eastAsia="宋体" w:cs="宋体"/>
                <w:szCs w:val="21"/>
              </w:rPr>
            </w:pPr>
            <w:r>
              <w:rPr>
                <w:rFonts w:hint="eastAsia" w:ascii="宋体" w:hAnsi="宋体" w:eastAsia="宋体" w:cs="宋体"/>
                <w:szCs w:val="21"/>
              </w:rPr>
              <w:t>能力</w:t>
            </w:r>
          </w:p>
        </w:tc>
        <w:tc>
          <w:tcPr>
            <w:tcW w:w="649"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发展能力</w:t>
            </w:r>
          </w:p>
        </w:tc>
        <w:tc>
          <w:tcPr>
            <w:tcW w:w="649"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运营能力</w:t>
            </w:r>
          </w:p>
        </w:tc>
        <w:tc>
          <w:tcPr>
            <w:tcW w:w="649"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每股指标</w:t>
            </w:r>
          </w:p>
        </w:tc>
        <w:tc>
          <w:tcPr>
            <w:tcW w:w="649"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盈利能力</w:t>
            </w:r>
          </w:p>
        </w:tc>
        <w:tc>
          <w:tcPr>
            <w:tcW w:w="741"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综合得分</w:t>
            </w:r>
          </w:p>
        </w:tc>
        <w:tc>
          <w:tcPr>
            <w:tcW w:w="649"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排名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C300937</w:t>
            </w:r>
          </w:p>
        </w:tc>
        <w:tc>
          <w:tcPr>
            <w:tcW w:w="3024"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四川合纵药易购医药股份有限公司</w:t>
            </w:r>
          </w:p>
        </w:tc>
        <w:tc>
          <w:tcPr>
            <w:tcW w:w="898"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649"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649"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649"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649"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741"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3.24</w:t>
            </w:r>
          </w:p>
        </w:tc>
        <w:tc>
          <w:tcPr>
            <w:tcW w:w="649"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C600511</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国药集团药业股份有限公司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2.94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C000028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国药集团一致药业股份有限公司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C605266</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云南健之佳健康连锁店股份有限公司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C603368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广西柳州医药股份有限公司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C002462</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嘉事堂药业股份有限公司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C000411</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浙江英特集团股份有限公司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C002788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鹭燕医药股份有限公司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0.69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C000705</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浙江震元股份有限公司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0.37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C600829</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哈药集团人民同泰医药股份有限公司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C601607</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上海医药集团股份有限公司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C600713</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南京医药股份有限公司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-0.17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C603233</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大参林医药集团股份有限公司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C000950</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重药控股股份有限公司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C002727</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一心堂药业集团股份有限公司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-0.34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C600998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九州通医药集团股份有限公司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-0.39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C600056</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中国医药健康产业股份有限公司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-0.59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C603883</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老百姓大药房连锁股份有限公司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-0.62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C600833</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上海第一医药股份有限公司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C603939</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益丰大药房连锁股份有限公司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C831173</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广东泰恩康医药股份有限公司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C000078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深圳市海王生物工程股份有限公司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C002758</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浙农集团股份有限公司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C600272</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上海开开实业股份有限公司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-1.87</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C603716</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塞力斯医疗科技集团股份有限公司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10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C002589</w:t>
            </w:r>
          </w:p>
        </w:tc>
        <w:tc>
          <w:tcPr>
            <w:tcW w:w="3024"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瑞康医药集团股份有限公司</w:t>
            </w:r>
          </w:p>
        </w:tc>
        <w:tc>
          <w:tcPr>
            <w:tcW w:w="898"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-2.83</w:t>
            </w:r>
          </w:p>
        </w:tc>
        <w:tc>
          <w:tcPr>
            <w:tcW w:w="649"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r>
    </w:tbl>
    <w:p>
      <w:pPr>
        <w:adjustRightInd w:val="0"/>
        <w:snapToGrid w:val="0"/>
        <w:spacing w:line="440" w:lineRule="exact"/>
        <w:rPr>
          <w:rFonts w:ascii="宋体" w:hAnsi="宋体" w:eastAsia="宋体" w:cs="宋体"/>
          <w:szCs w:val="21"/>
        </w:rPr>
      </w:pPr>
    </w:p>
    <w:p>
      <w:pPr>
        <w:adjustRightInd w:val="0"/>
        <w:snapToGrid w:val="0"/>
        <w:spacing w:line="440" w:lineRule="exact"/>
        <w:jc w:val="center"/>
        <w:rPr>
          <w:rFonts w:ascii="宋体" w:hAnsi="宋体" w:eastAsia="宋体" w:cs="宋体"/>
          <w:szCs w:val="21"/>
        </w:rPr>
      </w:pPr>
      <w:r>
        <w:rPr>
          <w:rFonts w:hint="eastAsia" w:ascii="宋体" w:hAnsi="宋体" w:eastAsia="宋体" w:cs="宋体"/>
          <w:szCs w:val="21"/>
        </w:rPr>
        <w:t>表7 2018年综合得分排名</w:t>
      </w:r>
    </w:p>
    <w:tbl>
      <w:tblPr>
        <w:tblStyle w:val="16"/>
        <w:tblpPr w:leftFromText="180" w:rightFromText="180" w:vertAnchor="text" w:horzAnchor="page" w:tblpXSpec="center" w:tblpY="391"/>
        <w:tblOverlap w:val="never"/>
        <w:tblW w:w="883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1"/>
        <w:gridCol w:w="3410"/>
        <w:gridCol w:w="910"/>
        <w:gridCol w:w="565"/>
        <w:gridCol w:w="565"/>
        <w:gridCol w:w="565"/>
        <w:gridCol w:w="565"/>
        <w:gridCol w:w="741"/>
        <w:gridCol w:w="56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951"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代码</w:t>
            </w:r>
          </w:p>
        </w:tc>
        <w:tc>
          <w:tcPr>
            <w:tcW w:w="3410"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公司名称</w:t>
            </w:r>
          </w:p>
        </w:tc>
        <w:tc>
          <w:tcPr>
            <w:tcW w:w="910"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盈利</w:t>
            </w:r>
          </w:p>
          <w:p>
            <w:pPr>
              <w:adjustRightInd w:val="0"/>
              <w:snapToGrid w:val="0"/>
              <w:spacing w:line="440" w:lineRule="exact"/>
              <w:rPr>
                <w:rFonts w:ascii="宋体" w:hAnsi="宋体" w:eastAsia="宋体" w:cs="宋体"/>
                <w:szCs w:val="21"/>
              </w:rPr>
            </w:pPr>
            <w:r>
              <w:rPr>
                <w:rFonts w:hint="eastAsia" w:ascii="宋体" w:hAnsi="宋体" w:eastAsia="宋体" w:cs="宋体"/>
                <w:szCs w:val="21"/>
              </w:rPr>
              <w:t>能力</w:t>
            </w:r>
          </w:p>
        </w:tc>
        <w:tc>
          <w:tcPr>
            <w:tcW w:w="565"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偿债能力</w:t>
            </w:r>
          </w:p>
        </w:tc>
        <w:tc>
          <w:tcPr>
            <w:tcW w:w="565"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运营能力</w:t>
            </w:r>
          </w:p>
        </w:tc>
        <w:tc>
          <w:tcPr>
            <w:tcW w:w="565"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发展能力</w:t>
            </w:r>
          </w:p>
        </w:tc>
        <w:tc>
          <w:tcPr>
            <w:tcW w:w="565"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每股指标</w:t>
            </w:r>
          </w:p>
        </w:tc>
        <w:tc>
          <w:tcPr>
            <w:tcW w:w="741"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综合得分</w:t>
            </w:r>
          </w:p>
        </w:tc>
        <w:tc>
          <w:tcPr>
            <w:tcW w:w="566" w:type="dxa"/>
            <w:tcBorders>
              <w:bottom w:val="single" w:color="auto" w:sz="4" w:space="0"/>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排名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C000028</w:t>
            </w:r>
          </w:p>
        </w:tc>
        <w:tc>
          <w:tcPr>
            <w:tcW w:w="3410"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国药集团一致药业股份有限公司</w:t>
            </w:r>
          </w:p>
        </w:tc>
        <w:tc>
          <w:tcPr>
            <w:tcW w:w="910"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565"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565"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565"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565"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741"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3.25</w:t>
            </w:r>
          </w:p>
        </w:tc>
        <w:tc>
          <w:tcPr>
            <w:tcW w:w="566" w:type="dxa"/>
            <w:tcBorders>
              <w:top w:val="single" w:color="auto" w:sz="4" w:space="0"/>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C300937</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四川合纵药易购医药股份有限公司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2.76</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C603368</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广西柳州医药股份有限公司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2.07</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C603716</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塞力斯医疗科技集团股份有限公司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1.91</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C600511</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国药集团药业股份有限公司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1.57</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C603939</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益丰大药房连锁股份有限公司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1.48</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C002462</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嘉事堂药业股份有限公司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1.35</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C601607</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上海医药集团股份有限公司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0.95</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C002788</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鹭燕医药股份有限公司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0.66</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C002589</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瑞康医药集团股份有限公司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C000078</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深圳市海王生物工程股份有限公司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0.07</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C000950</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重药控股股份有限公司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0.06</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C600998</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九州通医药集团股份有限公司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-0.17</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C831173</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广东泰恩康医药股份有限公司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-0.24</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C600056</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中国医药健康产业股份有限公司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-0.4</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C605266</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云南健之佳健康连锁店股份有限公司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-0.48</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C600713</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南京医药股份有限公司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-0.59</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C603883</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老百姓大药房连锁股份有限公司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8</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-0.66</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C000411</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浙江英特集团股份有限公司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C002758</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浙农集团股份有限公司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-1.12</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C000705</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浙江震元股份有限公司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17</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-1.14</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C002727</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一心堂药业集团股份有限公司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-1.48</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C603233</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大参林医药集团股份有限公司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-1.57</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C600829</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哈药集团人民同泰医药股份有限公司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C600833</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上海第一医药股份有限公司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3</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18</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16</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-2.23</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95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C600272</w:t>
            </w:r>
          </w:p>
        </w:tc>
        <w:tc>
          <w:tcPr>
            <w:tcW w:w="34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上海开开实业股份有限公司</w:t>
            </w:r>
          </w:p>
        </w:tc>
        <w:tc>
          <w:tcPr>
            <w:tcW w:w="910"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22</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15</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20</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21</w:t>
            </w:r>
          </w:p>
        </w:tc>
        <w:tc>
          <w:tcPr>
            <w:tcW w:w="565"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24</w:t>
            </w:r>
          </w:p>
        </w:tc>
        <w:tc>
          <w:tcPr>
            <w:tcW w:w="741"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-2.96</w:t>
            </w:r>
          </w:p>
        </w:tc>
        <w:tc>
          <w:tcPr>
            <w:tcW w:w="566" w:type="dxa"/>
            <w:tcBorders>
              <w:tl2br w:val="nil"/>
              <w:tr2bl w:val="nil"/>
            </w:tcBorders>
            <w:shd w:val="clear" w:color="auto" w:fill="auto"/>
            <w:vAlign w:val="center"/>
          </w:tcPr>
          <w:p>
            <w:pPr>
              <w:adjustRightInd w:val="0"/>
              <w:snapToGrid w:val="0"/>
              <w:spacing w:line="440" w:lineRule="exact"/>
              <w:rPr>
                <w:rFonts w:ascii="宋体" w:hAnsi="宋体" w:eastAsia="宋体" w:cs="宋体"/>
                <w:szCs w:val="21"/>
              </w:rPr>
            </w:pPr>
            <w:r>
              <w:rPr>
                <w:rFonts w:hint="eastAsia" w:ascii="宋体" w:hAnsi="宋体" w:eastAsia="宋体" w:cs="宋体"/>
                <w:szCs w:val="21"/>
              </w:rPr>
              <w:t>26</w:t>
            </w:r>
          </w:p>
        </w:tc>
      </w:tr>
    </w:tbl>
    <w:p>
      <w:pPr>
        <w:adjustRightInd w:val="0"/>
        <w:snapToGrid w:val="0"/>
        <w:spacing w:line="440" w:lineRule="exact"/>
        <w:ind w:firstLine="480" w:firstLineChars="200"/>
        <w:rPr>
          <w:rFonts w:ascii="宋体" w:hAnsi="宋体" w:eastAsia="宋体" w:cs="黑体"/>
          <w:sz w:val="24"/>
        </w:rPr>
      </w:pPr>
    </w:p>
    <w:p>
      <w:pPr>
        <w:pStyle w:val="3"/>
      </w:pPr>
      <w:bookmarkStart w:id="34" w:name="_Toc31622"/>
      <w:r>
        <w:rPr>
          <w:rFonts w:hint="eastAsia"/>
        </w:rPr>
        <w:t>3.3医药商业公司投资价值结果分析</w:t>
      </w:r>
      <w:bookmarkEnd w:id="34"/>
    </w:p>
    <w:p>
      <w:pPr>
        <w:pStyle w:val="4"/>
      </w:pPr>
      <w:bookmarkStart w:id="35" w:name="_Toc23162"/>
      <w:r>
        <w:t>3.3.1综合排名分析</w:t>
      </w:r>
      <w:bookmarkEnd w:id="35"/>
    </w:p>
    <w:p>
      <w:pPr>
        <w:adjustRightInd w:val="0"/>
        <w:snapToGrid w:val="0"/>
        <w:spacing w:line="440" w:lineRule="exact"/>
        <w:ind w:firstLine="480" w:firstLineChars="200"/>
        <w:jc w:val="center"/>
        <w:rPr>
          <w:rFonts w:ascii="宋体" w:hAnsi="宋体" w:eastAsia="宋体" w:cs="宋体"/>
          <w:sz w:val="24"/>
        </w:rPr>
      </w:pPr>
      <w:r>
        <w:rPr>
          <w:rFonts w:hint="eastAsia" w:ascii="宋体" w:hAnsi="宋体" w:eastAsia="宋体" w:cs="宋体"/>
          <w:sz w:val="24"/>
        </w:rPr>
        <w:t>根据综合得分情况做降序排序处理，因子排名越靠前则能力越强，公司综合得分</w:t>
      </w:r>
    </w:p>
    <w:p>
      <w:pPr>
        <w:adjustRightInd w:val="0"/>
        <w:snapToGrid w:val="0"/>
        <w:spacing w:line="440" w:lineRule="exact"/>
        <w:rPr>
          <w:rFonts w:ascii="宋体" w:hAnsi="宋体" w:eastAsia="宋体" w:cs="宋体"/>
          <w:sz w:val="24"/>
        </w:rPr>
      </w:pPr>
      <w:r>
        <w:rPr>
          <w:rFonts w:hint="eastAsia" w:ascii="宋体" w:hAnsi="宋体" w:eastAsia="宋体" w:cs="宋体"/>
          <w:sz w:val="24"/>
        </w:rPr>
        <w:t>排名越靠前则说明其潜在的内在价值越高，越值得投资者着重关注。由2018年和2019年两年得变量因子综合得分排名可知：两年内一直排名前五的有国药集团一致药业股份有限公司、四川合纵药易购医药股份有限公司、国药集团药业股份有限公司和广西柳州医药股份有限公司这四家公司，这四家公司经营规模较大，在医药商业公司中有较强的竞争力，在近两年的综合表现较好，可以选择作为投资的对象，塞力斯医疗科技集团股份有限公司在18年排名第四但在19年却排到了25名，主要原因是其运营能力，每股指标和盈利能力越来越低；在2018年综合得分中云南健之佳健康连锁店股份有限公司排名第16名，到2019年排名第四名，其主要原因是每股指标和盈利能力在2019年排名第二名，每股指标情况和盈利能力越来越强。</w:t>
      </w:r>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我们以2019年综合得分排序为例表明：</w:t>
      </w:r>
    </w:p>
    <w:p>
      <w:pPr>
        <w:numPr>
          <w:ilvl w:val="0"/>
          <w:numId w:val="3"/>
        </w:num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综合得分排名前5的公司在偿债能力</w:t>
      </w:r>
      <w:r>
        <w:rPr>
          <w:rFonts w:ascii="宋体" w:hAnsi="宋体" w:eastAsia="宋体" w:cs="宋体"/>
          <w:sz w:val="24"/>
        </w:rPr>
        <w:t>方面</w:t>
      </w:r>
      <w:r>
        <w:rPr>
          <w:rFonts w:hint="eastAsia" w:ascii="宋体" w:hAnsi="宋体" w:eastAsia="宋体" w:cs="宋体"/>
          <w:sz w:val="24"/>
        </w:rPr>
        <w:t>和盈利能力方面表现突出排名整体靠前。排名前两名的公司在偿债能力</w:t>
      </w:r>
      <w:r>
        <w:rPr>
          <w:rFonts w:ascii="宋体" w:hAnsi="宋体" w:eastAsia="宋体" w:cs="宋体"/>
          <w:sz w:val="24"/>
        </w:rPr>
        <w:t>方面</w:t>
      </w:r>
      <w:r>
        <w:rPr>
          <w:rFonts w:hint="eastAsia" w:ascii="宋体" w:hAnsi="宋体" w:eastAsia="宋体" w:cs="宋体"/>
          <w:sz w:val="24"/>
        </w:rPr>
        <w:t>和盈利能力方面都是比较靠前，综合排名在第一的四川合纵药易购医药股份有限公司的盈利能力排名第一，偿债能力排名第四；综合排名第二的国药集团药业股份有限公司的偿债能力排名第三，盈利能力排名第五，运营能力排名第一说明该公司在经营管理方面较为突出，有对公司有效的经营管理制度。但作为老牌企业排名前四的公司在发展能力方面相对靠后。在表3 公共因子解释的总方差中旋转后载荷成分，偿债能力占21%，盈利能力占12%，由此可以得出，在投资价值分析中往往由盈利能力和偿债能力所决定。</w:t>
      </w:r>
    </w:p>
    <w:p>
      <w:pPr>
        <w:numPr>
          <w:ilvl w:val="0"/>
          <w:numId w:val="3"/>
        </w:num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财务指标中的运营能力和每股指标情况也对企业的投资价值产生了较大的影响，在投资价值分析中运营能力和每股指标情况也值得投资者着重关注。总排名第三的国药集团一致药业股份有限公司的运营能力和每股指标情况分别排名第一名和第二名，虽然它的盈利能力不太突出，但其运营能力和每股指标情况也对其投资价值产生了影响。</w:t>
      </w:r>
    </w:p>
    <w:p>
      <w:pPr>
        <w:numPr>
          <w:ilvl w:val="0"/>
          <w:numId w:val="3"/>
        </w:numPr>
        <w:adjustRightInd w:val="0"/>
        <w:snapToGrid w:val="0"/>
        <w:spacing w:line="440" w:lineRule="exact"/>
        <w:ind w:firstLine="480" w:firstLineChars="200"/>
        <w:rPr>
          <w:rFonts w:ascii="宋体" w:hAnsi="宋体" w:eastAsia="宋体" w:cs="黑体"/>
          <w:sz w:val="24"/>
        </w:rPr>
      </w:pPr>
      <w:r>
        <w:rPr>
          <w:rFonts w:hint="eastAsia" w:ascii="宋体" w:hAnsi="宋体" w:eastAsia="宋体" w:cs="宋体"/>
          <w:sz w:val="24"/>
        </w:rPr>
        <w:t>公司的发展能力对于其投资价值的影响不会起重要作用。在发展能力因子得分最高的是浙江震元股份有限公司，综合排名第9位，也包括其偿债能力排名第一，综合排名仍是第九名；而其他发展能力排名靠前的公司其综合排名并不是太突出；在医药商业行业中企业的发展能力对其投资价值没有起到太大的作用，原因可能由于公司处于不同时期的发展阶段，表现出不同程度的发展能力，过快过慢的发展速度并</w:t>
      </w:r>
      <w:r>
        <w:rPr>
          <w:rFonts w:hint="eastAsia" w:ascii="宋体" w:hAnsi="宋体" w:eastAsia="宋体" w:cs="宋体"/>
          <w:sz w:val="24"/>
          <w:lang w:val="en-US" w:eastAsia="zh-CN"/>
        </w:rPr>
        <w:t>不</w:t>
      </w:r>
      <w:r>
        <w:rPr>
          <w:rFonts w:hint="eastAsia" w:ascii="宋体" w:hAnsi="宋体" w:eastAsia="宋体" w:cs="宋体"/>
          <w:sz w:val="24"/>
        </w:rPr>
        <w:t>会影响到投资者对目标公司的投资判断。这也是医药商业行业的性质，医药商业行业需要较高的技术和研究，公司资产周转时间的受到药品生产时投入的资金和研发时间影响，因此发展能力在投资价值分析中对投资者在选择投资的影响因素</w:t>
      </w:r>
      <w:r>
        <w:rPr>
          <w:rFonts w:hint="eastAsia" w:ascii="宋体" w:hAnsi="宋体" w:eastAsia="宋体" w:cs="宋体"/>
          <w:sz w:val="24"/>
          <w:lang w:val="en-US" w:eastAsia="zh-CN"/>
        </w:rPr>
        <w:t>中</w:t>
      </w:r>
      <w:r>
        <w:rPr>
          <w:rFonts w:hint="eastAsia" w:ascii="宋体" w:hAnsi="宋体" w:eastAsia="宋体" w:cs="宋体"/>
          <w:sz w:val="24"/>
        </w:rPr>
        <w:t>不会起重要作用。</w:t>
      </w:r>
    </w:p>
    <w:p>
      <w:pPr>
        <w:pStyle w:val="4"/>
        <w:rPr>
          <w:rFonts w:hint="eastAsia" w:ascii="宋体" w:hAnsi="宋体" w:eastAsia="宋体" w:cs="黑体"/>
          <w:sz w:val="24"/>
          <w:lang w:val="en-US" w:eastAsia="zh-CN"/>
        </w:rPr>
      </w:pPr>
      <w:bookmarkStart w:id="36" w:name="_Toc10516"/>
      <w:r>
        <w:t>3.3.</w:t>
      </w:r>
      <w:r>
        <w:rPr>
          <w:rFonts w:hint="eastAsia"/>
          <w:lang w:val="en-US" w:eastAsia="zh-CN"/>
        </w:rPr>
        <w:t>2topsis法</w:t>
      </w:r>
      <w:r>
        <w:t>综合排名分析</w:t>
      </w:r>
      <w:bookmarkEnd w:id="36"/>
    </w:p>
    <w:p>
      <w:pPr>
        <w:numPr>
          <w:ilvl w:val="0"/>
          <w:numId w:val="0"/>
        </w:numPr>
        <w:adjustRightInd w:val="0"/>
        <w:snapToGrid w:val="0"/>
        <w:spacing w:line="440" w:lineRule="exact"/>
        <w:ind w:firstLine="420" w:firstLineChars="0"/>
        <w:rPr>
          <w:rFonts w:hint="eastAsia" w:ascii="宋体" w:hAnsi="宋体" w:eastAsia="宋体" w:cs="黑体"/>
          <w:sz w:val="24"/>
          <w:lang w:val="en-US" w:eastAsia="zh-CN"/>
        </w:rPr>
      </w:pPr>
      <w:r>
        <w:rPr>
          <w:rFonts w:hint="eastAsia" w:ascii="宋体" w:hAnsi="宋体" w:eastAsia="宋体" w:cs="黑体"/>
          <w:sz w:val="24"/>
          <w:lang w:val="en-US" w:eastAsia="zh-CN"/>
        </w:rPr>
        <w:t>但我们发现两年内每一家公司的排名都在变化，结果如下表8；</w:t>
      </w:r>
    </w:p>
    <w:p>
      <w:pPr>
        <w:adjustRightInd w:val="0"/>
        <w:snapToGrid w:val="0"/>
        <w:spacing w:line="440" w:lineRule="exact"/>
        <w:jc w:val="center"/>
        <w:rPr>
          <w:rFonts w:hint="default" w:ascii="宋体" w:hAnsi="宋体" w:eastAsia="宋体" w:cs="宋体"/>
          <w:szCs w:val="21"/>
          <w:lang w:val="en-US" w:eastAsia="zh-CN"/>
        </w:rPr>
      </w:pPr>
      <w:r>
        <w:rPr>
          <w:rFonts w:hint="eastAsia" w:ascii="宋体" w:hAnsi="宋体" w:eastAsia="宋体" w:cs="宋体"/>
          <w:szCs w:val="21"/>
          <w:lang w:val="en-US" w:eastAsia="zh-CN"/>
        </w:rPr>
        <w:t>表8 两年综合排名</w:t>
      </w:r>
    </w:p>
    <w:tbl>
      <w:tblPr>
        <w:tblStyle w:val="16"/>
        <w:tblW w:w="9281"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576"/>
        <w:gridCol w:w="1426"/>
        <w:gridCol w:w="1426"/>
        <w:gridCol w:w="1426"/>
        <w:gridCol w:w="142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公司名称</w:t>
            </w:r>
          </w:p>
        </w:tc>
        <w:tc>
          <w:tcPr>
            <w:tcW w:w="1426"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2018得分</w:t>
            </w:r>
          </w:p>
        </w:tc>
        <w:tc>
          <w:tcPr>
            <w:tcW w:w="1426"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2018排名</w:t>
            </w:r>
          </w:p>
        </w:tc>
        <w:tc>
          <w:tcPr>
            <w:tcW w:w="1426"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2019得分</w:t>
            </w:r>
          </w:p>
        </w:tc>
        <w:tc>
          <w:tcPr>
            <w:tcW w:w="1427"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2019排名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一心堂药业集团股份有限公司</w:t>
            </w:r>
          </w:p>
        </w:tc>
        <w:tc>
          <w:tcPr>
            <w:tcW w:w="1426"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-1.48</w:t>
            </w:r>
          </w:p>
        </w:tc>
        <w:tc>
          <w:tcPr>
            <w:tcW w:w="1426"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c>
          <w:tcPr>
            <w:tcW w:w="1426"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-0.34</w:t>
            </w:r>
          </w:p>
        </w:tc>
        <w:tc>
          <w:tcPr>
            <w:tcW w:w="1427"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上海医药集团股份有限公司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0.95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8</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0.02</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上海开开实业股份有限公司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-2.96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-1.87</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上海第一医药股份有限公司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-2.23</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中国医药健康产业股份有限公司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-0.59</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九州通医药集团股份有限公司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-0.17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-0.39</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云南健之佳健康连锁店股份有限公司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-0.48</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1.98</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南京医药股份有限公司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-0.59</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-0.17</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哈药集团人民同泰医药股份有限公司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0.06</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嘉事堂药业股份有限公司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四川合纵药易购医药股份有限公司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2.76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3.24</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国药集团一致药业股份有限公司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3.25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2.53</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国药集团药业股份有限公司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5</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2.94</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塞力斯医疗科技集团股份有限公司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1.91</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-1.93</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大参林医药集团股份有限公司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23</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广东泰恩康医药股份有限公司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-1.32</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广西柳州医药股份有限公司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1.71</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浙农集团股份有限公司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-1.12</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-1.68</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浙江英特集团股份有限公司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浙江震元股份有限公司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-1.14</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21</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0.37</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深圳市海王生物工程股份有限公司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0.07</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-1.59</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瑞康医药集团股份有限公司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-2.83</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益丰大药房连锁股份有限公司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1.48</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-1.12</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老百姓大药房连锁股份有限公司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-0.62</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重药控股股份有限公司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12</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-0.27</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57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鹭燕医药股份有限公司</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0.66</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9</w:t>
            </w:r>
          </w:p>
        </w:tc>
        <w:tc>
          <w:tcPr>
            <w:tcW w:w="1426"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0.69</w:t>
            </w:r>
          </w:p>
        </w:tc>
        <w:tc>
          <w:tcPr>
            <w:tcW w:w="1427"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8</w:t>
            </w:r>
          </w:p>
        </w:tc>
      </w:tr>
    </w:tbl>
    <w:p>
      <w:pPr>
        <w:numPr>
          <w:ilvl w:val="0"/>
          <w:numId w:val="0"/>
        </w:numPr>
        <w:adjustRightInd w:val="0"/>
        <w:snapToGrid w:val="0"/>
        <w:spacing w:line="440" w:lineRule="exact"/>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而因子分析的排名计算得到的是分别两年的截面数据结果，排名存在波动，因此，在了解了topsis法后可以做两年综合面板数据的排名，我们以两年的综合得分为新的指标x1，x2；通过第二章中对topsis法的介绍利用python对数据计算之后得出一个综合排名，结果如下表9。</w:t>
      </w:r>
    </w:p>
    <w:p>
      <w:pPr>
        <w:adjustRightInd w:val="0"/>
        <w:snapToGrid w:val="0"/>
        <w:spacing w:line="440" w:lineRule="exact"/>
        <w:jc w:val="center"/>
        <w:rPr>
          <w:rFonts w:hint="default" w:ascii="宋体" w:hAnsi="宋体" w:eastAsia="宋体" w:cs="宋体"/>
          <w:szCs w:val="21"/>
          <w:lang w:val="en-US" w:eastAsia="zh-CN"/>
        </w:rPr>
      </w:pPr>
      <w:r>
        <w:rPr>
          <w:rFonts w:hint="eastAsia" w:ascii="宋体" w:hAnsi="宋体" w:eastAsia="宋体" w:cs="宋体"/>
          <w:szCs w:val="21"/>
          <w:lang w:val="en-US" w:eastAsia="zh-CN"/>
        </w:rPr>
        <w:t>表9 topsisi法综合排名</w:t>
      </w:r>
    </w:p>
    <w:tbl>
      <w:tblPr>
        <w:tblStyle w:val="16"/>
        <w:tblW w:w="928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249"/>
        <w:gridCol w:w="1259"/>
        <w:gridCol w:w="595"/>
        <w:gridCol w:w="1354"/>
        <w:gridCol w:w="738"/>
        <w:gridCol w:w="1354"/>
        <w:gridCol w:w="7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公司名称</w:t>
            </w:r>
          </w:p>
        </w:tc>
        <w:tc>
          <w:tcPr>
            <w:tcW w:w="1259"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得分</w:t>
            </w:r>
          </w:p>
        </w:tc>
        <w:tc>
          <w:tcPr>
            <w:tcW w:w="595"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排名</w:t>
            </w:r>
          </w:p>
        </w:tc>
        <w:tc>
          <w:tcPr>
            <w:tcW w:w="1354"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最优方案距离</w:t>
            </w:r>
          </w:p>
        </w:tc>
        <w:tc>
          <w:tcPr>
            <w:tcW w:w="738"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排名1</w:t>
            </w:r>
          </w:p>
        </w:tc>
        <w:tc>
          <w:tcPr>
            <w:tcW w:w="1354"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最劣方案距离</w:t>
            </w:r>
          </w:p>
        </w:tc>
        <w:tc>
          <w:tcPr>
            <w:tcW w:w="738" w:type="dxa"/>
            <w:tcBorders>
              <w:bottom w:val="single" w:color="auto" w:sz="4" w:space="0"/>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排名2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四川合纵药易购医药股份有限公司</w:t>
            </w:r>
          </w:p>
        </w:tc>
        <w:tc>
          <w:tcPr>
            <w:tcW w:w="1259"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0.944533974</w:t>
            </w:r>
          </w:p>
        </w:tc>
        <w:tc>
          <w:tcPr>
            <w:tcW w:w="595"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354"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0.062114007</w:t>
            </w:r>
          </w:p>
        </w:tc>
        <w:tc>
          <w:tcPr>
            <w:tcW w:w="738"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26</w:t>
            </w:r>
          </w:p>
        </w:tc>
        <w:tc>
          <w:tcPr>
            <w:tcW w:w="1354"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1.057742802</w:t>
            </w:r>
          </w:p>
        </w:tc>
        <w:tc>
          <w:tcPr>
            <w:tcW w:w="738" w:type="dxa"/>
            <w:tcBorders>
              <w:top w:val="single" w:color="auto" w:sz="4" w:space="0"/>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国药集团一致药业股份有限公司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0.920307649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0.090078823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1.040253274</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国药集团药业股份有限公司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0.811345752</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0.216336825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0.930400271</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广西柳州医药股份有限公司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0.778090006</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0.245060065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0.85926183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嘉事堂药业股份有限公司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0.695422986</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0.335417352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0.765838938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鹭燕医药股份有限公司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0.581448429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6</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0.460932547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21</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0.640323737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云南健之佳健康连锁店股份有限公司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0.579010914</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7</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0.499119272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0.68646793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上海医药集团股份有限公司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0.550037329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8</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0.501894939</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0.613519675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益丰大药房连锁股份有限公司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0.50260899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9</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0.596932524</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0.603194763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塞力斯医疗科技集团股份有限公司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0.480942114</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0.677563565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0.627808308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浙江英特集团股份有限公司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0.472948042</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0.6146376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0.551542679</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重药控股股份有限公司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0.454927144</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0.601521625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0.502040255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九州通医药集团股份有限公司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0.42631356</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0.632494468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0.47001454</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浙江震元股份有限公司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0.412513279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0.665031152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0.466962352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南京医药股份有限公司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0.409609849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0.651242298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0.451828777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中国医药健康产业股份有限公司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0.391320186</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0.670965546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0.431363677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老百姓大药房连锁股份有限公司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0.367302613</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0.696773486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0.404500994</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深圳市海王生物工程股份有限公司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0.361379085</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18</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0.733489402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8</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0.415062712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广东泰恩康医药股份有限公司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0.351320679</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0.728301606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9</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0.394443613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大参林医药集团股份有限公司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0.334459327</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20</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0.750864921</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7</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0.377337984</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一心堂药业集团股份有限公司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0.328163955</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21</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0.752201053</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6</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0.367418917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哈药集团人民同泰医药股份有限公司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0.321508613</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0.800037867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0.379104392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瑞康医药集团股份有限公司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0.31733847</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0.861714218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3</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0.400571966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浙农集团股份有限公司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0.247925007</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0.834567305</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4</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0.275118981</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上海第一医药股份有限公司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0.210835136</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0.88720937</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0.237028936</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24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上海开开实业股份有限公司</w:t>
            </w:r>
          </w:p>
        </w:tc>
        <w:tc>
          <w:tcPr>
            <w:tcW w:w="1259"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0.106689678</w:t>
            </w:r>
          </w:p>
        </w:tc>
        <w:tc>
          <w:tcPr>
            <w:tcW w:w="595"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26</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1.019801232</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354"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0.121796718</w:t>
            </w:r>
          </w:p>
        </w:tc>
        <w:tc>
          <w:tcPr>
            <w:tcW w:w="738" w:type="dxa"/>
            <w:tcBorders>
              <w:tl2br w:val="nil"/>
              <w:tr2bl w:val="nil"/>
            </w:tcBorders>
            <w:shd w:val="clear" w:color="auto" w:fill="auto"/>
            <w:vAlign w:val="center"/>
          </w:tcPr>
          <w:p>
            <w:pPr>
              <w:adjustRightInd w:val="0"/>
              <w:snapToGrid w:val="0"/>
              <w:spacing w:line="440" w:lineRule="exact"/>
              <w:jc w:val="center"/>
              <w:rPr>
                <w:rFonts w:hint="eastAsia" w:ascii="宋体" w:hAnsi="宋体" w:eastAsia="宋体" w:cs="宋体"/>
                <w:szCs w:val="21"/>
                <w:lang w:val="en-US" w:eastAsia="zh-CN"/>
              </w:rPr>
            </w:pPr>
            <w:r>
              <w:rPr>
                <w:rFonts w:hint="eastAsia" w:ascii="宋体" w:hAnsi="宋体" w:eastAsia="宋体" w:cs="宋体"/>
                <w:szCs w:val="21"/>
                <w:lang w:val="en-US" w:eastAsia="zh-CN"/>
              </w:rPr>
              <w:t>26</w:t>
            </w:r>
          </w:p>
        </w:tc>
      </w:tr>
    </w:tbl>
    <w:p>
      <w:pPr>
        <w:numPr>
          <w:ilvl w:val="0"/>
          <w:numId w:val="0"/>
        </w:numPr>
        <w:adjustRightInd w:val="0"/>
        <w:snapToGrid w:val="0"/>
        <w:spacing w:line="440" w:lineRule="exact"/>
        <w:ind w:firstLine="420" w:firstLineChars="0"/>
        <w:rPr>
          <w:rFonts w:hint="eastAsia" w:ascii="宋体" w:hAnsi="宋体" w:eastAsia="宋体" w:cs="宋体"/>
          <w:sz w:val="24"/>
          <w:lang w:val="en-US" w:eastAsia="zh-CN"/>
        </w:rPr>
      </w:pPr>
      <w:r>
        <w:rPr>
          <w:rFonts w:hint="eastAsia" w:ascii="宋体" w:hAnsi="宋体" w:eastAsia="宋体" w:cs="黑体"/>
          <w:sz w:val="24"/>
          <w:lang w:val="en-US" w:eastAsia="zh-CN"/>
        </w:rPr>
        <w:t>由topsis法排序后的综合得分排名可知排名前四名的依据是</w:t>
      </w:r>
      <w:r>
        <w:rPr>
          <w:rFonts w:hint="eastAsia" w:ascii="宋体" w:hAnsi="宋体" w:eastAsia="宋体" w:cs="宋体"/>
          <w:sz w:val="24"/>
        </w:rPr>
        <w:t>国药集团一致药业股份有限公司、四川合纵药易购医药股份有限公司、国药集团药业股份有限公司和广西柳州医药股份有限公司这四家公司</w:t>
      </w:r>
      <w:r>
        <w:rPr>
          <w:rFonts w:hint="eastAsia" w:ascii="宋体" w:hAnsi="宋体" w:eastAsia="宋体" w:cs="宋体"/>
          <w:sz w:val="24"/>
          <w:lang w:eastAsia="zh-CN"/>
        </w:rPr>
        <w:t>，</w:t>
      </w:r>
      <w:r>
        <w:rPr>
          <w:rFonts w:hint="eastAsia" w:ascii="宋体" w:hAnsi="宋体" w:eastAsia="宋体" w:cs="宋体"/>
          <w:sz w:val="24"/>
          <w:lang w:val="en-US" w:eastAsia="zh-CN"/>
        </w:rPr>
        <w:t>这四家公司的排名得分都在0.7以上占了15.38%，一方面说明了在长线投资情况下，这四家公司是值得投资者关注的，另一方面说明在医药商业领域的其他公司仍有很大的发展空间，通过上表，我们将topsis法中的C名为为得分，得分排名越靠前越值得投资，靠近最优因子方案的距离越短，最优方案距离根据距离排名做降序处理，排名越靠后越值得投资。根据得分结果绘制饼图，更为直观的表示医药商业公司的投资情况，如下图1：</w:t>
      </w:r>
    </w:p>
    <w:p>
      <w:pPr>
        <w:numPr>
          <w:ilvl w:val="0"/>
          <w:numId w:val="0"/>
        </w:numPr>
        <w:adjustRightInd w:val="0"/>
        <w:snapToGrid w:val="0"/>
        <w:spacing w:line="24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3702685" cy="2226310"/>
            <wp:effectExtent l="0" t="0" r="635" b="13970"/>
            <wp:docPr id="3" name="图片 3" descr="QQ图片2021051916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10519162319"/>
                    <pic:cNvPicPr>
                      <a:picLocks noChangeAspect="1"/>
                    </pic:cNvPicPr>
                  </pic:nvPicPr>
                  <pic:blipFill>
                    <a:blip r:embed="rId30"/>
                    <a:stretch>
                      <a:fillRect/>
                    </a:stretch>
                  </pic:blipFill>
                  <pic:spPr>
                    <a:xfrm>
                      <a:off x="0" y="0"/>
                      <a:ext cx="3702685" cy="2226310"/>
                    </a:xfrm>
                    <a:prstGeom prst="rect">
                      <a:avLst/>
                    </a:prstGeom>
                  </pic:spPr>
                </pic:pic>
              </a:graphicData>
            </a:graphic>
          </wp:inline>
        </w:drawing>
      </w:r>
      <w:r>
        <w:rPr>
          <w:rFonts w:hint="eastAsia" w:ascii="宋体" w:hAnsi="宋体" w:eastAsia="宋体" w:cs="宋体"/>
          <w:sz w:val="24"/>
          <w:lang w:val="en-US" w:eastAsia="zh-CN"/>
        </w:rPr>
        <w:t xml:space="preserve"> </w:t>
      </w:r>
    </w:p>
    <w:p>
      <w:pPr>
        <w:numPr>
          <w:ilvl w:val="0"/>
          <w:numId w:val="0"/>
        </w:numPr>
        <w:adjustRightInd w:val="0"/>
        <w:snapToGrid w:val="0"/>
        <w:spacing w:line="240" w:lineRule="auto"/>
        <w:jc w:val="center"/>
        <w:rPr>
          <w:rFonts w:hint="default" w:ascii="宋体" w:hAnsi="宋体" w:eastAsia="宋体" w:cs="宋体"/>
          <w:sz w:val="24"/>
          <w:lang w:val="en-US" w:eastAsia="zh-CN"/>
        </w:rPr>
      </w:pPr>
      <w:r>
        <w:rPr>
          <w:rFonts w:hint="eastAsia" w:ascii="宋体" w:hAnsi="宋体" w:eastAsia="宋体" w:cs="宋体"/>
          <w:sz w:val="24"/>
          <w:lang w:val="en-US" w:eastAsia="zh-CN"/>
        </w:rPr>
        <w:t>图1 最优方案分布图</w:t>
      </w:r>
    </w:p>
    <w:p>
      <w:pPr>
        <w:numPr>
          <w:ilvl w:val="0"/>
          <w:numId w:val="0"/>
        </w:numPr>
        <w:adjustRightInd w:val="0"/>
        <w:snapToGrid w:val="0"/>
        <w:spacing w:line="440" w:lineRule="exact"/>
        <w:rPr>
          <w:rFonts w:hint="default" w:ascii="宋体" w:hAnsi="宋体" w:eastAsia="宋体" w:cs="黑体"/>
          <w:sz w:val="24"/>
          <w:lang w:val="en-US" w:eastAsia="zh-CN"/>
        </w:rPr>
      </w:pPr>
      <w:r>
        <w:rPr>
          <w:rFonts w:hint="eastAsia" w:ascii="宋体" w:hAnsi="宋体" w:eastAsia="宋体" w:cs="黑体"/>
          <w:sz w:val="24"/>
          <w:lang w:val="en-US" w:eastAsia="zh-CN"/>
        </w:rPr>
        <w:t>从图中可知得分在0.7~1的占15.38%，0.5~0.7的占19.23%，0.35~0.5的占38.46%，0.1~0.35的占26.92%，由图表明在26家医药商业公司中与最优因子方案贴近得分超过0.7的只占了15.38%，其他公司排名都相对靠后，这些公司拥有巨大的上升空间。</w:t>
      </w:r>
    </w:p>
    <w:p>
      <w:pPr>
        <w:pStyle w:val="2"/>
      </w:pPr>
      <w:bookmarkStart w:id="37" w:name="_Toc25236"/>
      <w:r>
        <w:rPr>
          <w:rFonts w:hint="eastAsia"/>
        </w:rPr>
        <w:t>结论</w:t>
      </w:r>
      <w:bookmarkEnd w:id="37"/>
    </w:p>
    <w:p>
      <w:pPr>
        <w:adjustRightInd w:val="0"/>
        <w:snapToGrid w:val="0"/>
        <w:spacing w:line="440" w:lineRule="exact"/>
        <w:ind w:firstLine="480" w:firstLineChars="200"/>
        <w:rPr>
          <w:rFonts w:ascii="宋体" w:hAnsi="宋体" w:eastAsia="宋体" w:cs="宋体"/>
          <w:sz w:val="24"/>
        </w:rPr>
      </w:pPr>
      <w:r>
        <w:rPr>
          <w:rFonts w:hint="eastAsia" w:ascii="宋体" w:hAnsi="宋体" w:eastAsia="宋体" w:cs="宋体"/>
          <w:sz w:val="24"/>
        </w:rPr>
        <w:t>根据因子分析结果</w:t>
      </w:r>
      <w:r>
        <w:rPr>
          <w:rFonts w:hint="eastAsia" w:ascii="宋体" w:hAnsi="宋体" w:eastAsia="宋体" w:cs="宋体"/>
          <w:sz w:val="24"/>
          <w:lang w:val="en-US" w:eastAsia="zh-CN"/>
        </w:rPr>
        <w:t>和topsis结果</w:t>
      </w:r>
      <w:r>
        <w:rPr>
          <w:rFonts w:hint="eastAsia" w:ascii="宋体" w:hAnsi="宋体" w:eastAsia="宋体" w:cs="宋体"/>
          <w:sz w:val="24"/>
        </w:rPr>
        <w:t>得到2018年和2019</w:t>
      </w:r>
      <w:r>
        <w:rPr>
          <w:rFonts w:ascii="宋体" w:hAnsi="宋体" w:eastAsia="宋体" w:cs="宋体"/>
          <w:sz w:val="24"/>
        </w:rPr>
        <w:t>年投资价值排名</w:t>
      </w:r>
      <w:r>
        <w:rPr>
          <w:rFonts w:hint="eastAsia" w:ascii="宋体" w:hAnsi="宋体" w:eastAsia="宋体" w:cs="宋体"/>
          <w:sz w:val="24"/>
          <w:lang w:val="en-US" w:eastAsia="zh-CN"/>
        </w:rPr>
        <w:t>和两年的最终排名</w:t>
      </w:r>
      <w:r>
        <w:rPr>
          <w:rFonts w:ascii="宋体" w:hAnsi="宋体" w:eastAsia="宋体" w:cs="宋体"/>
          <w:sz w:val="24"/>
        </w:rPr>
        <w:t>，</w:t>
      </w:r>
      <w:r>
        <w:rPr>
          <w:rFonts w:hint="eastAsia" w:ascii="宋体" w:hAnsi="宋体" w:eastAsia="宋体" w:cs="宋体"/>
          <w:sz w:val="24"/>
        </w:rPr>
        <w:t>两年内一直排名前五的有国药集团一致药业股份有限公司、四川合纵药易购医药股份有限公司、国药集团药业股份有限公司和广西柳州医药股份有限公司这四家公司，这四家公司经营规模较大，在医药商业公司中有较强的竞争力，在近两年的综合表现较好，投资者在医药商业行业选择公司投资时可以优先选择者四家排名靠前的公司进行投资</w:t>
      </w:r>
      <w:r>
        <w:rPr>
          <w:rFonts w:ascii="宋体" w:hAnsi="宋体" w:eastAsia="宋体" w:cs="宋体"/>
          <w:sz w:val="24"/>
        </w:rPr>
        <w:t>。</w:t>
      </w:r>
      <w:r>
        <w:rPr>
          <w:rFonts w:hint="eastAsia" w:ascii="宋体" w:hAnsi="宋体" w:eastAsia="宋体" w:cs="宋体"/>
          <w:sz w:val="24"/>
        </w:rPr>
        <w:t>根据因子分析结果显示公司</w:t>
      </w:r>
      <w:r>
        <w:rPr>
          <w:rFonts w:ascii="宋体" w:hAnsi="宋体" w:eastAsia="宋体" w:cs="宋体"/>
          <w:sz w:val="24"/>
        </w:rPr>
        <w:t>投资价值</w:t>
      </w:r>
      <w:r>
        <w:rPr>
          <w:rFonts w:hint="eastAsia" w:ascii="宋体" w:hAnsi="宋体" w:eastAsia="宋体" w:cs="宋体"/>
          <w:sz w:val="24"/>
        </w:rPr>
        <w:t>主要受到公司的盈利能力、偿债能力、运营能力和每股指标情况的影响，而发展能力在综合排名得分中不会</w:t>
      </w:r>
      <w:r>
        <w:rPr>
          <w:rFonts w:hint="eastAsia" w:ascii="宋体" w:hAnsi="宋体" w:eastAsia="宋体" w:cs="宋体"/>
          <w:sz w:val="24"/>
          <w:lang w:val="en-US" w:eastAsia="zh-CN"/>
        </w:rPr>
        <w:t>起</w:t>
      </w:r>
      <w:r>
        <w:rPr>
          <w:rFonts w:hint="eastAsia" w:ascii="宋体" w:hAnsi="宋体" w:eastAsia="宋体" w:cs="宋体"/>
          <w:sz w:val="24"/>
        </w:rPr>
        <w:t>重要作用</w:t>
      </w:r>
      <w:r>
        <w:rPr>
          <w:rFonts w:ascii="宋体" w:hAnsi="宋体" w:eastAsia="宋体" w:cs="宋体"/>
          <w:sz w:val="24"/>
        </w:rPr>
        <w:t>，而在</w:t>
      </w:r>
      <w:r>
        <w:rPr>
          <w:rFonts w:hint="eastAsia" w:ascii="宋体" w:hAnsi="宋体" w:eastAsia="宋体" w:cs="宋体"/>
          <w:sz w:val="24"/>
        </w:rPr>
        <w:t>这四个</w:t>
      </w:r>
      <w:r>
        <w:rPr>
          <w:rFonts w:ascii="宋体" w:hAnsi="宋体" w:eastAsia="宋体" w:cs="宋体"/>
          <w:sz w:val="24"/>
        </w:rPr>
        <w:t>影响因素中，</w:t>
      </w:r>
      <w:r>
        <w:rPr>
          <w:rFonts w:hint="eastAsia" w:ascii="宋体" w:hAnsi="宋体" w:eastAsia="宋体" w:cs="宋体"/>
          <w:sz w:val="24"/>
        </w:rPr>
        <w:t>投资者可以优先考虑</w:t>
      </w:r>
      <w:r>
        <w:rPr>
          <w:rFonts w:ascii="宋体" w:hAnsi="宋体" w:eastAsia="宋体" w:cs="宋体"/>
          <w:sz w:val="24"/>
        </w:rPr>
        <w:t>盈利能力</w:t>
      </w:r>
      <w:r>
        <w:rPr>
          <w:rFonts w:hint="eastAsia" w:ascii="宋体" w:hAnsi="宋体" w:eastAsia="宋体" w:cs="宋体"/>
          <w:sz w:val="24"/>
        </w:rPr>
        <w:t>强的公司投资因为投资回报往往和企业的盈利能力呈正相关；</w:t>
      </w:r>
      <w:r>
        <w:rPr>
          <w:rFonts w:ascii="宋体" w:hAnsi="宋体" w:eastAsia="宋体" w:cs="宋体"/>
          <w:sz w:val="24"/>
        </w:rPr>
        <w:t>其次，偿债能力体现了企业</w:t>
      </w:r>
      <w:r>
        <w:rPr>
          <w:rFonts w:hint="eastAsia" w:ascii="宋体" w:hAnsi="宋体" w:eastAsia="宋体" w:cs="宋体"/>
          <w:sz w:val="24"/>
        </w:rPr>
        <w:t>偿还</w:t>
      </w:r>
      <w:r>
        <w:rPr>
          <w:rFonts w:ascii="宋体" w:hAnsi="宋体" w:eastAsia="宋体" w:cs="宋体"/>
          <w:sz w:val="24"/>
        </w:rPr>
        <w:t>负债的水平</w:t>
      </w:r>
      <w:r>
        <w:rPr>
          <w:rFonts w:hint="eastAsia" w:ascii="宋体" w:hAnsi="宋体" w:eastAsia="宋体" w:cs="宋体"/>
          <w:sz w:val="24"/>
        </w:rPr>
        <w:t>的强弱</w:t>
      </w:r>
      <w:r>
        <w:rPr>
          <w:rFonts w:ascii="宋体" w:hAnsi="宋体" w:eastAsia="宋体" w:cs="宋体"/>
          <w:sz w:val="24"/>
        </w:rPr>
        <w:t>，</w:t>
      </w:r>
      <w:r>
        <w:rPr>
          <w:rFonts w:hint="eastAsia" w:ascii="宋体" w:hAnsi="宋体" w:eastAsia="宋体" w:cs="宋体"/>
          <w:sz w:val="24"/>
        </w:rPr>
        <w:t>在</w:t>
      </w:r>
      <w:r>
        <w:rPr>
          <w:rFonts w:ascii="宋体" w:hAnsi="宋体" w:eastAsia="宋体" w:cs="宋体"/>
          <w:sz w:val="24"/>
        </w:rPr>
        <w:t>偿债能力方面表现</w:t>
      </w:r>
      <w:r>
        <w:rPr>
          <w:rFonts w:hint="eastAsia" w:ascii="宋体" w:hAnsi="宋体" w:eastAsia="宋体" w:cs="宋体"/>
          <w:sz w:val="24"/>
        </w:rPr>
        <w:t>突出</w:t>
      </w:r>
      <w:r>
        <w:rPr>
          <w:rFonts w:ascii="宋体" w:hAnsi="宋体" w:eastAsia="宋体" w:cs="宋体"/>
          <w:sz w:val="24"/>
        </w:rPr>
        <w:t>的企化</w:t>
      </w:r>
      <w:r>
        <w:rPr>
          <w:rFonts w:hint="eastAsia" w:ascii="宋体" w:hAnsi="宋体" w:eastAsia="宋体" w:cs="宋体"/>
          <w:sz w:val="24"/>
        </w:rPr>
        <w:t>在应对再无危机时会有较强的负债偿还能力；而企业的运营能力和每股指标情况也时投资者进行投资时的重要参考，有适合自身企业的经营管理方法的企业或许会有较好的盈利情况，但经营管理较差的企业，在盈利能力方面和偿债能力方面也不会有较为突出的表现，企业的运营能力是企业在相同条件下追求更高经营效率的关键因素</w:t>
      </w:r>
      <w:r>
        <w:rPr>
          <w:rFonts w:ascii="宋体" w:hAnsi="宋体" w:eastAsia="宋体" w:cs="宋体"/>
          <w:sz w:val="24"/>
        </w:rPr>
        <w:t>。</w:t>
      </w:r>
      <w:r>
        <w:rPr>
          <w:rFonts w:hint="eastAsia" w:ascii="宋体" w:hAnsi="宋体" w:eastAsia="宋体" w:cs="宋体"/>
          <w:sz w:val="24"/>
        </w:rPr>
        <w:t>因此，投资者在医药商业板块对筛选公司进行投资时应着重关注该企业的盈利能力、偿债能力、运营能力和每股指标情况。</w:t>
      </w:r>
    </w:p>
    <w:p>
      <w:pPr>
        <w:adjustRightInd w:val="0"/>
        <w:snapToGrid w:val="0"/>
        <w:spacing w:line="440" w:lineRule="exact"/>
        <w:ind w:firstLine="480" w:firstLineChars="200"/>
        <w:rPr>
          <w:rFonts w:ascii="宋体" w:hAnsi="宋体" w:eastAsia="宋体" w:cs="宋体"/>
          <w:sz w:val="24"/>
        </w:rPr>
        <w:sectPr>
          <w:headerReference r:id="rId12" w:type="default"/>
          <w:type w:val="continuous"/>
          <w:pgSz w:w="11906" w:h="16838"/>
          <w:pgMar w:top="1418" w:right="1134" w:bottom="1418" w:left="1701" w:header="851" w:footer="992" w:gutter="0"/>
          <w:pgBorders>
            <w:top w:val="none" w:sz="0" w:space="0"/>
            <w:left w:val="none" w:sz="0" w:space="0"/>
            <w:bottom w:val="none" w:sz="0" w:space="0"/>
            <w:right w:val="none" w:sz="0" w:space="0"/>
          </w:pgBorders>
          <w:pgNumType w:fmt="decimal"/>
          <w:cols w:space="0" w:num="1"/>
          <w:docGrid w:type="lines" w:linePitch="312" w:charSpace="0"/>
        </w:sectPr>
      </w:pPr>
    </w:p>
    <w:p>
      <w:pPr>
        <w:adjustRightInd w:val="0"/>
        <w:snapToGrid w:val="0"/>
        <w:spacing w:line="440" w:lineRule="exact"/>
        <w:ind w:firstLine="480" w:firstLineChars="200"/>
        <w:rPr>
          <w:rFonts w:ascii="宋体" w:hAnsi="宋体" w:eastAsia="宋体" w:cs="宋体"/>
          <w:sz w:val="24"/>
        </w:rPr>
      </w:pPr>
    </w:p>
    <w:p>
      <w:pPr>
        <w:adjustRightInd w:val="0"/>
        <w:snapToGrid w:val="0"/>
        <w:spacing w:line="440" w:lineRule="exact"/>
        <w:ind w:firstLine="480" w:firstLineChars="200"/>
        <w:rPr>
          <w:rFonts w:ascii="宋体" w:hAnsi="宋体" w:eastAsia="宋体" w:cs="黑体"/>
          <w:sz w:val="24"/>
        </w:rPr>
      </w:pPr>
      <w:r>
        <w:rPr>
          <w:rFonts w:hint="eastAsia" w:ascii="宋体" w:hAnsi="宋体" w:eastAsia="宋体" w:cs="黑体"/>
          <w:sz w:val="24"/>
        </w:rPr>
        <w:br w:type="page"/>
      </w:r>
    </w:p>
    <w:p>
      <w:pPr>
        <w:pStyle w:val="2"/>
        <w:jc w:val="center"/>
        <w:rPr>
          <w:rFonts w:ascii="黑体" w:hAnsi="黑体" w:eastAsia="黑体"/>
          <w:b w:val="0"/>
          <w:bCs w:val="0"/>
          <w:sz w:val="28"/>
          <w:szCs w:val="28"/>
        </w:rPr>
      </w:pPr>
      <w:bookmarkStart w:id="38" w:name="_Toc20250"/>
      <w:r>
        <w:rPr>
          <w:rFonts w:hint="eastAsia" w:ascii="黑体" w:hAnsi="黑体" w:eastAsia="黑体"/>
          <w:b w:val="0"/>
          <w:bCs w:val="0"/>
          <w:sz w:val="28"/>
          <w:szCs w:val="28"/>
        </w:rPr>
        <w:t>参考文献</w:t>
      </w:r>
      <w:bookmarkEnd w:id="38"/>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Porter M. Competitive Strategy [MShanghai:China Huaxia Press, 1980.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Friedrich A. Hayek. Individualism and Economic OrderM].the University of Chicago Press, 1958</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Ohlson.J.s. Financial ratios and the probatilistic prediction of bankruptcy[J] Joumal of Accounting Research. 1980(Spring)Vo. 18:109-131</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Mohamad Sa Hussain,Annuar Md Nassir,Shamsher Mohamad.Predictron of corporatefinancial distress of PN4 companies in Malaysia: A logistic model approach[J]. Journal of Restmcuring Finance 2005 (02143-155</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Compbell, Jens Hilscher,and Jan Szilagyi. In Serach of Distress Risk[J. Lecture Notes inommuter Science 2006 (56)72.281</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Pinchws , Mingo and Caruthers. The Classification of Financial Ratios[J].AcraWasaensia, 1990.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Feltham.G.A and J.A.Ohlson. Valuation and clean surplus Accounting for Operating and Financial Activities[J].Contemporary Accounting and Finanics,1995.</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ugene Nivorozhkin, Financing choices of firms in EU accession countries, Emerging Markets Keview 6 (2005) 138-169.</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engiz Kahramana, , Ufuk Cebecia, Da R. uan. Multi-attributecomparisonof cmefing servicecompanies ufing fuzzy AHP The case of Turkey, Int. J. Production, Economics 87 (2004) 171-184.</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Markides C. Williamson P J. relate diversification, core competencies and corporateperformance [M] . Strategic Management Journal, 1994( 15) : 1149-1165 </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 G. P. Jakhotiya. Strategic Financial Management[J]. Vikas Publishing House Pvt Ltd. ,2003</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刘帅. 中国互联网百强上市企业财务分析[D].北京印刷学院,2017.</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肖莹. 基于因子分析和DEA的环保行业上市公司财务绩效研究[D].中国地质大学(北京),2019.</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褚冬琳. 基于logit模型的制造业上市公司财务预警分析[D].福州大学,2011.</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石建. 中国上市公司多元化发展模式与绩效的关联性分析[D].北京化工大学,2008.</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许子昊. “一带一路”板块上市公司财务风险对财务绩效的影响研究[D].南京邮电大学,2020.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赵倩. 基于现金流量的A煤炭公司财务风险预警研究[D].西安科技大学,2020.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张宇宁. 基于可持续增长视角下的财务风险管理[D].江西理工大学,2020.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ascii="Times New Roman" w:hAnsi="Times New Roman" w:eastAsia="宋体" w:cs="Times New Roman"/>
          <w:szCs w:val="21"/>
        </w:rPr>
        <w:t>王守波. 我国房地产企业投资风险分析[D].山东建筑大学,2020.</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祝静远,刘莉.物流上市公司投资价值评价研究——基于Topsis法改进的因子分析模型[J].内江师范学院学报,2019,34(08):94-99.</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张雯睿.基于因子分析法对中国上市券商竞争力的实证研究——以29家上市券商面板数据为例[J].无锡商业职业技术学院学报,2018,18(03):18-24.</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赖陈恒.上市公司财务指标对证券分析师跟踪行为影响的实证研究——基于面板数据Logit模型[J].经济视角(上旬刊),2014(01):21-24.</w:t>
      </w:r>
    </w:p>
    <w:p>
      <w:pPr>
        <w:numPr>
          <w:ilvl w:val="0"/>
          <w:numId w:val="4"/>
        </w:numPr>
        <w:adjustRightInd w:val="0"/>
        <w:snapToGrid w:val="0"/>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程寅骁.基于因子分析法的城投公司财务预警体系研究[J].全国流通经济,2021(03):60-62.</w:t>
      </w:r>
    </w:p>
    <w:p>
      <w:pPr>
        <w:adjustRightInd w:val="0"/>
        <w:snapToGrid w:val="0"/>
        <w:spacing w:line="440" w:lineRule="exact"/>
        <w:ind w:firstLine="480" w:firstLineChars="200"/>
        <w:rPr>
          <w:rFonts w:ascii="宋体" w:hAnsi="宋体" w:eastAsia="宋体" w:cs="黑体"/>
          <w:sz w:val="24"/>
        </w:rPr>
      </w:pPr>
    </w:p>
    <w:p>
      <w:pPr>
        <w:adjustRightInd w:val="0"/>
        <w:snapToGrid w:val="0"/>
        <w:spacing w:line="440" w:lineRule="exact"/>
        <w:ind w:firstLine="480" w:firstLineChars="200"/>
        <w:rPr>
          <w:rFonts w:ascii="宋体" w:hAnsi="宋体" w:eastAsia="宋体" w:cs="黑体"/>
          <w:sz w:val="24"/>
        </w:rPr>
        <w:sectPr>
          <w:headerReference r:id="rId13" w:type="default"/>
          <w:type w:val="continuous"/>
          <w:pgSz w:w="11906" w:h="16838"/>
          <w:pgMar w:top="1418" w:right="1134" w:bottom="1418" w:left="1701" w:header="851" w:footer="992" w:gutter="0"/>
          <w:pgBorders>
            <w:top w:val="none" w:sz="0" w:space="0"/>
            <w:left w:val="none" w:sz="0" w:space="0"/>
            <w:bottom w:val="none" w:sz="0" w:space="0"/>
            <w:right w:val="none" w:sz="0" w:space="0"/>
          </w:pgBorders>
          <w:pgNumType w:fmt="decimal"/>
          <w:cols w:space="0" w:num="1"/>
          <w:docGrid w:type="lines" w:linePitch="312" w:charSpace="0"/>
        </w:sectPr>
      </w:pPr>
    </w:p>
    <w:p>
      <w:pPr>
        <w:adjustRightInd w:val="0"/>
        <w:snapToGrid w:val="0"/>
        <w:spacing w:line="440" w:lineRule="exact"/>
        <w:ind w:firstLine="480" w:firstLineChars="200"/>
        <w:rPr>
          <w:rFonts w:ascii="宋体" w:hAnsi="宋体" w:eastAsia="宋体" w:cs="黑体"/>
          <w:sz w:val="24"/>
        </w:rPr>
      </w:pPr>
    </w:p>
    <w:p>
      <w:pPr>
        <w:adjustRightInd w:val="0"/>
        <w:snapToGrid w:val="0"/>
        <w:spacing w:line="440" w:lineRule="exact"/>
        <w:ind w:firstLine="480" w:firstLineChars="200"/>
        <w:rPr>
          <w:rFonts w:ascii="宋体" w:hAnsi="宋体" w:eastAsia="宋体" w:cs="黑体"/>
          <w:sz w:val="24"/>
        </w:rPr>
      </w:pPr>
    </w:p>
    <w:p>
      <w:pPr>
        <w:adjustRightInd w:val="0"/>
        <w:snapToGrid w:val="0"/>
        <w:spacing w:line="440" w:lineRule="exact"/>
        <w:ind w:firstLine="480" w:firstLineChars="200"/>
        <w:rPr>
          <w:rFonts w:hint="eastAsia" w:ascii="宋体" w:hAnsi="宋体" w:eastAsia="宋体" w:cs="黑体"/>
          <w:sz w:val="24"/>
        </w:rPr>
      </w:pPr>
    </w:p>
    <w:p>
      <w:pPr>
        <w:pStyle w:val="2"/>
      </w:pPr>
      <w:bookmarkStart w:id="39" w:name="_Toc25507"/>
      <w:r>
        <w:rPr>
          <w:rFonts w:hint="eastAsia"/>
        </w:rPr>
        <w:t>致谢</w:t>
      </w:r>
      <w:bookmarkEnd w:id="39"/>
    </w:p>
    <w:p>
      <w:pPr>
        <w:spacing w:line="440" w:lineRule="exact"/>
        <w:ind w:firstLine="480" w:firstLineChars="200"/>
        <w:rPr>
          <w:rFonts w:ascii="黑体" w:hAnsi="黑体" w:eastAsia="黑体" w:cs="黑体"/>
          <w:sz w:val="28"/>
          <w:szCs w:val="28"/>
        </w:rPr>
      </w:pPr>
      <w:r>
        <w:rPr>
          <w:rFonts w:hint="eastAsia" w:ascii="宋体" w:hAnsi="宋体" w:eastAsia="宋体" w:cs="宋体"/>
          <w:sz w:val="24"/>
        </w:rPr>
        <w:t>感谢</w:t>
      </w:r>
      <w:r>
        <w:rPr>
          <w:rFonts w:hint="eastAsia" w:ascii="宋体" w:hAnsi="宋体" w:eastAsia="宋体" w:cs="宋体"/>
          <w:sz w:val="24"/>
          <w:lang w:eastAsia="zh-CN"/>
        </w:rPr>
        <w:t>潘蓄林</w:t>
      </w:r>
      <w:r>
        <w:rPr>
          <w:rFonts w:hint="eastAsia" w:ascii="宋体" w:hAnsi="宋体" w:eastAsia="宋体" w:cs="宋体"/>
          <w:sz w:val="24"/>
        </w:rPr>
        <w:t>老师这半年以来的毕业论文的指导，从选择题目到开题报告、中间稿、初稿的完成，老师都耐心的指导我，在撰写论文遇到困难时老师总是能够即时有效的帮助我解决论文</w:t>
      </w:r>
      <w:r>
        <w:rPr>
          <w:rFonts w:hint="eastAsia" w:ascii="宋体" w:hAnsi="宋体" w:eastAsia="宋体" w:cs="宋体"/>
          <w:sz w:val="24"/>
          <w:lang w:val="en-US" w:eastAsia="zh-CN"/>
        </w:rPr>
        <w:t>问题</w:t>
      </w:r>
      <w:r>
        <w:rPr>
          <w:rFonts w:hint="eastAsia" w:ascii="宋体" w:hAnsi="宋体" w:eastAsia="宋体" w:cs="宋体"/>
          <w:sz w:val="24"/>
        </w:rPr>
        <w:t>，在半年中，我通过查阅文献收获的很多知识，也完善了一部分的知识体系，开拓了自身视野，积累到了一定的实际经验，在此感谢各位曾经帮助过我的老师</w:t>
      </w:r>
      <w:r>
        <w:rPr>
          <w:rFonts w:hint="eastAsia" w:ascii="宋体" w:hAnsi="宋体" w:eastAsia="宋体" w:cs="宋体"/>
          <w:sz w:val="24"/>
          <w:lang w:val="en-US" w:eastAsia="zh-CN"/>
        </w:rPr>
        <w:t>和</w:t>
      </w:r>
      <w:r>
        <w:rPr>
          <w:rFonts w:hint="eastAsia" w:ascii="宋体" w:hAnsi="宋体" w:eastAsia="宋体" w:cs="宋体"/>
          <w:sz w:val="24"/>
        </w:rPr>
        <w:t>同学！</w:t>
      </w:r>
    </w:p>
    <w:p>
      <w:pPr>
        <w:rPr>
          <w:rFonts w:ascii="黑体" w:hAnsi="黑体" w:eastAsia="黑体" w:cs="黑体"/>
          <w:sz w:val="28"/>
          <w:szCs w:val="28"/>
        </w:rPr>
      </w:pPr>
    </w:p>
    <w:p>
      <w:pPr>
        <w:rPr>
          <w:rFonts w:ascii="黑体" w:hAnsi="黑体" w:eastAsia="黑体" w:cs="黑体"/>
          <w:sz w:val="28"/>
          <w:szCs w:val="28"/>
        </w:rPr>
        <w:sectPr>
          <w:type w:val="continuous"/>
          <w:pgSz w:w="11906" w:h="16838"/>
          <w:pgMar w:top="1418" w:right="1134" w:bottom="1418" w:left="1701" w:header="851" w:footer="992" w:gutter="0"/>
          <w:pgBorders>
            <w:top w:val="none" w:sz="0" w:space="0"/>
            <w:left w:val="none" w:sz="0" w:space="0"/>
            <w:bottom w:val="none" w:sz="0" w:space="0"/>
            <w:right w:val="none" w:sz="0" w:space="0"/>
          </w:pgBorders>
          <w:pgNumType w:fmt="decimal"/>
          <w:cols w:space="0" w:num="1"/>
          <w:docGrid w:type="lines" w:linePitch="312" w:charSpace="0"/>
        </w:sectPr>
      </w:pPr>
    </w:p>
    <w:p>
      <w:pPr>
        <w:rPr>
          <w:rFonts w:ascii="黑体" w:hAnsi="黑体" w:eastAsia="黑体" w:cs="黑体"/>
          <w:sz w:val="28"/>
          <w:szCs w:val="28"/>
        </w:rPr>
      </w:pPr>
    </w:p>
    <w:p>
      <w:pPr>
        <w:rPr>
          <w:rFonts w:ascii="黑体" w:hAnsi="黑体" w:eastAsia="黑体" w:cs="黑体"/>
          <w:sz w:val="28"/>
          <w:szCs w:val="28"/>
        </w:rPr>
      </w:pPr>
      <w:r>
        <w:rPr>
          <w:rFonts w:hint="eastAsia" w:ascii="黑体" w:hAnsi="黑体" w:eastAsia="黑体" w:cs="黑体"/>
          <w:sz w:val="28"/>
          <w:szCs w:val="28"/>
        </w:rPr>
        <w:br w:type="page"/>
      </w:r>
    </w:p>
    <w:p>
      <w:pPr>
        <w:pStyle w:val="2"/>
      </w:pPr>
      <w:bookmarkStart w:id="40" w:name="_Toc26669"/>
      <w:r>
        <w:rPr>
          <w:rFonts w:hint="eastAsia"/>
        </w:rPr>
        <w:t>附录</w:t>
      </w:r>
      <w:bookmarkEnd w:id="40"/>
    </w:p>
    <w:tbl>
      <w:tblPr>
        <w:tblStyle w:val="16"/>
        <w:tblW w:w="9287" w:type="dxa"/>
        <w:tblInd w:w="0" w:type="dxa"/>
        <w:tblLayout w:type="fixed"/>
        <w:tblCellMar>
          <w:top w:w="0" w:type="dxa"/>
          <w:left w:w="108" w:type="dxa"/>
          <w:bottom w:w="0" w:type="dxa"/>
          <w:right w:w="108" w:type="dxa"/>
        </w:tblCellMar>
      </w:tblPr>
      <w:tblGrid>
        <w:gridCol w:w="403"/>
        <w:gridCol w:w="965"/>
        <w:gridCol w:w="403"/>
        <w:gridCol w:w="403"/>
        <w:gridCol w:w="403"/>
        <w:gridCol w:w="614"/>
        <w:gridCol w:w="707"/>
        <w:gridCol w:w="520"/>
        <w:gridCol w:w="520"/>
        <w:gridCol w:w="473"/>
        <w:gridCol w:w="473"/>
        <w:gridCol w:w="520"/>
        <w:gridCol w:w="614"/>
        <w:gridCol w:w="567"/>
        <w:gridCol w:w="567"/>
        <w:gridCol w:w="544"/>
        <w:gridCol w:w="591"/>
      </w:tblGrid>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公司代码</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公司全称</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截止日期</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报表类型</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每股收益</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每股净资产(元/股)</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净资产收益率(平均)(%)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资产报酬率(%)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销售毛利率(%)</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流动比率(%)</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速动比率(%)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资产负债率(%)</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营业利润增长率(%)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净利润增长率(%)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总资产增长率(%)</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存货周转率(次)</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总资产周转率(次)</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C603233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大参林医药集团股份有限公司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7.7736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19.3092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12.1861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39.4807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1.366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0.8526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50.0491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27.8377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32.5012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32.6587</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3.4217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1.4651</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C600511</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国药集团药业股份有限公司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2.105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13.9656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16.226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10.6431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8.7527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1.8681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1.5788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49.744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19.5057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18.0717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12.4775</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12.1607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1.9537</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C600833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上海第一医药股份有限公司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0.24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3.2513</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7.6504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5.1586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20.0142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2.0111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1.4884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39.8022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-12.737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12.5101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12.6994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4.5439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1.0829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C000028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国药集团一致药业股份有限公司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29.9126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10.4098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6.3683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11.0544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1.5931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1.2973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54.1779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9.8486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10.07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15.8668</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9.9162</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1.6668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C000078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深圳市海王生物工程股份有限公司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0.091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2.264</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3.9498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4.8322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13.3055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1.0861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0.9691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80.9346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0.0383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-20.2647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0.101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9.3745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1.0084</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C002462</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嘉事堂药业股份有限公司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11.743</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12.6953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8.9213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10.233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1.1697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62.2404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14.6602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15.6306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20.1562</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10.0154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1.8576</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C600998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九州通医药集团股份有限公司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8.855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9.2772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5.0099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8.7464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1.2819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0.9757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69.1238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25.7637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28.9555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6.7095</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6.494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1.4438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C600272</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上海开开实业股份有限公司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0.09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2.1188</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4.3507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3.0242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22.3402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1.8355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1.4573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50.0156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-28.1784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-38.3213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2.2924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5.4306</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0.8459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C605266</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云南健之佳健康连锁店股份有限公司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4.23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14.8807</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31.9955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12.0933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35.149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1.027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0.58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71.0462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23.7991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25.3205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18.1717</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4.0239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1.9154</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C603883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老百姓大药房连锁股份有限公司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11.9665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15.5728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8.8966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33.5901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0.9491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0.5774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60.9572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21.6598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22.0195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16.9661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4.1876</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1.2671</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C603368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广西柳州医药股份有限公司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2.66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16.8785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16.6786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9.5323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12.1486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1.4687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1.2492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61.0517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34.5614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34.6162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22.3643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9.4162</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1.3673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C002788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鹭燕医药股份有限公司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0.78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5.482</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15.2266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7.2339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7.7913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1.1423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0.823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74.9533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32.6486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39.5104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24.1738</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9.0767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2.2058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C600713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南京医药股份有限公司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0.333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3.8532</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9.0312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4.6261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6.6122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1.1533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0.9362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79.4224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10.2122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24.7861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12.3281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10.421</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1.7898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C600829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哈药集团人民同泰医药股份有限公司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0.461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3.1856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15.6007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7.6789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12.2194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1.4249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1.1034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66.7004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3.9626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3.663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25.7226</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7.3425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1.6775</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C002589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瑞康医药集团股份有限公司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-0.62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4.776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-11.839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2.2364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19.3404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1.3435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1.167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68.4193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-93.4276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-134.3199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-6.8933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6.9793</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1.0473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C601607</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14.6579</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10.1174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5.6336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14.3725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1.3148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0.9813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63.9588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19.3078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8.4035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7.9974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6.4027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1.4139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C002433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广东太安堂药业股份有限公司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0.13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6.8213</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1.8448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2.9904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24.4133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1.9329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0.6528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38.7049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-61.3246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-62.997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1.4971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1.1419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0.4592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C002727</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一心堂药业集团股份有限公司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1.0637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7.8971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13.9788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9.972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38.6957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1.984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1.2665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42.2796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8.021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16.0731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8.251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3.2995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1.3681</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C603939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益丰大药房连锁股份有限公司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11.8977</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12.694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9.8332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39.0085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1.3385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0.8498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48.6775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41.0054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37.891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16.613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3.8439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1.2059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C000411</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浙江英特集团股份有限公司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0.66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6.0943</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12.3472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6.3596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6.676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1.2775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0.9269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72.408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52.7648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50.8376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19.7603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9.4774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2.4897</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C000705</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浙江震元股份有限公司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0.63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5.0579</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13.5935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10.3908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21.3467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2.1917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1.5028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33.8722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198.3843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198.0082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22.0841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5.3165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1.3775</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C600056</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中国医药健康产业股份有限公司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0.9184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8.4184</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11.2497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6.6645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18.3516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1.4213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1.041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63.0921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-26.2619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-31.0686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17.7105</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5.1421</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1.279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C000950</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重药控股股份有限公司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2019</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4.667</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10.2439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6.697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9.052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1.3393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1.0916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65.221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32.0428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25.7597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26.6721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9.4521</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1.4845</w:t>
            </w:r>
          </w:p>
        </w:tc>
      </w:tr>
    </w:tbl>
    <w:p>
      <w:pPr>
        <w:spacing w:line="300" w:lineRule="auto"/>
        <w:rPr>
          <w:rFonts w:ascii="宋体" w:hAnsi="宋体" w:eastAsia="宋体" w:cs="宋体"/>
          <w:sz w:val="24"/>
        </w:rPr>
      </w:pPr>
    </w:p>
    <w:tbl>
      <w:tblPr>
        <w:tblStyle w:val="16"/>
        <w:tblW w:w="9287" w:type="dxa"/>
        <w:tblInd w:w="0" w:type="dxa"/>
        <w:tblLayout w:type="fixed"/>
        <w:tblCellMar>
          <w:top w:w="0" w:type="dxa"/>
          <w:left w:w="108" w:type="dxa"/>
          <w:bottom w:w="0" w:type="dxa"/>
          <w:right w:w="108" w:type="dxa"/>
        </w:tblCellMar>
      </w:tblPr>
      <w:tblGrid>
        <w:gridCol w:w="403"/>
        <w:gridCol w:w="965"/>
        <w:gridCol w:w="403"/>
        <w:gridCol w:w="403"/>
        <w:gridCol w:w="403"/>
        <w:gridCol w:w="614"/>
        <w:gridCol w:w="707"/>
        <w:gridCol w:w="520"/>
        <w:gridCol w:w="520"/>
        <w:gridCol w:w="473"/>
        <w:gridCol w:w="473"/>
        <w:gridCol w:w="520"/>
        <w:gridCol w:w="614"/>
        <w:gridCol w:w="567"/>
        <w:gridCol w:w="567"/>
        <w:gridCol w:w="544"/>
        <w:gridCol w:w="591"/>
      </w:tblGrid>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公司代码</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公司全称</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截止日期</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报表类型</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每股收益</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每股净资产(元/股)</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净资产收益率(平均)(%)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资产报酬率(%)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销售毛利率(%)</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流动比率(%)</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速动比率(%)</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资产负债率(%)</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营业利润增长率(%)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净利润增长率(%)</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总资产增长率(%)</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存货周转率(次)</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总资产周转率(次)</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C603233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大参林医药集团股份有限公司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7.5951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18.3611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11.7796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41.6454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1.179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0.6266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52.7812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13.4186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10.7619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12.2667</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1.4336</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C600511</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国药集团药业股份有限公司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1.8313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12.0779</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16.1264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10.31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8.8258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1.8186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1.504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50.6752</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15.1809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18.926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6.6638</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11.6128</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1.8591</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C600833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上海第一医药股份有限公司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0.21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2.97</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6.8904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4.8277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19.3704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2.0734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1.4637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37.9723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4.6406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8.5323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-4.9739</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4.4879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right"/>
              <w:textAlignment w:val="center"/>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1.0622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C000028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国药集团一致药业股份有限公司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27.1378</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11.5226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6.9941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11.8228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1.6598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1.3624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51.9335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14.1464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16.5718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29.4789</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9.3069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1.682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C000078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深圳市海王生物工程股份有限公司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0.156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2.2469</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7.2366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5.1176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13.1336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1.0987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0.9695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82.691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-21.2987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-15.5308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33.2498</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9.1598</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1.0663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C002462</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嘉事堂药业股份有限公司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9.9681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13.9286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9.4899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10.2317</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1.5211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1.2503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65.5983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23.0499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21.5507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17.8801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10.5377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1.7911</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C600998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九州通医药集团股份有限公司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0.73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8.1714</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7.2922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4.4075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8.6326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1.2889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0.9751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69.4305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-5.7541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-6.2084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28.1006</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6.1069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1.4679</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C600272</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上海开开实业股份有限公司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0.14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2.0386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7.1054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4.4234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24.1338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1.4515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0.9748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50.7463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-6.3831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-9.4309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-2.3624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4.7311</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0.8523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C605266</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云南健之佳健康连锁店股份有限公司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3.36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11.5562</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32.9489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11.4857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37.7798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1.0142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0.5678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73.5008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39.463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41.8056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13.5229</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3.6653</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1.7416</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C603883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老百姓大药房连锁股份有限公司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1.53</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10.6904</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14.557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8.7749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35.2073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0.8716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0.5257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60.2897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28.7804</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26.9996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26.6594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4.0606</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1.2475</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C603368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广西柳州医药股份有限公司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14.847</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14.3955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8.3567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10.7606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1.534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1.2925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58.5881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31.5051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32.8537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29.3695</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8.7515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1.3522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C002788</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鹭燕医药股份有限公司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8.1631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11.8514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6.7328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7.8246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1.1821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0.8759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72.7605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31.3498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27.2919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18.2778</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8.9897</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2.0532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C600713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南京医药股份有限公司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0.26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3.5226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8.1645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4.3406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6.6062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1.1689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0.9746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78.9866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12.8207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21.5645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17.9686</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10.1275</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1.7327</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C600829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哈药集团人民同泰医药股份有限公司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0.4447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2.7246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16.1567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7.8869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12.8151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1.4603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1.1429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64.1928</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3.2605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1.4393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-8.862</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6.869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1.5248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C002589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瑞康医药集团股份有限公司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0.517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5.6166</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9.5791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8.0437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19.1455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1.3472</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1.1356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67.5451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9.0503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-6.6242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29.1036</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6.4668</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1.0973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C601607</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上海医药集团股份有限公司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1.3717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13.7271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10.6266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5.7412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14.183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1.3576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0.9934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63.4036</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-0.3792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9.8202</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34.4852</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6.4558</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1.4382</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C002433</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广东太安堂药业股份有限公司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0.35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6.7653</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5.364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5.4274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27.7696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2.0118</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0.8994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38.6909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8.2596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-6.501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6.3781</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0.8714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0.394</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C002727</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一心堂药业集团股份有限公司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0.9177</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7.1254</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13.4652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10.0244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40.5311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1.5374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0.9701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44.9485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34.865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22.9521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2.9283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3.1252</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1.2655</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C603939</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益丰大药房连锁股份有限公司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1.144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10.7715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11.5255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9.1898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39.7319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1.4635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0.9665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47.0035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35.3788</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39.09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64.5174</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3.7794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1.0928</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C000411</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浙江英特集团股份有限公司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4.4845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10.5826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5.0534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6.6096</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1.2529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0.9099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76.8319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12.1135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16.9305</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-1.0005</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8.7044</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2.2673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C000705</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浙江震元股份有限公司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0.21</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4.2585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5.078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3.6192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20.6673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1.8823</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1.2163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31.9304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9.4856</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14.1133</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3.3726</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5.6929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1.3703</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C600056</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中国医药健康产业股份有限公司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1.4455</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7.91</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18.9501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10.3902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20.9491</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1.6204</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1.2158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60.0029</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11.3541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14.8131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17.823</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5.0079</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1.3235</w:t>
            </w:r>
          </w:p>
        </w:tc>
      </w:tr>
      <w:tr>
        <w:tblPrEx>
          <w:tblCellMar>
            <w:top w:w="0" w:type="dxa"/>
            <w:left w:w="108" w:type="dxa"/>
            <w:bottom w:w="0" w:type="dxa"/>
            <w:right w:w="108" w:type="dxa"/>
          </w:tblCellMar>
        </w:tblPrEx>
        <w:trPr>
          <w:trHeight w:val="288" w:hRule="atLeast"/>
        </w:trPr>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C000950</w:t>
            </w:r>
          </w:p>
        </w:tc>
        <w:tc>
          <w:tcPr>
            <w:tcW w:w="96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重药控股股份有限公司</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2018</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Q4</w:t>
            </w:r>
          </w:p>
        </w:tc>
        <w:tc>
          <w:tcPr>
            <w:tcW w:w="40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0.4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4.2355</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9.8405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5.7578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8.9605</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1.5119</w:t>
            </w:r>
          </w:p>
        </w:tc>
        <w:tc>
          <w:tcPr>
            <w:tcW w:w="473"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1.2585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59.6934</w:t>
            </w:r>
          </w:p>
        </w:tc>
        <w:tc>
          <w:tcPr>
            <w:tcW w:w="61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-32.5907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-34.8629</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32.2922</w:t>
            </w:r>
          </w:p>
        </w:tc>
        <w:tc>
          <w:tcPr>
            <w:tcW w:w="5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9.4673</w:t>
            </w:r>
          </w:p>
        </w:tc>
        <w:tc>
          <w:tcPr>
            <w:tcW w:w="5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textAlignment w:val="bottom"/>
              <w:rPr>
                <w:rFonts w:ascii="华文仿宋" w:hAnsi="华文仿宋" w:eastAsia="华文仿宋" w:cs="华文仿宋"/>
                <w:color w:val="000000"/>
                <w:sz w:val="20"/>
                <w:szCs w:val="20"/>
              </w:rPr>
            </w:pPr>
            <w:r>
              <w:rPr>
                <w:rFonts w:ascii="华文仿宋" w:hAnsi="华文仿宋" w:eastAsia="华文仿宋" w:cs="华文仿宋"/>
                <w:color w:val="000000"/>
                <w:kern w:val="0"/>
                <w:sz w:val="20"/>
                <w:szCs w:val="20"/>
                <w:lang w:bidi="ar"/>
              </w:rPr>
              <w:t>1.4611</w:t>
            </w:r>
          </w:p>
        </w:tc>
      </w:tr>
    </w:tbl>
    <w:p>
      <w:pPr>
        <w:spacing w:line="300" w:lineRule="auto"/>
        <w:rPr>
          <w:rFonts w:ascii="宋体" w:hAnsi="宋体" w:eastAsia="宋体" w:cs="宋体"/>
          <w:sz w:val="24"/>
        </w:rPr>
      </w:pPr>
    </w:p>
    <w:sectPr>
      <w:headerReference r:id="rId14" w:type="default"/>
      <w:type w:val="continuous"/>
      <w:pgSz w:w="11906" w:h="16838"/>
      <w:pgMar w:top="1418" w:right="1134" w:bottom="1418" w:left="1701" w:header="851" w:footer="992" w:gutter="0"/>
      <w:pgBorders>
        <w:top w:val="none" w:sz="0" w:space="0"/>
        <w:left w:val="none" w:sz="0" w:space="0"/>
        <w:bottom w:val="none" w:sz="0" w:space="0"/>
        <w:right w:val="none" w:sz="0" w:space="0"/>
      </w:pgBorders>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sz w:val="21"/>
        <w:szCs w:val="21"/>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 xml:space="preserve">第 </w:t>
                          </w: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r>
                            <w:rPr>
                              <w:rFonts w:hint="default" w:ascii="Times New Roman" w:hAnsi="Times New Roman" w:cs="Times New Roman"/>
                              <w:sz w:val="21"/>
                              <w:szCs w:val="21"/>
                              <w:lang w:eastAsia="zh-CN"/>
                            </w:rPr>
                            <w:t xml:space="preserve"> 页 共 </w:t>
                          </w:r>
                          <w:r>
                            <w:rPr>
                              <w:rFonts w:hint="default" w:ascii="Times New Roman" w:hAnsi="Times New Roman" w:cs="Times New Roman"/>
                              <w:sz w:val="21"/>
                              <w:szCs w:val="21"/>
                              <w:lang w:val="en-US" w:eastAsia="zh-CN"/>
                            </w:rPr>
                            <w:t>29</w:t>
                          </w:r>
                          <w:r>
                            <w:rPr>
                              <w:rFonts w:hint="default" w:ascii="Times New Roman" w:hAnsi="Times New Roman" w:cs="Times New Roman"/>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 xml:space="preserve">第 </w:t>
                    </w: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1</w:t>
                    </w:r>
                    <w:r>
                      <w:rPr>
                        <w:rFonts w:hint="default" w:ascii="Times New Roman" w:hAnsi="Times New Roman" w:cs="Times New Roman"/>
                        <w:sz w:val="21"/>
                        <w:szCs w:val="21"/>
                        <w:lang w:eastAsia="zh-CN"/>
                      </w:rPr>
                      <w:fldChar w:fldCharType="end"/>
                    </w:r>
                    <w:r>
                      <w:rPr>
                        <w:rFonts w:hint="default" w:ascii="Times New Roman" w:hAnsi="Times New Roman" w:cs="Times New Roman"/>
                        <w:sz w:val="21"/>
                        <w:szCs w:val="21"/>
                        <w:lang w:eastAsia="zh-CN"/>
                      </w:rPr>
                      <w:t xml:space="preserve"> 页 共 </w:t>
                    </w:r>
                    <w:r>
                      <w:rPr>
                        <w:rFonts w:hint="default" w:ascii="Times New Roman" w:hAnsi="Times New Roman" w:cs="Times New Roman"/>
                        <w:sz w:val="21"/>
                        <w:szCs w:val="21"/>
                        <w:lang w:val="en-US" w:eastAsia="zh-CN"/>
                      </w:rPr>
                      <w:t>29</w:t>
                    </w:r>
                    <w:r>
                      <w:rPr>
                        <w:rFonts w:hint="default" w:ascii="Times New Roman" w:hAnsi="Times New Roman" w:cs="Times New Roman"/>
                        <w:sz w:val="21"/>
                        <w:szCs w:val="21"/>
                        <w:lang w:eastAsia="zh-CN"/>
                      </w:rP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cs="Times New Roman"/>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 xml:space="preserve">第 </w:t>
                          </w: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2</w:t>
                          </w:r>
                          <w:r>
                            <w:rPr>
                              <w:rFonts w:hint="default" w:ascii="Times New Roman" w:hAnsi="Times New Roman" w:cs="Times New Roman"/>
                              <w:sz w:val="21"/>
                              <w:szCs w:val="21"/>
                              <w:lang w:eastAsia="zh-CN"/>
                            </w:rPr>
                            <w:fldChar w:fldCharType="end"/>
                          </w:r>
                          <w:r>
                            <w:rPr>
                              <w:rFonts w:hint="default" w:ascii="Times New Roman" w:hAnsi="Times New Roman" w:cs="Times New Roman"/>
                              <w:sz w:val="21"/>
                              <w:szCs w:val="21"/>
                              <w:lang w:eastAsia="zh-CN"/>
                            </w:rPr>
                            <w:t xml:space="preserve"> 页 共 </w:t>
                          </w:r>
                          <w:r>
                            <w:rPr>
                              <w:rFonts w:hint="default" w:ascii="Times New Roman" w:hAnsi="Times New Roman" w:cs="Times New Roman"/>
                              <w:sz w:val="21"/>
                              <w:szCs w:val="21"/>
                              <w:lang w:val="en-US" w:eastAsia="zh-CN"/>
                            </w:rPr>
                            <w:t>29</w:t>
                          </w:r>
                          <w:r>
                            <w:rPr>
                              <w:rFonts w:hint="default" w:ascii="Times New Roman" w:hAnsi="Times New Roman" w:cs="Times New Roman"/>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default" w:ascii="Times New Roman" w:hAnsi="Times New Roman" w:cs="Times New Roman" w:eastAsiaTheme="minorEastAsia"/>
                        <w:sz w:val="21"/>
                        <w:szCs w:val="21"/>
                        <w:lang w:eastAsia="zh-CN"/>
                      </w:rPr>
                    </w:pPr>
                    <w:r>
                      <w:rPr>
                        <w:rFonts w:hint="default" w:ascii="Times New Roman" w:hAnsi="Times New Roman" w:cs="Times New Roman"/>
                        <w:sz w:val="21"/>
                        <w:szCs w:val="21"/>
                        <w:lang w:eastAsia="zh-CN"/>
                      </w:rPr>
                      <w:t xml:space="preserve">第 </w:t>
                    </w:r>
                    <w:r>
                      <w:rPr>
                        <w:rFonts w:hint="default" w:ascii="Times New Roman" w:hAnsi="Times New Roman" w:cs="Times New Roman"/>
                        <w:sz w:val="21"/>
                        <w:szCs w:val="21"/>
                        <w:lang w:eastAsia="zh-CN"/>
                      </w:rPr>
                      <w:fldChar w:fldCharType="begin"/>
                    </w:r>
                    <w:r>
                      <w:rPr>
                        <w:rFonts w:hint="default" w:ascii="Times New Roman" w:hAnsi="Times New Roman" w:cs="Times New Roman"/>
                        <w:sz w:val="21"/>
                        <w:szCs w:val="21"/>
                        <w:lang w:eastAsia="zh-CN"/>
                      </w:rPr>
                      <w:instrText xml:space="preserve"> PAGE  \* MERGEFORMAT </w:instrText>
                    </w:r>
                    <w:r>
                      <w:rPr>
                        <w:rFonts w:hint="default" w:ascii="Times New Roman" w:hAnsi="Times New Roman" w:cs="Times New Roman"/>
                        <w:sz w:val="21"/>
                        <w:szCs w:val="21"/>
                        <w:lang w:eastAsia="zh-CN"/>
                      </w:rPr>
                      <w:fldChar w:fldCharType="separate"/>
                    </w:r>
                    <w:r>
                      <w:rPr>
                        <w:rFonts w:hint="default" w:ascii="Times New Roman" w:hAnsi="Times New Roman" w:cs="Times New Roman"/>
                        <w:sz w:val="21"/>
                        <w:szCs w:val="21"/>
                        <w:lang w:eastAsia="zh-CN"/>
                      </w:rPr>
                      <w:t>2</w:t>
                    </w:r>
                    <w:r>
                      <w:rPr>
                        <w:rFonts w:hint="default" w:ascii="Times New Roman" w:hAnsi="Times New Roman" w:cs="Times New Roman"/>
                        <w:sz w:val="21"/>
                        <w:szCs w:val="21"/>
                        <w:lang w:eastAsia="zh-CN"/>
                      </w:rPr>
                      <w:fldChar w:fldCharType="end"/>
                    </w:r>
                    <w:r>
                      <w:rPr>
                        <w:rFonts w:hint="default" w:ascii="Times New Roman" w:hAnsi="Times New Roman" w:cs="Times New Roman"/>
                        <w:sz w:val="21"/>
                        <w:szCs w:val="21"/>
                        <w:lang w:eastAsia="zh-CN"/>
                      </w:rPr>
                      <w:t xml:space="preserve"> 页 共 </w:t>
                    </w:r>
                    <w:r>
                      <w:rPr>
                        <w:rFonts w:hint="default" w:ascii="Times New Roman" w:hAnsi="Times New Roman" w:cs="Times New Roman"/>
                        <w:sz w:val="21"/>
                        <w:szCs w:val="21"/>
                        <w:lang w:val="en-US" w:eastAsia="zh-CN"/>
                      </w:rPr>
                      <w:t>29</w:t>
                    </w:r>
                    <w:r>
                      <w:rPr>
                        <w:rFonts w:hint="default" w:ascii="Times New Roman" w:hAnsi="Times New Roman" w:cs="Times New Roman"/>
                        <w:sz w:val="21"/>
                        <w:szCs w:val="21"/>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第一章 绪论 </w:t>
    </w:r>
    <w:r>
      <w:rPr>
        <w:sz w:val="21"/>
        <w:szCs w:val="21"/>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医药商业公司财务绩效的评价 </w:t>
    </w:r>
    <w:r>
      <w:rPr>
        <w:sz w:val="21"/>
        <w:szCs w:val="21"/>
        <w:u w:val="single"/>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第二章 </w:t>
    </w:r>
    <w:r>
      <w:rPr>
        <w:rFonts w:hint="eastAsia"/>
        <w:sz w:val="21"/>
        <w:szCs w:val="21"/>
        <w:u w:val="single"/>
        <w:lang w:val="en-US" w:eastAsia="zh-CN"/>
      </w:rPr>
      <w:t>投资价值理论和评估方法</w:t>
    </w:r>
    <w:r>
      <w:rPr>
        <w:rFonts w:hint="eastAsia"/>
        <w:sz w:val="21"/>
        <w:szCs w:val="21"/>
        <w:u w:val="single"/>
      </w:rPr>
      <w:t xml:space="preserve"> </w:t>
    </w:r>
    <w:r>
      <w:rPr>
        <w:sz w:val="21"/>
        <w:szCs w:val="21"/>
        <w:u w:val="single"/>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第三章 医药商业类公司投资价值评估 </w:t>
    </w:r>
    <w:r>
      <w:rPr>
        <w:sz w:val="21"/>
        <w:szCs w:val="21"/>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参考文献 </w:t>
    </w:r>
    <w:r>
      <w:rPr>
        <w:sz w:val="21"/>
        <w:szCs w:val="21"/>
        <w:u w:val="single"/>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z w:val="21"/>
        <w:szCs w:val="21"/>
        <w:u w:val="single"/>
      </w:rPr>
    </w:pPr>
    <w:r>
      <w:rPr>
        <w:rFonts w:hint="eastAsia"/>
        <w:sz w:val="21"/>
        <w:szCs w:val="21"/>
        <w:u w:val="single"/>
      </w:rPr>
      <w:t xml:space="preserve"> </w:t>
    </w:r>
    <w:r>
      <w:rPr>
        <w:sz w:val="21"/>
        <w:szCs w:val="21"/>
        <w:u w:val="single"/>
      </w:rPr>
      <w:t xml:space="preserve">                                        </w:t>
    </w:r>
    <w:r>
      <w:rPr>
        <w:rFonts w:hint="eastAsia"/>
        <w:sz w:val="21"/>
        <w:szCs w:val="21"/>
        <w:u w:val="single"/>
      </w:rPr>
      <w:t xml:space="preserve">附录 </w:t>
    </w:r>
    <w:r>
      <w:rPr>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68C15"/>
    <w:multiLevelType w:val="singleLevel"/>
    <w:tmpl w:val="A4668C15"/>
    <w:lvl w:ilvl="0" w:tentative="0">
      <w:start w:val="1"/>
      <w:numFmt w:val="decimal"/>
      <w:suff w:val="nothing"/>
      <w:lvlText w:val="（%1）"/>
      <w:lvlJc w:val="left"/>
    </w:lvl>
  </w:abstractNum>
  <w:abstractNum w:abstractNumId="1">
    <w:nsid w:val="0BC5F98D"/>
    <w:multiLevelType w:val="singleLevel"/>
    <w:tmpl w:val="0BC5F98D"/>
    <w:lvl w:ilvl="0" w:tentative="0">
      <w:start w:val="2"/>
      <w:numFmt w:val="decimal"/>
      <w:suff w:val="nothing"/>
      <w:lvlText w:val="（%1）"/>
      <w:lvlJc w:val="left"/>
    </w:lvl>
  </w:abstractNum>
  <w:abstractNum w:abstractNumId="2">
    <w:nsid w:val="6131FDEB"/>
    <w:multiLevelType w:val="singleLevel"/>
    <w:tmpl w:val="6131FDEB"/>
    <w:lvl w:ilvl="0" w:tentative="0">
      <w:start w:val="1"/>
      <w:numFmt w:val="decimal"/>
      <w:lvlText w:val="[%1]"/>
      <w:lvlJc w:val="left"/>
      <w:pPr>
        <w:tabs>
          <w:tab w:val="left" w:pos="312"/>
        </w:tabs>
      </w:pPr>
    </w:lvl>
  </w:abstractNum>
  <w:abstractNum w:abstractNumId="3">
    <w:nsid w:val="755B8AA3"/>
    <w:multiLevelType w:val="singleLevel"/>
    <w:tmpl w:val="755B8AA3"/>
    <w:lvl w:ilvl="0" w:tentative="0">
      <w:start w:val="1"/>
      <w:numFmt w:val="decimal"/>
      <w:suff w:val="nothing"/>
      <w:lvlText w:val="（%1）"/>
      <w:lvlJc w:val="left"/>
      <w:rPr>
        <w:rFonts w:hint="default"/>
        <w:b w:val="0"/>
        <w:bCs w:val="0"/>
        <w:sz w:val="21"/>
        <w:szCs w:val="21"/>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1C5E"/>
    <w:rsid w:val="005B74A8"/>
    <w:rsid w:val="00614992"/>
    <w:rsid w:val="0063319A"/>
    <w:rsid w:val="008152B9"/>
    <w:rsid w:val="00D32FDF"/>
    <w:rsid w:val="00D80E66"/>
    <w:rsid w:val="02DB75DA"/>
    <w:rsid w:val="08407AD8"/>
    <w:rsid w:val="08E63A97"/>
    <w:rsid w:val="0ABC4218"/>
    <w:rsid w:val="0DFF45E5"/>
    <w:rsid w:val="108B22A7"/>
    <w:rsid w:val="162D0939"/>
    <w:rsid w:val="181A405D"/>
    <w:rsid w:val="197F5099"/>
    <w:rsid w:val="1C7719BE"/>
    <w:rsid w:val="1D834000"/>
    <w:rsid w:val="1DC40507"/>
    <w:rsid w:val="1E147792"/>
    <w:rsid w:val="21410429"/>
    <w:rsid w:val="26EC178A"/>
    <w:rsid w:val="27A40870"/>
    <w:rsid w:val="2A6E6C5A"/>
    <w:rsid w:val="2C1F5C1C"/>
    <w:rsid w:val="2D2D7FE0"/>
    <w:rsid w:val="30CF47E1"/>
    <w:rsid w:val="30E620FB"/>
    <w:rsid w:val="32102E2D"/>
    <w:rsid w:val="32544F0D"/>
    <w:rsid w:val="32F56D29"/>
    <w:rsid w:val="34B034B4"/>
    <w:rsid w:val="358C45E9"/>
    <w:rsid w:val="35D832AC"/>
    <w:rsid w:val="37592AAD"/>
    <w:rsid w:val="380C0CAB"/>
    <w:rsid w:val="3BFD10A1"/>
    <w:rsid w:val="3D817F9E"/>
    <w:rsid w:val="3E57568E"/>
    <w:rsid w:val="3EEE0A0C"/>
    <w:rsid w:val="3F5E15FD"/>
    <w:rsid w:val="42EA377F"/>
    <w:rsid w:val="4694039E"/>
    <w:rsid w:val="48E06B06"/>
    <w:rsid w:val="4F831169"/>
    <w:rsid w:val="4FFB40AB"/>
    <w:rsid w:val="515B7F3B"/>
    <w:rsid w:val="517C3C40"/>
    <w:rsid w:val="51DF6134"/>
    <w:rsid w:val="5207505A"/>
    <w:rsid w:val="53703DF3"/>
    <w:rsid w:val="53C824EC"/>
    <w:rsid w:val="559B4827"/>
    <w:rsid w:val="56371574"/>
    <w:rsid w:val="59826188"/>
    <w:rsid w:val="5B2B670F"/>
    <w:rsid w:val="5B634766"/>
    <w:rsid w:val="5B8D19AB"/>
    <w:rsid w:val="5DDF5399"/>
    <w:rsid w:val="5EC70783"/>
    <w:rsid w:val="5FEC24C7"/>
    <w:rsid w:val="617973A2"/>
    <w:rsid w:val="630E7EE4"/>
    <w:rsid w:val="63376C99"/>
    <w:rsid w:val="6430775C"/>
    <w:rsid w:val="6645125C"/>
    <w:rsid w:val="68B9155D"/>
    <w:rsid w:val="69CA7D4E"/>
    <w:rsid w:val="6A7C4AEE"/>
    <w:rsid w:val="6BC83440"/>
    <w:rsid w:val="6F420455"/>
    <w:rsid w:val="6FB54F56"/>
    <w:rsid w:val="71F64B04"/>
    <w:rsid w:val="78FF653E"/>
    <w:rsid w:val="7A7D1E3A"/>
    <w:rsid w:val="7F0B2412"/>
    <w:rsid w:val="7F292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99"/>
    <w:pPr>
      <w:keepNext/>
      <w:keepLines/>
      <w:adjustRightInd w:val="0"/>
      <w:snapToGrid w:val="0"/>
      <w:spacing w:line="440" w:lineRule="exact"/>
      <w:jc w:val="left"/>
      <w:outlineLvl w:val="0"/>
    </w:pPr>
    <w:rPr>
      <w:rFonts w:ascii="Times New Roman" w:hAnsi="Times New Roman" w:eastAsia="宋体"/>
      <w:b/>
      <w:bCs/>
      <w:kern w:val="44"/>
      <w:sz w:val="30"/>
      <w:szCs w:val="44"/>
    </w:rPr>
  </w:style>
  <w:style w:type="paragraph" w:styleId="3">
    <w:name w:val="heading 2"/>
    <w:basedOn w:val="1"/>
    <w:next w:val="1"/>
    <w:link w:val="23"/>
    <w:unhideWhenUsed/>
    <w:qFormat/>
    <w:uiPriority w:val="99"/>
    <w:pPr>
      <w:keepNext/>
      <w:keepLines/>
      <w:adjustRightInd w:val="0"/>
      <w:snapToGrid w:val="0"/>
      <w:spacing w:line="440" w:lineRule="exact"/>
      <w:jc w:val="left"/>
      <w:outlineLvl w:val="1"/>
    </w:pPr>
    <w:rPr>
      <w:rFonts w:ascii="Times New Roman" w:hAnsi="Times New Roman" w:eastAsia="宋体" w:cstheme="majorBidi"/>
      <w:b/>
      <w:bCs/>
      <w:sz w:val="28"/>
      <w:szCs w:val="32"/>
    </w:rPr>
  </w:style>
  <w:style w:type="paragraph" w:styleId="4">
    <w:name w:val="heading 3"/>
    <w:basedOn w:val="1"/>
    <w:next w:val="1"/>
    <w:unhideWhenUsed/>
    <w:qFormat/>
    <w:uiPriority w:val="99"/>
    <w:pPr>
      <w:adjustRightInd w:val="0"/>
      <w:snapToGrid w:val="0"/>
      <w:spacing w:line="440" w:lineRule="exact"/>
      <w:jc w:val="left"/>
      <w:outlineLvl w:val="2"/>
    </w:pPr>
    <w:rPr>
      <w:rFonts w:hint="eastAsia" w:ascii="Times New Roman" w:hAnsi="Times New Roman" w:eastAsia="宋体" w:cs="Times New Roman"/>
      <w:b/>
      <w:bCs/>
      <w:kern w:val="0"/>
      <w:sz w:val="28"/>
      <w:szCs w:val="27"/>
    </w:rPr>
  </w:style>
  <w:style w:type="character" w:default="1" w:styleId="17">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1260"/>
      <w:jc w:val="left"/>
    </w:pPr>
    <w:rPr>
      <w:sz w:val="18"/>
      <w:szCs w:val="18"/>
    </w:rPr>
  </w:style>
  <w:style w:type="paragraph" w:styleId="6">
    <w:name w:val="toc 5"/>
    <w:basedOn w:val="1"/>
    <w:next w:val="1"/>
    <w:qFormat/>
    <w:uiPriority w:val="0"/>
    <w:pPr>
      <w:ind w:left="840"/>
      <w:jc w:val="left"/>
    </w:pPr>
    <w:rPr>
      <w:sz w:val="18"/>
      <w:szCs w:val="18"/>
    </w:rPr>
  </w:style>
  <w:style w:type="paragraph" w:styleId="7">
    <w:name w:val="toc 3"/>
    <w:basedOn w:val="1"/>
    <w:next w:val="1"/>
    <w:qFormat/>
    <w:uiPriority w:val="39"/>
    <w:pPr>
      <w:ind w:left="420"/>
      <w:jc w:val="left"/>
    </w:pPr>
    <w:rPr>
      <w:i/>
      <w:iCs/>
      <w:sz w:val="20"/>
      <w:szCs w:val="20"/>
    </w:rPr>
  </w:style>
  <w:style w:type="paragraph" w:styleId="8">
    <w:name w:val="toc 8"/>
    <w:basedOn w:val="1"/>
    <w:next w:val="1"/>
    <w:qFormat/>
    <w:uiPriority w:val="0"/>
    <w:pPr>
      <w:ind w:left="1470"/>
      <w:jc w:val="left"/>
    </w:pPr>
    <w:rPr>
      <w:sz w:val="18"/>
      <w:szCs w:val="18"/>
    </w:rPr>
  </w:style>
  <w:style w:type="paragraph" w:styleId="9">
    <w:name w:val="footer"/>
    <w:basedOn w:val="1"/>
    <w:link w:val="24"/>
    <w:qFormat/>
    <w:uiPriority w:val="99"/>
    <w:pPr>
      <w:tabs>
        <w:tab w:val="center" w:pos="4153"/>
        <w:tab w:val="right" w:pos="8306"/>
      </w:tabs>
      <w:snapToGrid w:val="0"/>
      <w:jc w:val="left"/>
    </w:pPr>
    <w:rPr>
      <w:sz w:val="18"/>
    </w:rPr>
  </w:style>
  <w:style w:type="paragraph" w:styleId="10">
    <w:name w:val="header"/>
    <w:basedOn w:val="1"/>
    <w:link w:val="2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spacing w:before="120" w:after="120"/>
      <w:jc w:val="left"/>
    </w:pPr>
    <w:rPr>
      <w:b/>
      <w:bCs/>
      <w:caps/>
      <w:sz w:val="20"/>
      <w:szCs w:val="20"/>
    </w:rPr>
  </w:style>
  <w:style w:type="paragraph" w:styleId="12">
    <w:name w:val="toc 4"/>
    <w:basedOn w:val="1"/>
    <w:next w:val="1"/>
    <w:qFormat/>
    <w:uiPriority w:val="0"/>
    <w:pPr>
      <w:ind w:left="630"/>
      <w:jc w:val="left"/>
    </w:pPr>
    <w:rPr>
      <w:sz w:val="18"/>
      <w:szCs w:val="18"/>
    </w:rPr>
  </w:style>
  <w:style w:type="paragraph" w:styleId="13">
    <w:name w:val="toc 6"/>
    <w:basedOn w:val="1"/>
    <w:next w:val="1"/>
    <w:qFormat/>
    <w:uiPriority w:val="0"/>
    <w:pPr>
      <w:ind w:left="1050"/>
      <w:jc w:val="left"/>
    </w:pPr>
    <w:rPr>
      <w:sz w:val="18"/>
      <w:szCs w:val="18"/>
    </w:rPr>
  </w:style>
  <w:style w:type="paragraph" w:styleId="14">
    <w:name w:val="toc 2"/>
    <w:basedOn w:val="1"/>
    <w:next w:val="1"/>
    <w:qFormat/>
    <w:uiPriority w:val="39"/>
    <w:pPr>
      <w:ind w:left="210"/>
      <w:jc w:val="left"/>
    </w:pPr>
    <w:rPr>
      <w:smallCaps/>
      <w:sz w:val="20"/>
      <w:szCs w:val="20"/>
    </w:rPr>
  </w:style>
  <w:style w:type="paragraph" w:styleId="15">
    <w:name w:val="toc 9"/>
    <w:basedOn w:val="1"/>
    <w:next w:val="1"/>
    <w:qFormat/>
    <w:uiPriority w:val="0"/>
    <w:pPr>
      <w:ind w:left="1680"/>
      <w:jc w:val="left"/>
    </w:pPr>
    <w:rPr>
      <w:sz w:val="18"/>
      <w:szCs w:val="18"/>
    </w:rPr>
  </w:style>
  <w:style w:type="character" w:styleId="18">
    <w:name w:val="Emphasis"/>
    <w:basedOn w:val="17"/>
    <w:qFormat/>
    <w:uiPriority w:val="0"/>
    <w:rPr>
      <w:i/>
    </w:rPr>
  </w:style>
  <w:style w:type="character" w:styleId="19">
    <w:name w:val="Hyperlink"/>
    <w:basedOn w:val="17"/>
    <w:qFormat/>
    <w:uiPriority w:val="99"/>
    <w:rPr>
      <w:color w:val="0000FF"/>
      <w:u w:val="single"/>
    </w:rPr>
  </w:style>
  <w:style w:type="character" w:customStyle="1" w:styleId="20">
    <w:name w:val="font41"/>
    <w:basedOn w:val="17"/>
    <w:qFormat/>
    <w:uiPriority w:val="0"/>
    <w:rPr>
      <w:rFonts w:hint="eastAsia" w:ascii="宋体" w:hAnsi="宋体" w:eastAsia="宋体" w:cs="宋体"/>
      <w:color w:val="333333"/>
      <w:sz w:val="24"/>
      <w:szCs w:val="24"/>
      <w:u w:val="none"/>
    </w:rPr>
  </w:style>
  <w:style w:type="character" w:customStyle="1" w:styleId="21">
    <w:name w:val="font31"/>
    <w:basedOn w:val="17"/>
    <w:qFormat/>
    <w:uiPriority w:val="0"/>
    <w:rPr>
      <w:rFonts w:hint="default" w:ascii="Arial" w:hAnsi="Arial" w:cs="Arial"/>
      <w:color w:val="333333"/>
      <w:sz w:val="24"/>
      <w:szCs w:val="24"/>
      <w:u w:val="none"/>
    </w:rPr>
  </w:style>
  <w:style w:type="character" w:customStyle="1" w:styleId="22">
    <w:name w:val="标题 1 字符"/>
    <w:basedOn w:val="17"/>
    <w:link w:val="2"/>
    <w:qFormat/>
    <w:uiPriority w:val="99"/>
    <w:rPr>
      <w:rFonts w:cstheme="minorBidi"/>
      <w:b/>
      <w:bCs/>
      <w:kern w:val="44"/>
      <w:sz w:val="30"/>
      <w:szCs w:val="44"/>
    </w:rPr>
  </w:style>
  <w:style w:type="character" w:customStyle="1" w:styleId="23">
    <w:name w:val="标题 2 字符"/>
    <w:basedOn w:val="17"/>
    <w:link w:val="3"/>
    <w:qFormat/>
    <w:uiPriority w:val="99"/>
    <w:rPr>
      <w:rFonts w:cstheme="majorBidi"/>
      <w:b/>
      <w:bCs/>
      <w:kern w:val="2"/>
      <w:sz w:val="28"/>
      <w:szCs w:val="32"/>
    </w:rPr>
  </w:style>
  <w:style w:type="character" w:customStyle="1" w:styleId="24">
    <w:name w:val="页脚 字符"/>
    <w:basedOn w:val="17"/>
    <w:link w:val="9"/>
    <w:qFormat/>
    <w:uiPriority w:val="99"/>
    <w:rPr>
      <w:rFonts w:asciiTheme="minorHAnsi" w:hAnsiTheme="minorHAnsi" w:eastAsiaTheme="minorEastAsia" w:cstheme="minorBidi"/>
      <w:kern w:val="2"/>
      <w:sz w:val="18"/>
      <w:szCs w:val="24"/>
    </w:rPr>
  </w:style>
  <w:style w:type="character" w:customStyle="1" w:styleId="25">
    <w:name w:val="页眉 字符"/>
    <w:basedOn w:val="17"/>
    <w:link w:val="10"/>
    <w:qFormat/>
    <w:uiPriority w:val="99"/>
    <w:rPr>
      <w:rFonts w:asciiTheme="minorHAnsi" w:hAnsiTheme="minorHAnsi" w:eastAsiaTheme="minorEastAsia" w:cstheme="minorBidi"/>
      <w:kern w:val="2"/>
      <w:sz w:val="18"/>
      <w:szCs w:val="24"/>
    </w:rPr>
  </w:style>
  <w:style w:type="paragraph" w:customStyle="1" w:styleId="26">
    <w:name w:val="p0"/>
    <w:basedOn w:val="1"/>
    <w:qFormat/>
    <w:uiPriority w:val="0"/>
    <w:pPr>
      <w:widowControl/>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9.png"/><Relationship Id="rId3" Type="http://schemas.openxmlformats.org/officeDocument/2006/relationships/footer" Target="footer1.xml"/><Relationship Id="rId29" Type="http://schemas.openxmlformats.org/officeDocument/2006/relationships/image" Target="media/image8.wmf"/><Relationship Id="rId28" Type="http://schemas.openxmlformats.org/officeDocument/2006/relationships/oleObject" Target="embeddings/oleObject6.bin"/><Relationship Id="rId27" Type="http://schemas.openxmlformats.org/officeDocument/2006/relationships/image" Target="media/image7.wmf"/><Relationship Id="rId26" Type="http://schemas.openxmlformats.org/officeDocument/2006/relationships/oleObject" Target="embeddings/oleObject5.bin"/><Relationship Id="rId25" Type="http://schemas.openxmlformats.org/officeDocument/2006/relationships/image" Target="media/image6.wmf"/><Relationship Id="rId24" Type="http://schemas.openxmlformats.org/officeDocument/2006/relationships/oleObject" Target="embeddings/oleObject4.bin"/><Relationship Id="rId23" Type="http://schemas.openxmlformats.org/officeDocument/2006/relationships/image" Target="media/image5.wmf"/><Relationship Id="rId22" Type="http://schemas.openxmlformats.org/officeDocument/2006/relationships/oleObject" Target="embeddings/oleObject3.bin"/><Relationship Id="rId21" Type="http://schemas.openxmlformats.org/officeDocument/2006/relationships/image" Target="media/image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3.wmf"/><Relationship Id="rId18" Type="http://schemas.openxmlformats.org/officeDocument/2006/relationships/oleObject" Target="embeddings/oleObject1.bin"/><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F9CA8-106C-4A57-AE4D-343086570D2F}">
  <ds:schemaRefs/>
</ds:datastoreItem>
</file>

<file path=docProps/app.xml><?xml version="1.0" encoding="utf-8"?>
<Properties xmlns="http://schemas.openxmlformats.org/officeDocument/2006/extended-properties" xmlns:vt="http://schemas.openxmlformats.org/officeDocument/2006/docPropsVTypes">
  <Template>Normal</Template>
  <Pages>30</Pages>
  <Words>3919</Words>
  <Characters>22339</Characters>
  <Lines>186</Lines>
  <Paragraphs>52</Paragraphs>
  <TotalTime>0</TotalTime>
  <ScaleCrop>false</ScaleCrop>
  <LinksUpToDate>false</LinksUpToDate>
  <CharactersWithSpaces>26206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2021-03-14T06:30:00Z</dcterms:created>
  <dc:creator>云大 晟~</dc:creator>
  <cp:lastModifiedBy>云大 晟~</cp:lastModifiedBy>
  <dcterms:modified xsi:type="dcterms:W3CDTF">2021-05-24T03:19:07Z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7ECAEFB46F1045F7BFD1F42DFA35DB1E</vt:lpwstr>
  </property>
</Properties>
</file>