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0687360"/>
      <w:bookmarkStart w:id="5" w:name="_Toc490687907"/>
      <w:bookmarkStart w:id="6" w:name="_Toc499584858"/>
      <w:commentRangeStart w:id="7"/>
      <w:r w:rsidRPr="00F431B8">
        <w:rPr>
          <w:color w:val="FFFFFF" w:themeColor="background1"/>
        </w:rPr>
        <w:t>Обложка</w:t>
      </w:r>
      <w:bookmarkEnd w:id="0"/>
      <w:commentRangeEnd w:id="7"/>
      <w:r w:rsidR="00924DF8">
        <w:rPr>
          <w:rStyle w:val="ab"/>
          <w:rFonts w:eastAsiaTheme="minorHAnsi" w:cstheme="minorBidi"/>
          <w:b w:val="0"/>
        </w:rPr>
        <w:commentReference w:id="7"/>
      </w:r>
      <w:bookmarkEnd w:id="1"/>
      <w:bookmarkEnd w:id="2"/>
      <w:bookmarkEnd w:id="3"/>
      <w:bookmarkEnd w:id="4"/>
      <w:bookmarkEnd w:id="5"/>
      <w:bookmarkEnd w:id="6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226647C8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3339F685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Система </w:t>
                            </w:r>
                            <w:r w:rsidR="006C525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газоснабжения</w:t>
                            </w:r>
                          </w:p>
                          <w:p w14:paraId="2652EE91" w14:textId="4B5BFAFC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ИОС.6</w:t>
                            </w:r>
                          </w:p>
                          <w:p w14:paraId="5696FC47" w14:textId="5BDD6F2C" w:rsidR="00D10BB2" w:rsidRPr="00B04AD7" w:rsidRDefault="00D7059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226647C8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3339F685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Система </w:t>
                      </w:r>
                      <w:r w:rsidR="006C525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газоснабжения</w:t>
                      </w:r>
                    </w:p>
                    <w:p w14:paraId="2652EE91" w14:textId="4B5BFAFC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ИОС.6</w:t>
                      </w:r>
                    </w:p>
                    <w:p w14:paraId="5696FC47" w14:textId="5BDD6F2C" w:rsidR="00D10BB2" w:rsidRPr="00B04AD7" w:rsidRDefault="00D7059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8" w:name="_Toc490396789"/>
    <w:bookmarkStart w:id="9" w:name="_Toc490408873"/>
    <w:bookmarkStart w:id="10" w:name="_Toc490597383"/>
    <w:bookmarkStart w:id="11" w:name="_Toc490686884"/>
    <w:bookmarkStart w:id="12" w:name="_Toc490687361"/>
    <w:bookmarkStart w:id="13" w:name="_Toc490687908"/>
    <w:bookmarkStart w:id="14" w:name="_Toc490316139"/>
    <w:bookmarkStart w:id="15" w:name="_Toc472159313"/>
    <w:bookmarkStart w:id="16" w:name="_Toc499584859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8"/>
      <w:bookmarkEnd w:id="9"/>
      <w:bookmarkEnd w:id="10"/>
      <w:bookmarkEnd w:id="11"/>
      <w:bookmarkEnd w:id="12"/>
      <w:bookmarkEnd w:id="13"/>
      <w:bookmarkEnd w:id="16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63B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35A1AFEC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3CA39E1E" w14:textId="024907B0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Система газоснабжения</w:t>
                            </w:r>
                          </w:p>
                          <w:p w14:paraId="6BF5C554" w14:textId="0FE0D1BC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ИОС.6</w:t>
                            </w:r>
                          </w:p>
                          <w:p w14:paraId="4EA01EF3" w14:textId="6CBB3074" w:rsidR="00662248" w:rsidRPr="00B04AD7" w:rsidRDefault="00D70593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35A1AFEC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6" w:name="_GoBack"/>
                      <w:bookmarkEnd w:id="16"/>
                    </w:p>
                    <w:p w14:paraId="3CA39E1E" w14:textId="024907B0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Система газоснабжения</w:t>
                      </w:r>
                    </w:p>
                    <w:p w14:paraId="6BF5C554" w14:textId="0FE0D1BC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ИОС.6</w:t>
                      </w:r>
                    </w:p>
                    <w:p w14:paraId="4EA01EF3" w14:textId="6CBB3074" w:rsidR="00662248" w:rsidRPr="00B04AD7" w:rsidRDefault="00D70593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7" w:name="С"/>
      <w:bookmarkStart w:id="18" w:name="_Toc490396790"/>
      <w:bookmarkStart w:id="19" w:name="_Toc490408874"/>
      <w:bookmarkStart w:id="20" w:name="_Toc490597384"/>
      <w:bookmarkStart w:id="21" w:name="_Toc490686885"/>
      <w:bookmarkStart w:id="22" w:name="_Toc490687362"/>
      <w:bookmarkStart w:id="23" w:name="_Toc490687909"/>
      <w:bookmarkStart w:id="24" w:name="_Toc499584860"/>
      <w:bookmarkEnd w:id="17"/>
      <w:r>
        <w:lastRenderedPageBreak/>
        <w:t>Содержание тома</w:t>
      </w:r>
      <w:bookmarkEnd w:id="14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655F2D1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5"/>
            <w:r w:rsidR="007870F8">
              <w:rPr>
                <w:rStyle w:val="ab"/>
                <w:rFonts w:eastAsiaTheme="minorHAnsi" w:cstheme="minorBidi"/>
              </w:rPr>
              <w:commentReference w:id="25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F6EBF9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6EA4506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62FE35A1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0593">
              <w:t>ИОС.6.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BE79EA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E8583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6" w:name="СП"/>
      <w:bookmarkStart w:id="27" w:name="_Toc490316140"/>
      <w:bookmarkStart w:id="28" w:name="_Toc490396791"/>
      <w:bookmarkStart w:id="29" w:name="_Toc490408875"/>
      <w:bookmarkStart w:id="30" w:name="_Toc490597385"/>
      <w:bookmarkStart w:id="31" w:name="_Toc490686886"/>
      <w:bookmarkStart w:id="32" w:name="_Toc490687363"/>
      <w:bookmarkStart w:id="33" w:name="_Toc490687910"/>
      <w:bookmarkStart w:id="34" w:name="_Toc499584861"/>
      <w:bookmarkEnd w:id="26"/>
      <w:r>
        <w:lastRenderedPageBreak/>
        <w:t>Состав проектной документации</w:t>
      </w:r>
      <w:bookmarkEnd w:id="15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szCs w:val="20"/>
                <w:lang w:eastAsia="ru-RU"/>
              </w:rPr>
              <w:t>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B3C3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B3C34">
              <w:rPr>
                <w:rFonts w:eastAsia="Times New Roman" w:cs="Times New Roman"/>
                <w:szCs w:val="20"/>
                <w:lang w:eastAsia="ru-RU"/>
              </w:rPr>
              <w:t>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CB3C3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6DC42F45" w:rsidR="00F93792" w:rsidRPr="00CB3C34" w:rsidRDefault="00CB3C3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059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0593">
              <w:rPr>
                <w:rFonts w:eastAsia="Times New Roman" w:cs="Times New Roman"/>
                <w:szCs w:val="20"/>
                <w:lang w:eastAsia="ru-RU"/>
              </w:rPr>
              <w:t>&gt;-ИОС.5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D70593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427DD2C8" w:rsidR="00F93792" w:rsidRPr="00D70593" w:rsidRDefault="00D70593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&gt;-ИОС.6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D70593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1F7D3D41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35" w:name="ТЧ"/>
      <w:bookmarkStart w:id="36" w:name="_Toc499584862"/>
      <w:bookmarkEnd w:id="35"/>
      <w:commentRangeStart w:id="37"/>
      <w:r>
        <w:lastRenderedPageBreak/>
        <w:t>Содержание</w:t>
      </w:r>
      <w:commentRangeEnd w:id="37"/>
      <w:r w:rsidR="00D72040">
        <w:rPr>
          <w:rStyle w:val="ab"/>
          <w:rFonts w:eastAsiaTheme="minorHAnsi" w:cstheme="minorBidi"/>
          <w:b w:val="0"/>
        </w:rPr>
        <w:commentReference w:id="37"/>
      </w:r>
      <w:bookmarkEnd w:id="36"/>
    </w:p>
    <w:p w14:paraId="2E822A21" w14:textId="53900523" w:rsidR="00D97B61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4862" w:history="1">
        <w:r w:rsidR="00D97B61" w:rsidRPr="00FC1BF8">
          <w:rPr>
            <w:rStyle w:val="aa"/>
            <w:noProof/>
          </w:rPr>
          <w:t>Содержание</w:t>
        </w:r>
        <w:r w:rsidR="00D97B61">
          <w:rPr>
            <w:noProof/>
            <w:webHidden/>
          </w:rPr>
          <w:tab/>
        </w:r>
        <w:r w:rsidR="00D97B61">
          <w:rPr>
            <w:noProof/>
            <w:webHidden/>
          </w:rPr>
          <w:fldChar w:fldCharType="begin"/>
        </w:r>
        <w:r w:rsidR="00D97B61">
          <w:rPr>
            <w:noProof/>
            <w:webHidden/>
          </w:rPr>
          <w:instrText xml:space="preserve"> PAGEREF _Toc499584862 \h </w:instrText>
        </w:r>
        <w:r w:rsidR="00D97B61">
          <w:rPr>
            <w:noProof/>
            <w:webHidden/>
          </w:rPr>
        </w:r>
        <w:r w:rsidR="00D97B61">
          <w:rPr>
            <w:noProof/>
            <w:webHidden/>
          </w:rPr>
          <w:fldChar w:fldCharType="separate"/>
        </w:r>
        <w:r w:rsidR="00D97B61">
          <w:rPr>
            <w:noProof/>
            <w:webHidden/>
          </w:rPr>
          <w:t>5</w:t>
        </w:r>
        <w:r w:rsidR="00D97B61">
          <w:rPr>
            <w:noProof/>
            <w:webHidden/>
          </w:rPr>
          <w:fldChar w:fldCharType="end"/>
        </w:r>
      </w:hyperlink>
    </w:p>
    <w:bookmarkStart w:id="38" w:name="_GoBack"/>
    <w:bookmarkEnd w:id="38"/>
    <w:p w14:paraId="0331C6C9" w14:textId="57F9413B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FC1BF8">
        <w:rPr>
          <w:rStyle w:val="aa"/>
          <w:noProof/>
        </w:rPr>
        <w:fldChar w:fldCharType="begin"/>
      </w:r>
      <w:r w:rsidRPr="00FC1BF8">
        <w:rPr>
          <w:rStyle w:val="aa"/>
          <w:noProof/>
        </w:rPr>
        <w:instrText xml:space="preserve"> </w:instrText>
      </w:r>
      <w:r>
        <w:rPr>
          <w:noProof/>
        </w:rPr>
        <w:instrText>HYPERLINK \l "_Toc499584864"</w:instrText>
      </w:r>
      <w:r w:rsidRPr="00FC1BF8">
        <w:rPr>
          <w:rStyle w:val="aa"/>
          <w:noProof/>
        </w:rPr>
        <w:instrText xml:space="preserve"> </w:instrText>
      </w:r>
      <w:r w:rsidRPr="00FC1BF8">
        <w:rPr>
          <w:rStyle w:val="aa"/>
          <w:noProof/>
        </w:rPr>
      </w:r>
      <w:r w:rsidRPr="00FC1BF8">
        <w:rPr>
          <w:rStyle w:val="aa"/>
          <w:noProof/>
        </w:rPr>
        <w:fldChar w:fldCharType="separate"/>
      </w:r>
      <w:r w:rsidRPr="00FC1BF8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FC1BF8">
        <w:rPr>
          <w:rStyle w:val="aa"/>
          <w:noProof/>
        </w:rPr>
        <w:t>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_Toc499584864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FC1BF8">
        <w:rPr>
          <w:rStyle w:val="aa"/>
          <w:noProof/>
        </w:rPr>
        <w:fldChar w:fldCharType="end"/>
      </w:r>
    </w:p>
    <w:p w14:paraId="27A3B6E8" w14:textId="15DF4C27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5" w:history="1">
        <w:r w:rsidRPr="00FC1BF8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Характеристика источника газоснабжения в соответствии с техническими условиями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CAA5D" w14:textId="5FB40735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6" w:history="1">
        <w:r w:rsidRPr="00FC1BF8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Сведения о типе и количестве установок, потребляющих топливо,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109896" w14:textId="72DB5A32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7" w:history="1">
        <w:r w:rsidRPr="00FC1BF8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Расчетные (проектные) данные о потребности объекта капитального строительства в газе - для объектов непроизводственного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BA946D" w14:textId="10391FCF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8" w:history="1">
        <w:r w:rsidRPr="00FC1BF8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DCDC96" w14:textId="3B9F8644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69" w:history="1">
        <w:r w:rsidRPr="00FC1BF8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Описание и обоснование применяемых систем автоматического регулирования и контроля тепловых процессов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0728CE" w14:textId="7853B9D9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0" w:history="1">
        <w:r w:rsidRPr="00FC1BF8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B53729" w14:textId="27267742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1" w:history="1">
        <w:r w:rsidRPr="00FC1BF8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Описание мест расположения приборов учета используемого газа и устройств сбора и передачи данных от таких приборов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11EEF3" w14:textId="77D2E58E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2" w:history="1">
        <w:r w:rsidRPr="00FC1BF8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Описание способов контроля температуры и состава продуктов сгорания газа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088598" w14:textId="5E4E84C5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3" w:history="1">
        <w:r w:rsidRPr="00FC1BF8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F9DD3A" w14:textId="309A0E7D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4" w:history="1">
        <w:r w:rsidRPr="00FC1BF8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Перечень сооружений резервного топливного хозяйства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A8DF13" w14:textId="1C1A78C6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5" w:history="1">
        <w:r w:rsidRPr="00FC1BF8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Обоснование выбора маршрута прохождения газопровода и границ охранной зоны присоединяемого газопровода, а также сооружений на нем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82B00C" w14:textId="5B5516E2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6" w:history="1">
        <w:r w:rsidRPr="00FC1BF8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Обоснование технических решений устройства электрохимической защиты стального газопровода от коррозии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A89587" w14:textId="1FB7BB95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7" w:history="1">
        <w:r w:rsidRPr="00FC1BF8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Сведения о средствах телемеханизации газораспределительных сетей, объектов их энергоснабжения и электропривода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7D155C" w14:textId="16FF676D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8" w:history="1">
        <w:r w:rsidRPr="00FC1BF8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968E6" w14:textId="38F4DBDA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79" w:history="1">
        <w:r w:rsidRPr="00FC1BF8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2A30C6" w14:textId="20BAAA83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80" w:history="1">
        <w:r w:rsidRPr="00FC1BF8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газоснабжения, позволяющих исключить нерациональный расход газа, если такие требования предусмотрены в задании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9DE117" w14:textId="2FE679F1" w:rsidR="00D97B61" w:rsidRDefault="00D97B6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881" w:history="1">
        <w:r w:rsidRPr="00FC1BF8">
          <w:rPr>
            <w:rStyle w:val="aa"/>
            <w:noProof/>
          </w:rPr>
          <w:t>18.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C1BF8">
          <w:rPr>
            <w:rStyle w:val="aa"/>
            <w:noProof/>
          </w:rPr>
          <w:t>Обоснование выбора конструктивных и инженерно-технических решений, используемых в системе газоснабжения,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F246E4" w14:textId="0BBE16A1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05567A73" w:rsidR="00BD7051" w:rsidRDefault="00BD7051" w:rsidP="002309F9">
      <w:pPr>
        <w:pStyle w:val="1"/>
      </w:pPr>
      <w:bookmarkStart w:id="39" w:name="_Toc490316142"/>
      <w:bookmarkStart w:id="40" w:name="_Toc490396793"/>
      <w:bookmarkStart w:id="41" w:name="_Toc490408877"/>
      <w:bookmarkStart w:id="42" w:name="_Toc490597387"/>
      <w:bookmarkStart w:id="43" w:name="_Toc490686888"/>
      <w:bookmarkStart w:id="44" w:name="_Toc490687365"/>
      <w:bookmarkStart w:id="45" w:name="_Toc490687912"/>
      <w:bookmarkStart w:id="46" w:name="_Toc499584863"/>
      <w:r w:rsidRPr="00B04AD7">
        <w:lastRenderedPageBreak/>
        <w:t>Текстовая часть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6B23E26" w14:textId="7B9C6756" w:rsidR="00D70593" w:rsidRDefault="00D70593" w:rsidP="00D70593">
      <w:pPr>
        <w:pStyle w:val="2"/>
      </w:pPr>
      <w:bookmarkStart w:id="47" w:name="_Toc499584864"/>
      <w:r>
        <w:t>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</w:t>
      </w:r>
      <w:bookmarkEnd w:id="47"/>
    </w:p>
    <w:p w14:paraId="3A353831" w14:textId="55E15344" w:rsidR="00D70593" w:rsidRDefault="00D70593" w:rsidP="00D70593">
      <w:pPr>
        <w:pStyle w:val="Mp"/>
      </w:pPr>
      <w:r>
        <w:t>Текст</w:t>
      </w:r>
    </w:p>
    <w:p w14:paraId="5F0718D6" w14:textId="4CDA4F84" w:rsidR="00D70593" w:rsidRDefault="00D70593" w:rsidP="00D70593">
      <w:pPr>
        <w:pStyle w:val="2"/>
      </w:pPr>
      <w:bookmarkStart w:id="48" w:name="_Toc499584865"/>
      <w:r>
        <w:t>Характеристика источника газоснабжения в соответствии с техническими условиями</w:t>
      </w:r>
      <w:bookmarkEnd w:id="48"/>
    </w:p>
    <w:p w14:paraId="6E295A7C" w14:textId="1C29E80A" w:rsidR="00D70593" w:rsidRDefault="00D70593" w:rsidP="00D70593">
      <w:pPr>
        <w:pStyle w:val="Mp"/>
      </w:pPr>
      <w:r>
        <w:t>Текст</w:t>
      </w:r>
    </w:p>
    <w:p w14:paraId="2E50AC33" w14:textId="69B16D97" w:rsidR="00D70593" w:rsidRDefault="00D70593" w:rsidP="00D70593">
      <w:pPr>
        <w:pStyle w:val="2"/>
      </w:pPr>
      <w:bookmarkStart w:id="49" w:name="_Toc499584866"/>
      <w:r>
        <w:t>Сведения о типе и количестве установок, потребляющих топливо, - для объектов производственного назначения</w:t>
      </w:r>
      <w:bookmarkEnd w:id="49"/>
    </w:p>
    <w:p w14:paraId="56C62C58" w14:textId="182EA1CE" w:rsidR="00D70593" w:rsidRDefault="00D70593" w:rsidP="00D70593">
      <w:pPr>
        <w:pStyle w:val="Mp"/>
      </w:pPr>
      <w:r>
        <w:t>Текст</w:t>
      </w:r>
    </w:p>
    <w:p w14:paraId="67EAEDED" w14:textId="5313066A" w:rsidR="00D70593" w:rsidRDefault="00D70593" w:rsidP="00D70593">
      <w:pPr>
        <w:pStyle w:val="2"/>
      </w:pPr>
      <w:bookmarkStart w:id="50" w:name="_Toc499584867"/>
      <w:r>
        <w:t>Расчетные (проектные) данные о потребности объекта капитального строительства в газе - для объектов непроизводственного назначения</w:t>
      </w:r>
      <w:bookmarkEnd w:id="50"/>
    </w:p>
    <w:p w14:paraId="1BE9EBA0" w14:textId="630B1620" w:rsidR="00D70593" w:rsidRDefault="00D70593" w:rsidP="00D70593">
      <w:pPr>
        <w:pStyle w:val="Mp"/>
      </w:pPr>
      <w:r>
        <w:t>Текст</w:t>
      </w:r>
    </w:p>
    <w:p w14:paraId="08A3DCD5" w14:textId="480BFC2E" w:rsidR="00D70593" w:rsidRDefault="00D70593" w:rsidP="00D70593">
      <w:pPr>
        <w:pStyle w:val="2"/>
      </w:pPr>
      <w:bookmarkStart w:id="51" w:name="_Toc499584868"/>
      <w:r>
        <w:t>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</w:t>
      </w:r>
      <w:bookmarkEnd w:id="51"/>
    </w:p>
    <w:p w14:paraId="0ED6411D" w14:textId="17C3033E" w:rsidR="00D70593" w:rsidRDefault="00D70593" w:rsidP="00D70593">
      <w:pPr>
        <w:pStyle w:val="Mp"/>
      </w:pPr>
      <w:r>
        <w:t>Текст</w:t>
      </w:r>
    </w:p>
    <w:p w14:paraId="115B8DC8" w14:textId="2D02B8DC" w:rsidR="00D70593" w:rsidRDefault="00D70593" w:rsidP="00D70593">
      <w:pPr>
        <w:pStyle w:val="2"/>
      </w:pPr>
      <w:bookmarkStart w:id="52" w:name="_Toc499584869"/>
      <w:r>
        <w:t>Описание и обоснование применяемых систем автоматического регулирования и контроля тепловых процессов - для объектов производственного назначения</w:t>
      </w:r>
      <w:bookmarkEnd w:id="52"/>
    </w:p>
    <w:p w14:paraId="5C7AA21E" w14:textId="2224B933" w:rsidR="00D70593" w:rsidRDefault="00D70593" w:rsidP="00D70593">
      <w:pPr>
        <w:pStyle w:val="Mp"/>
      </w:pPr>
      <w:r>
        <w:t>Текст</w:t>
      </w:r>
    </w:p>
    <w:p w14:paraId="005AE031" w14:textId="3D5AF77F" w:rsidR="00D70593" w:rsidRDefault="00D70593" w:rsidP="00D70593">
      <w:pPr>
        <w:pStyle w:val="2"/>
      </w:pPr>
      <w:bookmarkStart w:id="53" w:name="_Toc499584870"/>
      <w:r>
        <w:t>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</w:t>
      </w:r>
      <w:bookmarkEnd w:id="53"/>
    </w:p>
    <w:p w14:paraId="65D586CC" w14:textId="6FC1420A" w:rsidR="00D70593" w:rsidRDefault="00D70593" w:rsidP="00D70593">
      <w:pPr>
        <w:pStyle w:val="Mp"/>
      </w:pPr>
      <w:r>
        <w:t>Текст</w:t>
      </w:r>
    </w:p>
    <w:p w14:paraId="640F6E12" w14:textId="657C9E57" w:rsidR="00D97B61" w:rsidRDefault="00D97B61" w:rsidP="00D97B61">
      <w:pPr>
        <w:pStyle w:val="2"/>
      </w:pPr>
      <w:bookmarkStart w:id="54" w:name="_Toc499584871"/>
      <w:r>
        <w:t>О</w:t>
      </w:r>
      <w:r w:rsidRPr="00D97B61">
        <w:t>писание мест расположения приборов учета используемого газа и устройств сбора и передачи данных от таких приборов</w:t>
      </w:r>
      <w:bookmarkEnd w:id="54"/>
    </w:p>
    <w:p w14:paraId="0793D7BA" w14:textId="62E4FA2E" w:rsidR="00D97B61" w:rsidRDefault="00D97B61" w:rsidP="00D70593">
      <w:pPr>
        <w:pStyle w:val="Mp"/>
      </w:pPr>
      <w:r>
        <w:t>Текст</w:t>
      </w:r>
    </w:p>
    <w:p w14:paraId="3957638F" w14:textId="127466C2" w:rsidR="00D70593" w:rsidRDefault="00D70593" w:rsidP="00D70593">
      <w:pPr>
        <w:pStyle w:val="2"/>
      </w:pPr>
      <w:bookmarkStart w:id="55" w:name="_Toc499584872"/>
      <w:r>
        <w:t>Описание способов контроля температуры и состава продуктов сгорания газа - для объектов производственного назначения</w:t>
      </w:r>
      <w:bookmarkEnd w:id="55"/>
    </w:p>
    <w:p w14:paraId="1696D71A" w14:textId="5755444B" w:rsidR="00D70593" w:rsidRDefault="00D70593" w:rsidP="00D70593">
      <w:pPr>
        <w:pStyle w:val="Mp"/>
      </w:pPr>
      <w:r>
        <w:t>Текст</w:t>
      </w:r>
    </w:p>
    <w:p w14:paraId="689341C9" w14:textId="6E703DB2" w:rsidR="00D70593" w:rsidRDefault="00D70593" w:rsidP="00D70593">
      <w:pPr>
        <w:pStyle w:val="2"/>
      </w:pPr>
      <w:bookmarkStart w:id="56" w:name="_Toc499584873"/>
      <w:r>
        <w:lastRenderedPageBreak/>
        <w:t>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</w:t>
      </w:r>
      <w:bookmarkEnd w:id="56"/>
    </w:p>
    <w:p w14:paraId="62FBBB6A" w14:textId="1A1C5F68" w:rsidR="00D70593" w:rsidRDefault="00D70593" w:rsidP="00D70593">
      <w:pPr>
        <w:pStyle w:val="Mp"/>
      </w:pPr>
      <w:r>
        <w:t>Текст</w:t>
      </w:r>
    </w:p>
    <w:p w14:paraId="744FA644" w14:textId="6585DEF1" w:rsidR="00D70593" w:rsidRDefault="00D70593" w:rsidP="00D70593">
      <w:pPr>
        <w:pStyle w:val="2"/>
      </w:pPr>
      <w:bookmarkStart w:id="57" w:name="_Toc499584874"/>
      <w:r>
        <w:t>Перечень сооружений резервного топливного хозяйства - для объектов производственного назначения</w:t>
      </w:r>
      <w:bookmarkEnd w:id="57"/>
    </w:p>
    <w:p w14:paraId="5BC6B9A3" w14:textId="72C4005E" w:rsidR="00D70593" w:rsidRDefault="00D70593" w:rsidP="00D70593">
      <w:pPr>
        <w:pStyle w:val="Mp"/>
      </w:pPr>
      <w:r>
        <w:t>Текст</w:t>
      </w:r>
    </w:p>
    <w:p w14:paraId="2EAA6E46" w14:textId="7A807D76" w:rsidR="00D70593" w:rsidRDefault="00D70593" w:rsidP="00D70593">
      <w:pPr>
        <w:pStyle w:val="2"/>
      </w:pPr>
      <w:bookmarkStart w:id="58" w:name="_Toc499584875"/>
      <w:r>
        <w:t>Обоснование выбора маршрута прохождения газопровода и границ охранной зоны присоединяемого газопровода, а также сооружений на нем</w:t>
      </w:r>
      <w:bookmarkEnd w:id="58"/>
    </w:p>
    <w:p w14:paraId="2E5A20D6" w14:textId="288AF3D2" w:rsidR="00D70593" w:rsidRDefault="00D70593" w:rsidP="00D70593">
      <w:pPr>
        <w:pStyle w:val="Mp"/>
      </w:pPr>
      <w:r>
        <w:t>Текст</w:t>
      </w:r>
    </w:p>
    <w:p w14:paraId="5B5538BD" w14:textId="0B8028C4" w:rsidR="00D70593" w:rsidRDefault="00D70593" w:rsidP="00D70593">
      <w:pPr>
        <w:pStyle w:val="2"/>
      </w:pPr>
      <w:bookmarkStart w:id="59" w:name="_Toc499584876"/>
      <w:r>
        <w:t>Обоснование технических решений устройства электрохимической защиты стального газопровода от коррозии</w:t>
      </w:r>
      <w:bookmarkEnd w:id="59"/>
    </w:p>
    <w:p w14:paraId="4EA8A64B" w14:textId="33EAFABD" w:rsidR="00D70593" w:rsidRDefault="00D70593" w:rsidP="00D70593">
      <w:pPr>
        <w:pStyle w:val="Mp"/>
      </w:pPr>
      <w:r>
        <w:t>Текст</w:t>
      </w:r>
    </w:p>
    <w:p w14:paraId="6F6E852C" w14:textId="51650843" w:rsidR="00D70593" w:rsidRDefault="00D70593" w:rsidP="00D70593">
      <w:pPr>
        <w:pStyle w:val="2"/>
      </w:pPr>
      <w:bookmarkStart w:id="60" w:name="_Toc499584877"/>
      <w:r>
        <w:t>Сведения о средствах телемеханизации газораспределительных сетей, объектов их энергоснабжения и электропривода</w:t>
      </w:r>
      <w:bookmarkEnd w:id="60"/>
    </w:p>
    <w:p w14:paraId="2BFACE5A" w14:textId="6CF46BE7" w:rsidR="00D70593" w:rsidRDefault="00D70593" w:rsidP="00D70593">
      <w:pPr>
        <w:pStyle w:val="Mp"/>
      </w:pPr>
      <w:r>
        <w:t>Текст</w:t>
      </w:r>
    </w:p>
    <w:p w14:paraId="7DF7D301" w14:textId="78EFA412" w:rsidR="00D70593" w:rsidRDefault="00D70593" w:rsidP="00D70593">
      <w:pPr>
        <w:pStyle w:val="2"/>
      </w:pPr>
      <w:bookmarkStart w:id="61" w:name="_Toc499584878"/>
      <w:r>
        <w:t>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</w:t>
      </w:r>
      <w:bookmarkEnd w:id="61"/>
    </w:p>
    <w:p w14:paraId="1C762DDE" w14:textId="5D05D159" w:rsidR="00D70593" w:rsidRDefault="00D70593" w:rsidP="00D70593">
      <w:pPr>
        <w:pStyle w:val="Mp"/>
      </w:pPr>
      <w:r>
        <w:t>Текст</w:t>
      </w:r>
    </w:p>
    <w:p w14:paraId="61A43C4E" w14:textId="57D421E3" w:rsidR="00D70593" w:rsidRDefault="00D70593" w:rsidP="00D70593">
      <w:pPr>
        <w:pStyle w:val="2"/>
      </w:pPr>
      <w:bookmarkStart w:id="62" w:name="_Toc499584879"/>
      <w:r>
        <w:t>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</w:t>
      </w:r>
      <w:bookmarkEnd w:id="62"/>
    </w:p>
    <w:p w14:paraId="0024D936" w14:textId="1218D52F" w:rsidR="00D70593" w:rsidRDefault="00D70593" w:rsidP="00D70593">
      <w:pPr>
        <w:pStyle w:val="Mp"/>
      </w:pPr>
      <w:r>
        <w:t>Текст</w:t>
      </w:r>
    </w:p>
    <w:p w14:paraId="5DB738CD" w14:textId="30ACE8F8" w:rsidR="00D97B61" w:rsidRDefault="00D97B61" w:rsidP="00D97B61">
      <w:pPr>
        <w:pStyle w:val="2"/>
      </w:pPr>
      <w:bookmarkStart w:id="63" w:name="_Toc499584880"/>
      <w:r>
        <w:t>П</w:t>
      </w:r>
      <w:r w:rsidRPr="00D97B61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газоснабжения, позволяющих исключить нерациональный расход газа, если такие требования предусмотрены в задании на проектирование</w:t>
      </w:r>
      <w:bookmarkEnd w:id="63"/>
    </w:p>
    <w:p w14:paraId="73884DC2" w14:textId="617DA304" w:rsidR="00D97B61" w:rsidRDefault="00D97B61" w:rsidP="00D70593">
      <w:pPr>
        <w:pStyle w:val="Mp"/>
      </w:pPr>
      <w:r>
        <w:t>Текст</w:t>
      </w:r>
    </w:p>
    <w:p w14:paraId="6E051C89" w14:textId="77777777" w:rsidR="00D97B61" w:rsidRDefault="00D97B61" w:rsidP="00D97B61">
      <w:pPr>
        <w:pStyle w:val="2"/>
      </w:pPr>
      <w:bookmarkStart w:id="64" w:name="_Toc499584881"/>
      <w:r>
        <w:lastRenderedPageBreak/>
        <w:t>О</w:t>
      </w:r>
      <w:r w:rsidRPr="00D97B61">
        <w:t>боснование выбора конструктивных и инженерно-технических решений, используемых в системе газоснабжения,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64"/>
    </w:p>
    <w:p w14:paraId="2BE3C3C5" w14:textId="780E21B6" w:rsidR="00D97B61" w:rsidRPr="00D70593" w:rsidRDefault="00D97B61" w:rsidP="00D70593">
      <w:pPr>
        <w:pStyle w:val="Mp"/>
      </w:pPr>
      <w:r>
        <w:t>З</w:t>
      </w:r>
      <w:r w:rsidRPr="00D97B61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</w:t>
      </w:r>
      <w:r>
        <w:t>аспространяются</w:t>
      </w:r>
    </w:p>
    <w:sectPr w:rsidR="00D97B61" w:rsidRPr="00D70593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5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7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AFB8D" w14:textId="77777777" w:rsidR="00BE79EA" w:rsidRDefault="00BE79EA" w:rsidP="00A3571B">
      <w:pPr>
        <w:spacing w:after="0" w:line="240" w:lineRule="auto"/>
      </w:pPr>
      <w:r>
        <w:separator/>
      </w:r>
    </w:p>
  </w:endnote>
  <w:endnote w:type="continuationSeparator" w:id="0">
    <w:p w14:paraId="6F770DA8" w14:textId="77777777" w:rsidR="00BE79EA" w:rsidRDefault="00BE79EA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232802E4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6A843F4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0593">
            <w:rPr>
              <w:rFonts w:eastAsia="Times New Roman" w:cs="Times New Roman"/>
              <w:sz w:val="28"/>
              <w:szCs w:val="28"/>
            </w:rPr>
            <w:t>ИОС.6-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4E96253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5D6CA515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4D2119E1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781351E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0B867C1C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0593">
            <w:rPr>
              <w:rFonts w:eastAsia="Times New Roman" w:cs="Times New Roman"/>
              <w:sz w:val="28"/>
              <w:szCs w:val="28"/>
            </w:rPr>
            <w:t>ИОС.6-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11A01469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22A00AC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A3253B3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6761E861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4"/>
      <w:gridCol w:w="559"/>
      <w:gridCol w:w="3830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655675E0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0593">
            <w:rPr>
              <w:rFonts w:eastAsia="Times New Roman" w:cs="Times New Roman"/>
              <w:sz w:val="28"/>
              <w:szCs w:val="28"/>
            </w:rPr>
            <w:t>ИОС.6.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42FDE390" w:rsidR="00D10BB2" w:rsidRPr="00CB3C34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CB3C34">
            <w:rPr>
              <w:rFonts w:eastAsia="Times New Roman" w:cs="Times New Roman"/>
              <w:sz w:val="28"/>
              <w:szCs w:val="20"/>
            </w:rPr>
            <w:t xml:space="preserve">5. Подраздел </w:t>
          </w:r>
          <w:r w:rsidR="00D70593">
            <w:rPr>
              <w:rFonts w:eastAsia="Times New Roman" w:cs="Times New Roman"/>
              <w:sz w:val="28"/>
              <w:szCs w:val="20"/>
            </w:rPr>
            <w:t>6</w:t>
          </w:r>
          <w:r w:rsidRPr="00CB3C34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56987768" w:rsidR="00D10BB2" w:rsidRPr="004F2385" w:rsidRDefault="00D70593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Система газоснабжения</w:t>
          </w:r>
          <w:r w:rsidR="00D10BB2" w:rsidRPr="00CB3C34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206EB66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2827572C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97B61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4BFD3" w14:textId="77777777" w:rsidR="00BE79EA" w:rsidRDefault="00BE79EA" w:rsidP="00A3571B">
      <w:pPr>
        <w:spacing w:after="0" w:line="240" w:lineRule="auto"/>
      </w:pPr>
      <w:r>
        <w:separator/>
      </w:r>
    </w:p>
  </w:footnote>
  <w:footnote w:type="continuationSeparator" w:id="0">
    <w:p w14:paraId="26903E4F" w14:textId="77777777" w:rsidR="00BE79EA" w:rsidRDefault="00BE79EA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373DAB39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44C247C0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24A4C4EC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204A0783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26044413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97B6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103A26"/>
    <w:rsid w:val="00144767"/>
    <w:rsid w:val="00151BB3"/>
    <w:rsid w:val="00151D30"/>
    <w:rsid w:val="00166478"/>
    <w:rsid w:val="001712E7"/>
    <w:rsid w:val="00172B10"/>
    <w:rsid w:val="001B1B2F"/>
    <w:rsid w:val="001C4BC4"/>
    <w:rsid w:val="001D0182"/>
    <w:rsid w:val="001E24DC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0E0B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6C5255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052C1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BE79EA"/>
    <w:rsid w:val="00C04BB8"/>
    <w:rsid w:val="00C516D4"/>
    <w:rsid w:val="00C650F9"/>
    <w:rsid w:val="00C7290F"/>
    <w:rsid w:val="00CB3C34"/>
    <w:rsid w:val="00CB75CC"/>
    <w:rsid w:val="00CF0086"/>
    <w:rsid w:val="00D02BD0"/>
    <w:rsid w:val="00D1034F"/>
    <w:rsid w:val="00D10BB2"/>
    <w:rsid w:val="00D5695C"/>
    <w:rsid w:val="00D63272"/>
    <w:rsid w:val="00D70593"/>
    <w:rsid w:val="00D72040"/>
    <w:rsid w:val="00D73223"/>
    <w:rsid w:val="00D9738C"/>
    <w:rsid w:val="00D97B61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E96AEB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736E6-82D0-4FEB-8B30-A911BEE5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98</cp:revision>
  <cp:lastPrinted>2015-09-05T15:41:00Z</cp:lastPrinted>
  <dcterms:created xsi:type="dcterms:W3CDTF">2015-09-05T10:54:00Z</dcterms:created>
  <dcterms:modified xsi:type="dcterms:W3CDTF">2017-11-27T19:25:00Z</dcterms:modified>
</cp:coreProperties>
</file>