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0610E9" w:rsidRPr="000610E9" w:rsidRDefault="000610E9" w:rsidP="000610E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610E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:rsidR="000610E9" w:rsidRPr="000610E9" w:rsidRDefault="000610E9" w:rsidP="000610E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610E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Подраздел 4. Отопление, вентиляция и кондиционирование воздуха, тепловые сети</w:t>
                            </w:r>
                          </w:p>
                          <w:p w:rsidR="000610E9" w:rsidRPr="000610E9" w:rsidRDefault="000610E9" w:rsidP="000610E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610E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0610E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0610E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&gt;-ОВ</w:t>
                            </w:r>
                          </w:p>
                          <w:p w:rsidR="006B067D" w:rsidRPr="00370198" w:rsidRDefault="000610E9" w:rsidP="000610E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0610E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0610E9" w:rsidRPr="000610E9" w:rsidRDefault="000610E9" w:rsidP="000610E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0610E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:rsidR="000610E9" w:rsidRPr="000610E9" w:rsidRDefault="000610E9" w:rsidP="000610E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0610E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Подраздел 4. Отопление, вентиляция и кондиционирование воздуха, тепловые сети</w:t>
                      </w:r>
                    </w:p>
                    <w:p w:rsidR="000610E9" w:rsidRPr="000610E9" w:rsidRDefault="000610E9" w:rsidP="000610E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0610E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0610E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0610E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&gt;-ОВ</w:t>
                      </w:r>
                    </w:p>
                    <w:p w:rsidR="006B067D" w:rsidRPr="00370198" w:rsidRDefault="000610E9" w:rsidP="000610E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0610E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5.4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EFD1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а) сведения о климатических и метеорологических условиях района строительства, расчетных параметрах наружного воздуха;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б) сведения об источниках теплоснабжения, параметрах теплоносителей систем отопления и вентиляции;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в) описание и обоснование способов прокладки и конструктивных решений, включая решения в отношении диаметров и теплоизоляции труб теплотрассы от точки присоединения к сетям общего пользования до объекта капитального строительства;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г) перечень мер по защите трубопроводов от агрессивного воздействия грунтов и грунтовых вод;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д) обоснование принятых систем и принципиальных решений по отоплению, вентиляции и кондиционированию воздуха помещений;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е) сведения о тепловых нагрузках на отопление, вентиляцию, горячее водоснабжение на производственные и другие нужды;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ж) сведения о потребности в паре;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з) обоснование оптимальности размещения отопительного оборудования, характеристик материалов для изготовления воздуховодов;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и) обоснование рациональности трассировки воздуховодов вентиляционных систем - для объектов производственного назначения;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к) описание технических решений, обеспечивающих надежность работы систем в экстремальных условиях;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л) описание систем автоматизации и диспетчеризации процесса регулирования отопления, вентиляции и кондиционирования воздуха;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м) характеристика технологического оборудования, выделяющего вредные вещества - для объектов производственного назначения;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</w:p>
    <w:p w:rsidR="000610E9" w:rsidRPr="000610E9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н) обоснование выбранной системы очистки от газов и пыли - для объектов производственного назначения;</w:t>
      </w:r>
    </w:p>
    <w:p w:rsidR="000610E9" w:rsidRPr="000610E9" w:rsidRDefault="000610E9" w:rsidP="000610E9">
      <w:pPr>
        <w:pStyle w:val="Mp"/>
        <w:rPr>
          <w:u w:val="single"/>
        </w:rPr>
      </w:pPr>
    </w:p>
    <w:p w:rsidR="00D63272" w:rsidRDefault="000610E9" w:rsidP="000610E9">
      <w:pPr>
        <w:pStyle w:val="Mp"/>
        <w:rPr>
          <w:u w:val="single"/>
        </w:rPr>
      </w:pPr>
      <w:r w:rsidRPr="000610E9">
        <w:rPr>
          <w:u w:val="single"/>
        </w:rPr>
        <w:t>о) перечень мероприятий по обеспечению эффективности работы систем вентиляции в аварийной ситуации (при необходимости);</w:t>
      </w:r>
    </w:p>
    <w:p w:rsidR="00580B6B" w:rsidRPr="00580B6B" w:rsidRDefault="00580B6B" w:rsidP="000610E9">
      <w:pPr>
        <w:pStyle w:val="Mp"/>
      </w:pPr>
      <w:bookmarkStart w:id="0" w:name="_GoBack"/>
      <w:bookmarkEnd w:id="0"/>
    </w:p>
    <w:sectPr w:rsidR="00580B6B" w:rsidRPr="00580B6B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F32" w:rsidRDefault="00237F32" w:rsidP="00A3571B">
      <w:pPr>
        <w:spacing w:after="0" w:line="240" w:lineRule="auto"/>
      </w:pPr>
      <w:r>
        <w:separator/>
      </w:r>
    </w:p>
  </w:endnote>
  <w:endnote w:type="continuationSeparator" w:id="0">
    <w:p w:rsidR="00237F32" w:rsidRDefault="00237F32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0610E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0610E9">
            <w:rPr>
              <w:rFonts w:ascii="ISOCPEUR" w:eastAsia="Times New Roman" w:hAnsi="ISOCPEUR" w:cs="Times New Roman"/>
              <w:sz w:val="28"/>
            </w:rPr>
            <w:t>ОВ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580B6B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580B6B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0610E9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0610E9">
            <w:rPr>
              <w:rFonts w:ascii="ISOCPEUR" w:eastAsia="Times New Roman" w:hAnsi="ISOCPEUR" w:cs="Times New Roman"/>
              <w:sz w:val="28"/>
              <w:szCs w:val="28"/>
            </w:rPr>
            <w:t>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0610E9" w:rsidRPr="000610E9" w:rsidRDefault="000610E9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0610E9">
            <w:rPr>
              <w:rFonts w:ascii="ISOCPEUR" w:eastAsia="Times New Roman" w:hAnsi="ISOCPEUR" w:cs="Times New Roman"/>
              <w:szCs w:val="20"/>
            </w:rPr>
            <w:t>Раздел 5.</w:t>
          </w:r>
        </w:p>
        <w:p w:rsidR="000610E9" w:rsidRPr="000610E9" w:rsidRDefault="000610E9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0610E9">
            <w:rPr>
              <w:rFonts w:ascii="ISOCPEUR" w:eastAsia="Times New Roman" w:hAnsi="ISOCPEUR" w:cs="Times New Roman"/>
              <w:szCs w:val="20"/>
            </w:rPr>
            <w:t>Подраздел 4.</w:t>
          </w:r>
        </w:p>
        <w:p w:rsidR="00E07215" w:rsidRPr="000610E9" w:rsidRDefault="000610E9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0610E9">
            <w:rPr>
              <w:rFonts w:ascii="ISOCPEUR" w:eastAsia="Times New Roman" w:hAnsi="ISOCPEUR" w:cs="Times New Roman"/>
              <w:szCs w:val="20"/>
            </w:rPr>
            <w:t>Отопление, вентиляция и кондиционирование воздуха, тепловые сети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580B6B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580B6B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580B6B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F32" w:rsidRDefault="00237F32" w:rsidP="00A3571B">
      <w:pPr>
        <w:spacing w:after="0" w:line="240" w:lineRule="auto"/>
      </w:pPr>
      <w:r>
        <w:separator/>
      </w:r>
    </w:p>
  </w:footnote>
  <w:footnote w:type="continuationSeparator" w:id="0">
    <w:p w:rsidR="00237F32" w:rsidRDefault="00237F32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580B6B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580B6B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37F32"/>
    <w:rsid w:val="002F204D"/>
    <w:rsid w:val="0030419E"/>
    <w:rsid w:val="00370198"/>
    <w:rsid w:val="00381AAA"/>
    <w:rsid w:val="003964FD"/>
    <w:rsid w:val="003A4D9B"/>
    <w:rsid w:val="004136A3"/>
    <w:rsid w:val="00580B6B"/>
    <w:rsid w:val="005A0001"/>
    <w:rsid w:val="005A6817"/>
    <w:rsid w:val="006372B9"/>
    <w:rsid w:val="006659F3"/>
    <w:rsid w:val="006B067D"/>
    <w:rsid w:val="00756BE4"/>
    <w:rsid w:val="00A3571B"/>
    <w:rsid w:val="00A67E7F"/>
    <w:rsid w:val="00AC5D20"/>
    <w:rsid w:val="00B00095"/>
    <w:rsid w:val="00B55F7B"/>
    <w:rsid w:val="00BD7051"/>
    <w:rsid w:val="00C7290F"/>
    <w:rsid w:val="00CB75CC"/>
    <w:rsid w:val="00CF0086"/>
    <w:rsid w:val="00D63272"/>
    <w:rsid w:val="00DC557B"/>
    <w:rsid w:val="00E02793"/>
    <w:rsid w:val="00E07215"/>
    <w:rsid w:val="00E35EAA"/>
    <w:rsid w:val="00E56A22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28</cp:revision>
  <cp:lastPrinted>2015-09-05T15:41:00Z</cp:lastPrinted>
  <dcterms:created xsi:type="dcterms:W3CDTF">2015-09-05T10:54:00Z</dcterms:created>
  <dcterms:modified xsi:type="dcterms:W3CDTF">2015-09-05T19:34:00Z</dcterms:modified>
</cp:coreProperties>
</file>