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F20EC0" w:rsidRPr="00F20EC0" w:rsidRDefault="00F20EC0" w:rsidP="00F20EC0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20EC0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9. Мероприятия по обеспечению пожарной безопасности.</w:t>
                            </w:r>
                          </w:p>
                          <w:p w:rsidR="00F20EC0" w:rsidRPr="00F20EC0" w:rsidRDefault="00F20EC0" w:rsidP="00F20EC0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20EC0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F20EC0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F20EC0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&gt;-ПБ</w:t>
                            </w:r>
                          </w:p>
                          <w:p w:rsidR="006B067D" w:rsidRPr="00370198" w:rsidRDefault="00F20EC0" w:rsidP="00F20EC0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F20EC0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F20EC0" w:rsidRPr="00F20EC0" w:rsidRDefault="00F20EC0" w:rsidP="00F20EC0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20EC0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9. Мероприятия по обеспечению пожарной безопасности.</w:t>
                      </w:r>
                    </w:p>
                    <w:p w:rsidR="00F20EC0" w:rsidRPr="00F20EC0" w:rsidRDefault="00F20EC0" w:rsidP="00F20EC0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20EC0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F20EC0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F20EC0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&gt;-ПБ</w:t>
                      </w:r>
                    </w:p>
                    <w:p w:rsidR="006B067D" w:rsidRPr="00370198" w:rsidRDefault="00F20EC0" w:rsidP="00F20EC0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F20EC0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а) описание системы обеспечения пожарной безопасности объекта капитального строительства;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б) обоснование противопожарных расстояний между зданиями, сооружениями и наружными установками, обеспечивающих пожарную безопасность объектов капитального строительства;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в) описание и обоснование проектных решений по наружному противопожарному водоснабжению, по определению проездов и подъездов для пожарной техники;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г) описание и обоснование принятых конструктивных и объемно-планировочных решений, степени огнестойкости и класса конструктивной пожарной опасности строительных конструкций;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д) описание и обоснование проектных решений по обеспечению безопасности людей при возникновении пожара;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е) перечень мероприятий по обеспечению безопасности подразделений пожарной охраны при ликвидации пожара;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ж) сведения о категории зданий, сооружений, помещений, оборудования и наружных установок по признаку взрывопожарной и пожарной опасности;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з) перечень зданий, сооружений, помещений и оборудования, подлежащих защите автоматическими установками пожаротушения и оборудованию автоматической пожарной сигнализацией;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 xml:space="preserve">и) описание и обоснование противопожарной защиты (автоматических установок пожаротушения, пожарной сигнализации, оповещения и управления эвакуацией людей при пожаре, внутреннего противопожарного водопровода, </w:t>
      </w:r>
      <w:proofErr w:type="spellStart"/>
      <w:r w:rsidRPr="00F20EC0">
        <w:rPr>
          <w:u w:val="single"/>
        </w:rPr>
        <w:t>противодымной</w:t>
      </w:r>
      <w:proofErr w:type="spellEnd"/>
      <w:r w:rsidRPr="00F20EC0">
        <w:rPr>
          <w:u w:val="single"/>
        </w:rPr>
        <w:t xml:space="preserve"> защиты);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 xml:space="preserve">к) описание и обоснование необходимости размещения оборудования противопожарной защиты, управления таким оборудованием, взаимодействия такого оборудования с инженерными системами зданий и оборудованием, работа которого во время пожара направлена на обеспечение безопасной эвакуации людей, тушение пожара и ограничение его </w:t>
      </w:r>
      <w:bookmarkStart w:id="0" w:name="_GoBack"/>
      <w:bookmarkEnd w:id="0"/>
      <w:r w:rsidRPr="00F20EC0">
        <w:rPr>
          <w:u w:val="single"/>
        </w:rPr>
        <w:lastRenderedPageBreak/>
        <w:t>развития, а также алгоритма работы технических систем (средств) противопожарной защиты (при наличии);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F20EC0" w:rsidRPr="00F20EC0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л) описание организационно-технических мероприятий по обеспечению пожарной безопасности объекта капитального строительства;</w:t>
      </w:r>
    </w:p>
    <w:p w:rsidR="00F20EC0" w:rsidRPr="00F20EC0" w:rsidRDefault="00F20EC0" w:rsidP="00F20EC0">
      <w:pPr>
        <w:pStyle w:val="Mp"/>
        <w:rPr>
          <w:u w:val="single"/>
        </w:rPr>
      </w:pPr>
    </w:p>
    <w:p w:rsidR="00C04BB8" w:rsidRDefault="00F20EC0" w:rsidP="00F20EC0">
      <w:pPr>
        <w:pStyle w:val="Mp"/>
        <w:rPr>
          <w:u w:val="single"/>
        </w:rPr>
      </w:pPr>
      <w:r w:rsidRPr="00F20EC0">
        <w:rPr>
          <w:u w:val="single"/>
        </w:rPr>
        <w:t>м) расчет пожарных рисков угрозы жизни и здоровью людей и уничтожения имущества (при выполнении обязательных требований пожарной безопасности, установленных техническими регламентами, и выполнении в добровольном порядке требований нормативных документов по пожарной безопасности расчет пожарных рисков не требуется);</w:t>
      </w:r>
    </w:p>
    <w:p w:rsidR="00F20EC0" w:rsidRPr="00F20EC0" w:rsidRDefault="00F20EC0" w:rsidP="00F20EC0">
      <w:pPr>
        <w:pStyle w:val="Mp"/>
      </w:pPr>
    </w:p>
    <w:p w:rsidR="00F20EC0" w:rsidRPr="00F20EC0" w:rsidRDefault="00F20EC0" w:rsidP="00F20EC0">
      <w:pPr>
        <w:pStyle w:val="Mp"/>
      </w:pPr>
    </w:p>
    <w:p w:rsidR="00F20EC0" w:rsidRDefault="00F20EC0" w:rsidP="00F20EC0">
      <w:pPr>
        <w:pStyle w:val="Mp"/>
      </w:pPr>
    </w:p>
    <w:sectPr w:rsidR="00F20EC0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223" w:rsidRDefault="00D73223" w:rsidP="00A3571B">
      <w:pPr>
        <w:spacing w:after="0" w:line="240" w:lineRule="auto"/>
      </w:pPr>
      <w:r>
        <w:separator/>
      </w:r>
    </w:p>
  </w:endnote>
  <w:endnote w:type="continuationSeparator" w:id="0">
    <w:p w:rsidR="00D73223" w:rsidRDefault="00D73223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F20EC0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F20EC0">
            <w:rPr>
              <w:rFonts w:ascii="ISOCPEUR" w:eastAsia="Times New Roman" w:hAnsi="ISOCPEUR" w:cs="Times New Roman"/>
              <w:sz w:val="28"/>
            </w:rPr>
            <w:t>ПБ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F20EC0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20EC0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8"/>
      <w:gridCol w:w="572"/>
      <w:gridCol w:w="3845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F20EC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F20EC0">
            <w:rPr>
              <w:rFonts w:ascii="ISOCPEUR" w:eastAsia="Times New Roman" w:hAnsi="ISOCPEUR" w:cs="Times New Roman"/>
              <w:sz w:val="28"/>
              <w:szCs w:val="28"/>
            </w:rPr>
            <w:t>ПБ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F20EC0" w:rsidRPr="00F20EC0" w:rsidRDefault="00F20EC0" w:rsidP="00F20EC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F20EC0">
            <w:rPr>
              <w:rFonts w:ascii="ISOCPEUR" w:eastAsia="Times New Roman" w:hAnsi="ISOCPEUR" w:cs="Times New Roman"/>
              <w:sz w:val="28"/>
              <w:szCs w:val="20"/>
            </w:rPr>
            <w:t>Раздел 9.</w:t>
          </w:r>
        </w:p>
        <w:p w:rsidR="00E07215" w:rsidRPr="000610E9" w:rsidRDefault="00F20EC0" w:rsidP="00F20EC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F20EC0">
            <w:rPr>
              <w:rFonts w:ascii="ISOCPEUR" w:eastAsia="Times New Roman" w:hAnsi="ISOCPEUR" w:cs="Times New Roman"/>
              <w:sz w:val="28"/>
              <w:szCs w:val="20"/>
            </w:rPr>
            <w:t>Мероприятия по обеспечению пожарной безопасности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F20EC0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20EC0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F20EC0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223" w:rsidRDefault="00D73223" w:rsidP="00A3571B">
      <w:pPr>
        <w:spacing w:after="0" w:line="240" w:lineRule="auto"/>
      </w:pPr>
      <w:r>
        <w:separator/>
      </w:r>
    </w:p>
  </w:footnote>
  <w:footnote w:type="continuationSeparator" w:id="0">
    <w:p w:rsidR="00D73223" w:rsidRDefault="00D73223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F20EC0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F20EC0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6BE4"/>
    <w:rsid w:val="008B24C4"/>
    <w:rsid w:val="009C0BE7"/>
    <w:rsid w:val="00A3571B"/>
    <w:rsid w:val="00A67E7F"/>
    <w:rsid w:val="00AB0037"/>
    <w:rsid w:val="00AC5D20"/>
    <w:rsid w:val="00B00095"/>
    <w:rsid w:val="00B55F7B"/>
    <w:rsid w:val="00BD7051"/>
    <w:rsid w:val="00C04BB8"/>
    <w:rsid w:val="00C7290F"/>
    <w:rsid w:val="00CB75CC"/>
    <w:rsid w:val="00CF0086"/>
    <w:rsid w:val="00D63272"/>
    <w:rsid w:val="00D73223"/>
    <w:rsid w:val="00DC557B"/>
    <w:rsid w:val="00DF7BF3"/>
    <w:rsid w:val="00E02793"/>
    <w:rsid w:val="00E07215"/>
    <w:rsid w:val="00E35EAA"/>
    <w:rsid w:val="00E56A22"/>
    <w:rsid w:val="00E57F3C"/>
    <w:rsid w:val="00F20EC0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32</cp:revision>
  <cp:lastPrinted>2015-09-05T15:41:00Z</cp:lastPrinted>
  <dcterms:created xsi:type="dcterms:W3CDTF">2015-09-05T10:54:00Z</dcterms:created>
  <dcterms:modified xsi:type="dcterms:W3CDTF">2015-09-05T19:41:00Z</dcterms:modified>
</cp:coreProperties>
</file>