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170178" w:rsidRPr="00170178" w:rsidRDefault="00170178" w:rsidP="0017017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7017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:rsidR="00170178" w:rsidRPr="00170178" w:rsidRDefault="00170178" w:rsidP="0017017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7017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Подраздел 1. Система электроснабжения</w:t>
                            </w:r>
                          </w:p>
                          <w:p w:rsidR="00170178" w:rsidRPr="00170178" w:rsidRDefault="00170178" w:rsidP="0017017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7017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17017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17017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&gt;-ЭОМ</w:t>
                            </w:r>
                          </w:p>
                          <w:p w:rsidR="006B067D" w:rsidRPr="00370198" w:rsidRDefault="00170178" w:rsidP="00170178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70178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170178" w:rsidRPr="00170178" w:rsidRDefault="00170178" w:rsidP="0017017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7017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:rsidR="00170178" w:rsidRPr="00170178" w:rsidRDefault="00170178" w:rsidP="0017017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7017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Подраздел 1. Система электроснабжения</w:t>
                      </w:r>
                    </w:p>
                    <w:p w:rsidR="00170178" w:rsidRPr="00170178" w:rsidRDefault="00170178" w:rsidP="0017017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7017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17017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17017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&gt;-ЭОМ</w:t>
                      </w:r>
                    </w:p>
                    <w:p w:rsidR="006B067D" w:rsidRPr="00370198" w:rsidRDefault="00170178" w:rsidP="00170178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170178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5.1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а) характеристику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б) обоснование принятой схемы электроснабжения;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 xml:space="preserve">в) сведения о количестве </w:t>
      </w:r>
      <w:proofErr w:type="spellStart"/>
      <w:r w:rsidRPr="00170178">
        <w:rPr>
          <w:u w:val="single"/>
        </w:rPr>
        <w:t>электроприемников</w:t>
      </w:r>
      <w:proofErr w:type="spellEnd"/>
      <w:r w:rsidRPr="00170178">
        <w:rPr>
          <w:u w:val="single"/>
        </w:rPr>
        <w:t>, их установленной и расчетной мощности;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г) требования к надежности электроснабжения и качеству электроэнергии;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 xml:space="preserve">д) описание решений по обеспечению электроэнергией </w:t>
      </w:r>
      <w:proofErr w:type="spellStart"/>
      <w:r w:rsidRPr="00170178">
        <w:rPr>
          <w:u w:val="single"/>
        </w:rPr>
        <w:t>электроприемников</w:t>
      </w:r>
      <w:proofErr w:type="spellEnd"/>
      <w:r w:rsidRPr="00170178">
        <w:rPr>
          <w:u w:val="single"/>
        </w:rPr>
        <w:t xml:space="preserve"> в соответствии с установленной классификацией в рабочем и аварийном режимах;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е) описание проектных решений по компенсации реактивной мощности, релейной защите, управлению, автоматизации и диспетчеризации системы электроснабжения;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ж) перечень мероприятий по экономии электроэнергии;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з) сведения о мощности сетевых и трансформаторных объектов;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и) решения по организации масляного и ремонтного хозяйства - для объектов производственного назначения;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к) перечень мероприятий по заземлению (</w:t>
      </w:r>
      <w:proofErr w:type="spellStart"/>
      <w:r w:rsidRPr="00170178">
        <w:rPr>
          <w:u w:val="single"/>
        </w:rPr>
        <w:t>занулению</w:t>
      </w:r>
      <w:proofErr w:type="spellEnd"/>
      <w:r w:rsidRPr="00170178">
        <w:rPr>
          <w:u w:val="single"/>
        </w:rPr>
        <w:t xml:space="preserve">) и </w:t>
      </w:r>
      <w:proofErr w:type="spellStart"/>
      <w:r w:rsidRPr="00170178">
        <w:rPr>
          <w:u w:val="single"/>
        </w:rPr>
        <w:t>молниезащите</w:t>
      </w:r>
      <w:proofErr w:type="spellEnd"/>
      <w:r w:rsidRPr="00170178">
        <w:rPr>
          <w:u w:val="single"/>
        </w:rPr>
        <w:t>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л) сведения о типе, классе проводов и осветительной арматуры, которые подлежат применению при строительстве объекта капитального строительства;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м) описание системы рабочего и аварийного освещения;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170178" w:rsidRPr="00170178" w:rsidRDefault="00170178" w:rsidP="00170178">
      <w:pPr>
        <w:pStyle w:val="Mp"/>
        <w:rPr>
          <w:u w:val="single"/>
        </w:rPr>
      </w:pPr>
      <w:r w:rsidRPr="00170178">
        <w:rPr>
          <w:u w:val="single"/>
        </w:rPr>
        <w:t>н) описание дополнительных и резервных источников электроэнергии;</w:t>
      </w:r>
    </w:p>
    <w:p w:rsidR="00170178" w:rsidRPr="00170178" w:rsidRDefault="00170178" w:rsidP="00170178">
      <w:pPr>
        <w:pStyle w:val="Mp"/>
        <w:rPr>
          <w:u w:val="single"/>
        </w:rPr>
      </w:pPr>
    </w:p>
    <w:p w:rsidR="00231F3D" w:rsidRDefault="00170178" w:rsidP="00170178">
      <w:pPr>
        <w:pStyle w:val="Mp"/>
      </w:pPr>
      <w:r w:rsidRPr="00170178">
        <w:rPr>
          <w:u w:val="single"/>
        </w:rPr>
        <w:t>о) перечень мероприятий по резервированию электроэнергии</w:t>
      </w:r>
      <w:r>
        <w:rPr>
          <w:u w:val="single"/>
        </w:rPr>
        <w:t>;</w:t>
      </w:r>
    </w:p>
    <w:p w:rsidR="00F0350F" w:rsidRDefault="00F0350F" w:rsidP="00F20EC0">
      <w:pPr>
        <w:pStyle w:val="Mp"/>
      </w:pPr>
    </w:p>
    <w:p w:rsidR="00170178" w:rsidRDefault="00170178" w:rsidP="00F20EC0">
      <w:pPr>
        <w:pStyle w:val="Mp"/>
      </w:pPr>
      <w:bookmarkStart w:id="0" w:name="_GoBack"/>
      <w:bookmarkEnd w:id="0"/>
    </w:p>
    <w:sectPr w:rsidR="00170178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7A0" w:rsidRDefault="00C657A0" w:rsidP="00A3571B">
      <w:pPr>
        <w:spacing w:after="0" w:line="240" w:lineRule="auto"/>
      </w:pPr>
      <w:r>
        <w:separator/>
      </w:r>
    </w:p>
  </w:endnote>
  <w:endnote w:type="continuationSeparator" w:id="0">
    <w:p w:rsidR="00C657A0" w:rsidRDefault="00C657A0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17017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170178">
            <w:rPr>
              <w:rFonts w:ascii="ISOCPEUR" w:eastAsia="Times New Roman" w:hAnsi="ISOCPEUR" w:cs="Times New Roman"/>
              <w:sz w:val="28"/>
            </w:rPr>
            <w:t>ЭОМ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170178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70178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25"/>
      <w:gridCol w:w="567"/>
      <w:gridCol w:w="564"/>
      <w:gridCol w:w="834"/>
      <w:gridCol w:w="572"/>
      <w:gridCol w:w="3851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17017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170178">
            <w:rPr>
              <w:rFonts w:ascii="ISOCPEUR" w:eastAsia="Times New Roman" w:hAnsi="ISOCPEUR" w:cs="Times New Roman"/>
              <w:sz w:val="28"/>
              <w:szCs w:val="28"/>
            </w:rPr>
            <w:t>ЭОМ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170178" w:rsidRPr="00170178" w:rsidRDefault="00170178" w:rsidP="00170178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170178">
            <w:rPr>
              <w:rFonts w:ascii="ISOCPEUR" w:eastAsia="Times New Roman" w:hAnsi="ISOCPEUR" w:cs="Times New Roman"/>
              <w:sz w:val="28"/>
              <w:szCs w:val="20"/>
            </w:rPr>
            <w:t>Раздел 5.</w:t>
          </w:r>
        </w:p>
        <w:p w:rsidR="00170178" w:rsidRPr="00170178" w:rsidRDefault="00170178" w:rsidP="00170178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170178">
            <w:rPr>
              <w:rFonts w:ascii="ISOCPEUR" w:eastAsia="Times New Roman" w:hAnsi="ISOCPEUR" w:cs="Times New Roman"/>
              <w:sz w:val="28"/>
              <w:szCs w:val="20"/>
            </w:rPr>
            <w:t>Подраздел 1.</w:t>
          </w:r>
        </w:p>
        <w:p w:rsidR="00E07215" w:rsidRPr="000610E9" w:rsidRDefault="00170178" w:rsidP="00170178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170178">
            <w:rPr>
              <w:rFonts w:ascii="ISOCPEUR" w:eastAsia="Times New Roman" w:hAnsi="ISOCPEUR" w:cs="Times New Roman"/>
              <w:sz w:val="28"/>
              <w:szCs w:val="20"/>
            </w:rPr>
            <w:t>Система электроснабжения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170178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70178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170178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7A0" w:rsidRDefault="00C657A0" w:rsidP="00A3571B">
      <w:pPr>
        <w:spacing w:after="0" w:line="240" w:lineRule="auto"/>
      </w:pPr>
      <w:r>
        <w:separator/>
      </w:r>
    </w:p>
  </w:footnote>
  <w:footnote w:type="continuationSeparator" w:id="0">
    <w:p w:rsidR="00C657A0" w:rsidRDefault="00C657A0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170178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170178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330AF"/>
    <w:rsid w:val="00144767"/>
    <w:rsid w:val="00166478"/>
    <w:rsid w:val="00170178"/>
    <w:rsid w:val="001B1B2F"/>
    <w:rsid w:val="001C4BC4"/>
    <w:rsid w:val="001E4F69"/>
    <w:rsid w:val="00231F3D"/>
    <w:rsid w:val="002F204D"/>
    <w:rsid w:val="0030419E"/>
    <w:rsid w:val="00370198"/>
    <w:rsid w:val="00381AAA"/>
    <w:rsid w:val="00394161"/>
    <w:rsid w:val="003964FD"/>
    <w:rsid w:val="003A4D9B"/>
    <w:rsid w:val="004136A3"/>
    <w:rsid w:val="005A0001"/>
    <w:rsid w:val="005A6817"/>
    <w:rsid w:val="005F4947"/>
    <w:rsid w:val="006372B9"/>
    <w:rsid w:val="006659F3"/>
    <w:rsid w:val="006B067D"/>
    <w:rsid w:val="00755F57"/>
    <w:rsid w:val="00756BE4"/>
    <w:rsid w:val="0087400A"/>
    <w:rsid w:val="008B24C4"/>
    <w:rsid w:val="00917809"/>
    <w:rsid w:val="009C0BE7"/>
    <w:rsid w:val="00A3571B"/>
    <w:rsid w:val="00A6358E"/>
    <w:rsid w:val="00A67E7F"/>
    <w:rsid w:val="00AB0037"/>
    <w:rsid w:val="00AC5D20"/>
    <w:rsid w:val="00B00095"/>
    <w:rsid w:val="00B04344"/>
    <w:rsid w:val="00B069F1"/>
    <w:rsid w:val="00B55F7B"/>
    <w:rsid w:val="00BD7051"/>
    <w:rsid w:val="00C04BB8"/>
    <w:rsid w:val="00C657A0"/>
    <w:rsid w:val="00C7290F"/>
    <w:rsid w:val="00CB75CC"/>
    <w:rsid w:val="00CF0086"/>
    <w:rsid w:val="00D1034F"/>
    <w:rsid w:val="00D63272"/>
    <w:rsid w:val="00D73223"/>
    <w:rsid w:val="00D9738C"/>
    <w:rsid w:val="00DC557B"/>
    <w:rsid w:val="00DF7BF3"/>
    <w:rsid w:val="00E02793"/>
    <w:rsid w:val="00E07215"/>
    <w:rsid w:val="00E35EAA"/>
    <w:rsid w:val="00E56A22"/>
    <w:rsid w:val="00E57F3C"/>
    <w:rsid w:val="00F0350F"/>
    <w:rsid w:val="00F03CC8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42</cp:revision>
  <cp:lastPrinted>2015-09-05T15:41:00Z</cp:lastPrinted>
  <dcterms:created xsi:type="dcterms:W3CDTF">2015-09-05T10:54:00Z</dcterms:created>
  <dcterms:modified xsi:type="dcterms:W3CDTF">2015-09-05T20:03:00Z</dcterms:modified>
</cp:coreProperties>
</file>