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153342" w:rsidRPr="00153342" w:rsidRDefault="00153342" w:rsidP="00153342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5334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7. Мероприятия по охране окружающей среды</w:t>
                            </w:r>
                          </w:p>
                          <w:p w:rsidR="00153342" w:rsidRPr="00153342" w:rsidRDefault="00153342" w:rsidP="00153342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5334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15334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15334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&gt;-ООС</w:t>
                            </w:r>
                          </w:p>
                          <w:p w:rsidR="00A5541C" w:rsidRPr="00370198" w:rsidRDefault="00153342" w:rsidP="00153342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5334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153342" w:rsidRPr="00153342" w:rsidRDefault="00153342" w:rsidP="00153342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5334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7. Мероприятия по охране окружающей среды</w:t>
                      </w:r>
                    </w:p>
                    <w:p w:rsidR="00153342" w:rsidRPr="00153342" w:rsidRDefault="00153342" w:rsidP="00153342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5334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15334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15334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&gt;-ООС</w:t>
                      </w:r>
                    </w:p>
                    <w:p w:rsidR="00A5541C" w:rsidRPr="00370198" w:rsidRDefault="00153342" w:rsidP="00153342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5334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EE6105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b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&gt;-ППО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&gt;-ТКР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3.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&gt;-ИЛО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4.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5.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6.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7.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8.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&gt;-СМ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9.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10.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а) результаты оценки воздействия на окружающую среду;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б) перечень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линейного объекта, включающий: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мероприятия по охране атмосферного воздуха;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мероприятия по охране и рациональному использованию земельных ресурсов и почвенного покрова;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мероприятия по рациональному использованию и охране вод и водных биоресурсов на пересекаемых линейным объектом реках и иных водных объектах;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мероприятия по рациональному использованию общераспространенных полезных ископаемых, используемых при строительстве;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мероприятия по сбору, использованию, обезвреживанию, транспортировке и размещению опасных отходов;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мероприятия по охране недр и континентального шельфа Российской Федерации;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мероприятия по охране растительного и животного мира, в том числе: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мероприятия по сохранению среды обитания животных, путей их миграции, доступа в нерестилища рыб;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сведения о местах хранения отвалов растительного грунта, а также местонахождении карьеров, резервов грунта, кавальеров;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программу производственного экологического контроля (мониторинга) за характером изменения всех компонентов экосистемы при строительстве и эксплуатации линейного объекта, а также при авариях на его отдельных участках;</w:t>
      </w:r>
    </w:p>
    <w:p w:rsidR="00153342" w:rsidRPr="00153342" w:rsidRDefault="00153342" w:rsidP="00153342">
      <w:pPr>
        <w:pStyle w:val="Mp"/>
        <w:rPr>
          <w:u w:val="single"/>
        </w:rPr>
      </w:pPr>
      <w:bookmarkStart w:id="0" w:name="_GoBack"/>
      <w:bookmarkEnd w:id="0"/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lastRenderedPageBreak/>
        <w:t>программу специальных наблюдений за линейным объектом на участках, подверженных опасным природным воздействиям;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конструктивные решения и защитные устройства, предотвращающие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153342" w:rsidRPr="00153342" w:rsidRDefault="00153342" w:rsidP="00153342">
      <w:pPr>
        <w:pStyle w:val="Mp"/>
        <w:rPr>
          <w:u w:val="single"/>
        </w:rPr>
      </w:pPr>
      <w:r w:rsidRPr="00153342">
        <w:rPr>
          <w:u w:val="single"/>
        </w:rPr>
        <w:t>попадание животных на территорию электрических подстанций, иных зданий и сооружений линейного объекта, а также под транспортные средства и в работающие механизмы;</w:t>
      </w:r>
    </w:p>
    <w:p w:rsidR="00153342" w:rsidRPr="00153342" w:rsidRDefault="00153342" w:rsidP="00153342">
      <w:pPr>
        <w:pStyle w:val="Mp"/>
        <w:rPr>
          <w:u w:val="single"/>
        </w:rPr>
      </w:pPr>
    </w:p>
    <w:p w:rsidR="00640CC9" w:rsidRPr="00640CC9" w:rsidRDefault="00153342" w:rsidP="00153342">
      <w:pPr>
        <w:pStyle w:val="Mp"/>
      </w:pPr>
      <w:r w:rsidRPr="00153342">
        <w:rPr>
          <w:u w:val="single"/>
        </w:rPr>
        <w:t>в) перечень и расчет затрат на реализацию природоохранных мероприятий и компенсационных выплат;</w:t>
      </w:r>
    </w:p>
    <w:p w:rsidR="00640CC9" w:rsidRDefault="00640CC9" w:rsidP="00640CC9">
      <w:pPr>
        <w:pStyle w:val="Mp"/>
      </w:pPr>
    </w:p>
    <w:p w:rsidR="00153342" w:rsidRPr="00640CC9" w:rsidRDefault="00153342" w:rsidP="00640CC9">
      <w:pPr>
        <w:pStyle w:val="Mp"/>
      </w:pPr>
    </w:p>
    <w:sectPr w:rsidR="00153342" w:rsidRPr="00640CC9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262" w:rsidRDefault="00285262" w:rsidP="00A3571B">
      <w:pPr>
        <w:spacing w:after="0" w:line="240" w:lineRule="auto"/>
      </w:pPr>
      <w:r>
        <w:separator/>
      </w:r>
    </w:p>
  </w:endnote>
  <w:endnote w:type="continuationSeparator" w:id="0">
    <w:p w:rsidR="00285262" w:rsidRDefault="00285262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153342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153342">
            <w:rPr>
              <w:rFonts w:ascii="ISOCPEUR" w:eastAsia="Times New Roman" w:hAnsi="ISOCPEUR" w:cs="Times New Roman"/>
              <w:sz w:val="28"/>
            </w:rPr>
            <w:t>ООС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153342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153342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25"/>
      <w:gridCol w:w="567"/>
      <w:gridCol w:w="565"/>
      <w:gridCol w:w="838"/>
      <w:gridCol w:w="572"/>
      <w:gridCol w:w="3845"/>
      <w:gridCol w:w="933"/>
      <w:gridCol w:w="849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153342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153342">
            <w:rPr>
              <w:rFonts w:ascii="ISOCPEUR" w:eastAsia="Times New Roman" w:hAnsi="ISOCPEUR" w:cs="Times New Roman"/>
              <w:sz w:val="28"/>
              <w:szCs w:val="28"/>
            </w:rPr>
            <w:t>ООС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153342" w:rsidRPr="00153342" w:rsidRDefault="00153342" w:rsidP="00153342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6"/>
            </w:rPr>
          </w:pPr>
          <w:r w:rsidRPr="00153342">
            <w:rPr>
              <w:rFonts w:ascii="ISOCPEUR" w:eastAsia="Times New Roman" w:hAnsi="ISOCPEUR" w:cs="Times New Roman"/>
              <w:sz w:val="28"/>
              <w:szCs w:val="26"/>
            </w:rPr>
            <w:t>Раздел 7.</w:t>
          </w:r>
        </w:p>
        <w:p w:rsidR="00E07215" w:rsidRPr="003964FD" w:rsidRDefault="00153342" w:rsidP="00153342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153342">
            <w:rPr>
              <w:rFonts w:ascii="ISOCPEUR" w:eastAsia="Times New Roman" w:hAnsi="ISOCPEUR" w:cs="Times New Roman"/>
              <w:sz w:val="28"/>
              <w:szCs w:val="26"/>
            </w:rPr>
            <w:t>Мероприятия по охране окружающей среды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153342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153342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153342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262" w:rsidRDefault="00285262" w:rsidP="00A3571B">
      <w:pPr>
        <w:spacing w:after="0" w:line="240" w:lineRule="auto"/>
      </w:pPr>
      <w:r>
        <w:separator/>
      </w:r>
    </w:p>
  </w:footnote>
  <w:footnote w:type="continuationSeparator" w:id="0">
    <w:p w:rsidR="00285262" w:rsidRDefault="00285262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153342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153342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82D1C"/>
    <w:rsid w:val="000927CA"/>
    <w:rsid w:val="000A3206"/>
    <w:rsid w:val="000B289E"/>
    <w:rsid w:val="000D2541"/>
    <w:rsid w:val="000E0D69"/>
    <w:rsid w:val="00144767"/>
    <w:rsid w:val="00153342"/>
    <w:rsid w:val="001B1B2F"/>
    <w:rsid w:val="001E4F69"/>
    <w:rsid w:val="00285262"/>
    <w:rsid w:val="0030419E"/>
    <w:rsid w:val="00370198"/>
    <w:rsid w:val="00381AAA"/>
    <w:rsid w:val="003964FD"/>
    <w:rsid w:val="003A4D9B"/>
    <w:rsid w:val="003E690B"/>
    <w:rsid w:val="00426883"/>
    <w:rsid w:val="004317BE"/>
    <w:rsid w:val="005A0001"/>
    <w:rsid w:val="005A6817"/>
    <w:rsid w:val="00640CC9"/>
    <w:rsid w:val="006659F3"/>
    <w:rsid w:val="006E55A7"/>
    <w:rsid w:val="00756BE4"/>
    <w:rsid w:val="00A3571B"/>
    <w:rsid w:val="00A5541C"/>
    <w:rsid w:val="00A67E7F"/>
    <w:rsid w:val="00B00095"/>
    <w:rsid w:val="00BD7051"/>
    <w:rsid w:val="00C7290F"/>
    <w:rsid w:val="00CB75CC"/>
    <w:rsid w:val="00DC557B"/>
    <w:rsid w:val="00E02793"/>
    <w:rsid w:val="00E07215"/>
    <w:rsid w:val="00E35EAA"/>
    <w:rsid w:val="00E56A22"/>
    <w:rsid w:val="00E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23</cp:revision>
  <cp:lastPrinted>2015-09-05T15:41:00Z</cp:lastPrinted>
  <dcterms:created xsi:type="dcterms:W3CDTF">2015-09-05T10:54:00Z</dcterms:created>
  <dcterms:modified xsi:type="dcterms:W3CDTF">2015-09-05T20:23:00Z</dcterms:modified>
</cp:coreProperties>
</file>