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多元素的操作后续再考虑。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数据结构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2，ICommand接口，内含Do, Rollback两个动作，用来封装所有的单元素执行和回撤动作。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3，UndoRedoManager,全局单例，用来管理Undo、Redo两个固定栈和协同界面Undo、Redo按钮事件等操作。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算法设计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  <w:lang w:val="en-US" w:eastAsia="zh-CN"/>
        </w:rPr>
        <w:t>同时清空Redo栈。</w:t>
      </w:r>
      <w:commentRangeEnd w:id="0"/>
      <w:r>
        <w:commentReference w:id="0"/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 当点击Undo按钮时，Pop出Undo栈栈顶ICommand元素，然后执行Rollback接口，回归对应操作，最后将ICommand元素Push进入Redo栈。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 当点击Redo按钮时，Pop出Redo栈栈顶ICommand元素然后执行Do接口，执行对应操作，最后将ICommand元素Push进入Undo栈。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该操作与第二步对称。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当Undo栈由空变不空时，Undo按钮Enable;当Undo栈由不空变空时，Undo按钮Disable;当Redo栈由空变不空时，Redo按钮Enable;当Redo栈由不空变空时，Redo按钮Disable;以上四种操作，由UndoRedoEvent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val="en-US" w:eastAsia="zh-CN"/>
        </w:rPr>
        <w:t>的四种事件通知主界面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在单元素的6种操作完成点，根据不同的操作类型封装ICommand接口所需的各种信息：</w:t>
      </w:r>
    </w:p>
    <w:tbl>
      <w:tblPr>
        <w:tblStyle w:val="7"/>
        <w:tblpPr w:leftFromText="180" w:rightFromText="180" w:vertAnchor="text" w:horzAnchor="page" w:tblpX="4286" w:tblpY="6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jc w:val="left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ElementRenameCommand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ElementAddCommand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ElementDeleteCommand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RelationAddCommand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RelationDeleteCommand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ElementMoveCommand</w:t>
            </w:r>
          </w:p>
        </w:tc>
      </w:tr>
    </w:tbl>
    <w:p>
      <w:pPr>
        <w:numPr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46Z" w:initials="">
    <w:p w14:paraId="4D33710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3371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WPS Office" w15:userId="289383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75B"/>
    <w:rsid w:val="2E785525"/>
    <w:rsid w:val="424E318A"/>
    <w:rsid w:val="4253592A"/>
    <w:rsid w:val="43981536"/>
    <w:rsid w:val="46505587"/>
    <w:rsid w:val="5C6973DD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cj</dc:creator>
  <cp:lastModifiedBy>quixote</cp:lastModifiedBy>
  <dcterms:modified xsi:type="dcterms:W3CDTF">2020-05-20T13:20:06Z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