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1E" w:rsidRPr="00D9281E" w:rsidRDefault="00D9281E" w:rsidP="00D928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proofErr w:type="spellStart"/>
      <w:r w:rsidRPr="00D928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TWebBrowserEx</w:t>
      </w:r>
      <w:proofErr w:type="spellEnd"/>
      <w:r w:rsidRPr="00D928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D9281E">
        <w:rPr>
          <w:rFonts w:ascii="MS Mincho" w:eastAsia="Times New Roman" w:hAnsi="MS Mincho" w:cs="MS Mincho"/>
          <w:b/>
          <w:bCs/>
          <w:kern w:val="36"/>
          <w:sz w:val="48"/>
          <w:szCs w:val="48"/>
          <w:lang w:eastAsia="ru-RU"/>
        </w:rPr>
        <w:t>クラス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このクラスは、</w:t>
      </w:r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OS X /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の</w:t>
      </w:r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FireMonkey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アプリケーションで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WebBrowser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を統一的に使用する方法を提供します</w:t>
      </w:r>
      <w:proofErr w:type="spellEnd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このクラスを使って作った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>Browser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は下記のようにプラットフォームに搭載されているデフォルトのウェブブラウザコントロールを使います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808"/>
      </w:tblGrid>
      <w:tr w:rsidR="00D9281E" w:rsidRPr="00D9281E" w:rsidTr="00D92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</w:tr>
      <w:tr w:rsidR="00D9281E" w:rsidRPr="00D9281E" w:rsidTr="00D92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IWebBrowser</w:t>
            </w:r>
            <w:proofErr w:type="spellEnd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(IE)</w:t>
            </w:r>
          </w:p>
        </w:tc>
      </w:tr>
      <w:tr w:rsidR="00D9281E" w:rsidRPr="00D9281E" w:rsidTr="00D92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 X</w:t>
            </w:r>
          </w:p>
        </w:tc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WebView</w:t>
            </w:r>
            <w:proofErr w:type="spellEnd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Safari</w:t>
            </w:r>
            <w:proofErr w:type="spellEnd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D9281E" w:rsidRPr="00D9281E" w:rsidTr="00D92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WebView</w:t>
            </w:r>
            <w:proofErr w:type="spellEnd"/>
          </w:p>
        </w:tc>
      </w:tr>
      <w:tr w:rsidR="00D9281E" w:rsidRPr="00D9281E" w:rsidTr="00D92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281E" w:rsidRPr="00D9281E" w:rsidRDefault="00D9281E" w:rsidP="00D92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92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WebView</w:t>
            </w:r>
            <w:proofErr w:type="spellEnd"/>
          </w:p>
        </w:tc>
      </w:tr>
    </w:tbl>
    <w:p w:rsidR="00D9281E" w:rsidRPr="00D9281E" w:rsidRDefault="00D9281E" w:rsidP="00D92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user-content-動作環境"/>
      <w:bookmarkEnd w:id="1"/>
      <w:proofErr w:type="spellStart"/>
      <w:r w:rsidRPr="00D9281E">
        <w:rPr>
          <w:rFonts w:ascii="MS Mincho" w:eastAsia="MS Mincho" w:hAnsi="MS Mincho" w:cs="MS Mincho" w:hint="eastAsia"/>
          <w:b/>
          <w:bCs/>
          <w:sz w:val="36"/>
          <w:szCs w:val="36"/>
          <w:lang w:eastAsia="ru-RU"/>
        </w:rPr>
        <w:t>動作環</w:t>
      </w:r>
      <w:r w:rsidRPr="00D9281E">
        <w:rPr>
          <w:rFonts w:ascii="MS Mincho" w:eastAsia="Times New Roman" w:hAnsi="MS Mincho" w:cs="MS Mincho"/>
          <w:b/>
          <w:bCs/>
          <w:sz w:val="36"/>
          <w:szCs w:val="36"/>
          <w:lang w:eastAsia="ru-RU"/>
        </w:rPr>
        <w:t>境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Delphi / C++Builder / RAD Studio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の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XE6, XE7</w:t>
      </w:r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XE5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以前で動かす場合</w:t>
      </w:r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は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StrToNSSTR 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を</w:t>
      </w: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NSSTR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に変更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Macapi.Helpers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を削除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と変更してください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</w:p>
    <w:p w:rsidR="00D9281E" w:rsidRPr="00D9281E" w:rsidRDefault="00D9281E" w:rsidP="00D92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2" w:name="user-content-ファイル"/>
      <w:bookmarkEnd w:id="2"/>
      <w:proofErr w:type="spellStart"/>
      <w:r w:rsidRPr="00D9281E">
        <w:rPr>
          <w:rFonts w:ascii="MS Mincho" w:eastAsia="MS Mincho" w:hAnsi="MS Mincho" w:cs="MS Mincho" w:hint="eastAsia"/>
          <w:b/>
          <w:bCs/>
          <w:sz w:val="36"/>
          <w:szCs w:val="36"/>
          <w:lang w:eastAsia="ru-RU"/>
        </w:rPr>
        <w:t>ファイ</w:t>
      </w:r>
      <w:r w:rsidRPr="00D9281E">
        <w:rPr>
          <w:rFonts w:ascii="MS Mincho" w:eastAsia="Times New Roman" w:hAnsi="MS Mincho" w:cs="MS Mincho"/>
          <w:b/>
          <w:bCs/>
          <w:sz w:val="36"/>
          <w:szCs w:val="36"/>
          <w:lang w:eastAsia="ru-RU"/>
        </w:rPr>
        <w:t>ル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以下のファイルを全てダウンロードします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FMX.WebBrowser.Mac.pas    OS X 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用</w:t>
      </w: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WebBrowser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クラス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FMX.WebBrowser.Win.pas    Windows 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用</w:t>
      </w: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WebBrowser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クラス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FMX.WebBrowserEx.pas     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マルチプラットフォームの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WebBrowser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を統一的に扱うクラス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Macapi.WebView.pas        OS X 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の</w:t>
      </w: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WebView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の定義を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Delphi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に移植したユニット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3" w:name="user-content-使用方法"/>
      <w:bookmarkEnd w:id="3"/>
      <w:proofErr w:type="spellStart"/>
      <w:r w:rsidRPr="00D9281E">
        <w:rPr>
          <w:rFonts w:ascii="MS Mincho" w:eastAsia="MS Mincho" w:hAnsi="MS Mincho" w:cs="MS Mincho" w:hint="eastAsia"/>
          <w:b/>
          <w:bCs/>
          <w:sz w:val="36"/>
          <w:szCs w:val="36"/>
          <w:lang w:eastAsia="ru-RU"/>
        </w:rPr>
        <w:t>使用方</w:t>
      </w:r>
      <w:r w:rsidRPr="00D9281E">
        <w:rPr>
          <w:rFonts w:ascii="MS Mincho" w:eastAsia="Times New Roman" w:hAnsi="MS Mincho" w:cs="MS Mincho"/>
          <w:b/>
          <w:bCs/>
          <w:sz w:val="36"/>
          <w:szCs w:val="36"/>
          <w:lang w:eastAsia="ru-RU"/>
        </w:rPr>
        <w:t>法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下記のように、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iOS / Android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の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TWebBrowser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と同じように使えます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FMX.WebBrowserEx;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TForm1 = class(TForm)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Panel1: TPanel;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Button1: TButton;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procedure FormCreate(Sender: TObject);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procedure Button1Click(Sender: TObject);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private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FWebBrowser: TWebBrowserEx;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end;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 TForm1.FormCreate(Sender: TObject);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 := TWebBrowserEx.Create(Self);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FWebBrowser.Parent := Panel1;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FWebBrowser.Align := TAlignLayout.Client;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 TForm1.Button1Click(Sender: TObject);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FWebBrowser.URL := 'http://www.embarcadero.com/';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こんな風に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を読み込ませる事もできる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FWebBrowser.LoadFromStrings('&lt;html&gt;&lt;body&gt;Hello WebBrowser!&lt;/body&gt;&lt;/html&gt;', '');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また、下記のように、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JavaScript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も使えます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 TForm1.Button2Click(Sender: TObject);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Value: String;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HTML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に定義されている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JavaScript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関数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 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に引数を</w:t>
      </w:r>
      <w:r w:rsidRPr="00D9281E">
        <w:rPr>
          <w:rFonts w:ascii="MS Mincho" w:eastAsia="MS Mincho" w:hAnsi="MS Mincho" w:cs="MS Mincho" w:hint="eastAsia"/>
          <w:sz w:val="20"/>
          <w:szCs w:val="20"/>
          <w:lang w:val="en-US" w:eastAsia="ru-RU"/>
        </w:rPr>
        <w:t>２</w:t>
      </w:r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つ渡して呼ぶ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FWebBrowser.CallJS('foo', [Param1, Param2]);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TWebBrowser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の標準的な方法で呼ぶ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FWebBrowser.EvaluteJavascript('alert("Delphi!")');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HTML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のタグの値を取得する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&lt;input type="text" id="bar" value="" /&gt;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というタグがあった場合に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↓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これで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bar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という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の属性値</w:t>
      </w:r>
      <w:proofErr w:type="spellEnd"/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value </w:t>
      </w:r>
      <w:proofErr w:type="spellStart"/>
      <w:r w:rsidRPr="00D9281E">
        <w:rPr>
          <w:rFonts w:ascii="MS Mincho" w:eastAsia="MS Mincho" w:hAnsi="MS Mincho" w:cs="MS Mincho" w:hint="eastAsia"/>
          <w:sz w:val="20"/>
          <w:szCs w:val="20"/>
          <w:lang w:eastAsia="ru-RU"/>
        </w:rPr>
        <w:t>を取得できる</w:t>
      </w:r>
      <w:proofErr w:type="spellEnd"/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Value := FWebBrowser.GetTagValue('bar', 'value'); </w:t>
      </w:r>
    </w:p>
    <w:p w:rsidR="00D9281E" w:rsidRPr="00D9281E" w:rsidRDefault="00D9281E" w:rsidP="00D92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281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D9281E" w:rsidRPr="00D9281E" w:rsidRDefault="00D9281E" w:rsidP="00D92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4" w:name="user-content-既知のバグみたいな仕様"/>
      <w:bookmarkEnd w:id="4"/>
      <w:proofErr w:type="spellStart"/>
      <w:r w:rsidRPr="00D9281E">
        <w:rPr>
          <w:rFonts w:ascii="MS Mincho" w:eastAsia="MS Mincho" w:hAnsi="MS Mincho" w:cs="MS Mincho" w:hint="eastAsia"/>
          <w:b/>
          <w:bCs/>
          <w:sz w:val="36"/>
          <w:szCs w:val="36"/>
          <w:lang w:eastAsia="ru-RU"/>
        </w:rPr>
        <w:t>既知のバグみたいな仕</w:t>
      </w:r>
      <w:r w:rsidRPr="00D9281E">
        <w:rPr>
          <w:rFonts w:ascii="MS Mincho" w:eastAsia="Times New Roman" w:hAnsi="MS Mincho" w:cs="MS Mincho"/>
          <w:b/>
          <w:bCs/>
          <w:sz w:val="36"/>
          <w:szCs w:val="36"/>
          <w:lang w:eastAsia="ru-RU"/>
        </w:rPr>
        <w:t>様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キーでは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TWebBrowserEx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にフォーカスを移動できません</w:t>
      </w:r>
      <w:proofErr w:type="spellEnd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同様に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TWebBrowserEx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がフォーカスを持っている場合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キーで他のコントロールにフォーカスを移動できません</w:t>
      </w:r>
      <w:proofErr w:type="spellEnd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IDocHostUIHandler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の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DocHostTranslateAccelerator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を実装すれば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TWebBrowser → FMX Control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という方向にはフォーカスを移せると思います</w:t>
      </w:r>
      <w:proofErr w:type="spellEnd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TWebBrowserEx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の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SetFocus </w:t>
      </w:r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を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すれば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FMX Control → TWebBrowser </w:t>
      </w:r>
      <w:proofErr w:type="spellStart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方向にもフォーカスを移せるかもしれません</w:t>
      </w:r>
      <w:proofErr w:type="spellEnd"/>
      <w:r w:rsidRPr="00D9281E">
        <w:rPr>
          <w:rFonts w:ascii="MS Mincho" w:eastAsia="MS Mincho" w:hAnsi="MS Mincho" w:cs="MS Mincho" w:hint="eastAsia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9281E" w:rsidRPr="00D9281E" w:rsidRDefault="00D9281E" w:rsidP="00D92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5" w:name="user-content-著作権"/>
      <w:bookmarkEnd w:id="5"/>
      <w:proofErr w:type="spellStart"/>
      <w:r w:rsidRPr="00D9281E">
        <w:rPr>
          <w:rFonts w:ascii="MS Mincho" w:eastAsia="Times New Roman" w:hAnsi="MS Mincho" w:cs="MS Mincho"/>
          <w:b/>
          <w:bCs/>
          <w:sz w:val="36"/>
          <w:szCs w:val="36"/>
          <w:lang w:eastAsia="ru-RU"/>
        </w:rPr>
        <w:t>著作権</w:t>
      </w:r>
      <w:proofErr w:type="spellEnd"/>
    </w:p>
    <w:p w:rsidR="00D9281E" w:rsidRPr="00D9281E" w:rsidRDefault="00D9281E" w:rsidP="00D92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商用・非商用に関わらず自由に使用して構いません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改変もご自由にどうぞ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なお、著作権は放棄していませんので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、「</w:t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これ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僕が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弊社が</w:t>
      </w:r>
      <w:proofErr w:type="spellEnd"/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作ったんだ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ー</w:t>
      </w:r>
      <w:r w:rsidRPr="00D9281E">
        <w:rPr>
          <w:rFonts w:ascii="MS Mincho" w:eastAsia="Times New Roman" w:hAnsi="MS Mincho" w:cs="MS Mincho"/>
          <w:sz w:val="24"/>
          <w:szCs w:val="24"/>
          <w:lang w:val="en-US" w:eastAsia="ru-RU"/>
        </w:rPr>
        <w:t>！</w:t>
      </w:r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」</w:t>
      </w:r>
      <w:proofErr w:type="spellStart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っていうのは無しです</w:t>
      </w:r>
      <w:proofErr w:type="spellEnd"/>
      <w:r w:rsidRPr="00D9281E">
        <w:rPr>
          <w:rFonts w:ascii="MS Mincho" w:eastAsia="Times New Roman" w:hAnsi="MS Mincho" w:cs="MS Mincho"/>
          <w:sz w:val="24"/>
          <w:szCs w:val="24"/>
          <w:lang w:eastAsia="ru-RU"/>
        </w:rPr>
        <w:t>。</w:t>
      </w:r>
      <w:r w:rsidRPr="00D928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D4091" w:rsidRPr="00D9281E" w:rsidRDefault="004D4091">
      <w:pPr>
        <w:rPr>
          <w:lang w:val="en-US"/>
        </w:rPr>
      </w:pPr>
    </w:p>
    <w:sectPr w:rsidR="004D4091" w:rsidRPr="00D9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1E"/>
    <w:rsid w:val="004D4091"/>
    <w:rsid w:val="00D9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C784-8402-4DDA-831D-C852BAD1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2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92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8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28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8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281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D9281E"/>
  </w:style>
  <w:style w:type="character" w:customStyle="1" w:styleId="n">
    <w:name w:val="n"/>
    <w:basedOn w:val="a0"/>
    <w:rsid w:val="00D9281E"/>
  </w:style>
  <w:style w:type="character" w:customStyle="1" w:styleId="o">
    <w:name w:val="o"/>
    <w:basedOn w:val="a0"/>
    <w:rsid w:val="00D9281E"/>
  </w:style>
  <w:style w:type="character" w:customStyle="1" w:styleId="p">
    <w:name w:val="p"/>
    <w:basedOn w:val="a0"/>
    <w:rsid w:val="00D9281E"/>
  </w:style>
  <w:style w:type="character" w:customStyle="1" w:styleId="nf">
    <w:name w:val="nf"/>
    <w:basedOn w:val="a0"/>
    <w:rsid w:val="00D9281E"/>
  </w:style>
  <w:style w:type="character" w:customStyle="1" w:styleId="kt">
    <w:name w:val="kt"/>
    <w:basedOn w:val="a0"/>
    <w:rsid w:val="00D9281E"/>
  </w:style>
  <w:style w:type="character" w:customStyle="1" w:styleId="kp">
    <w:name w:val="kp"/>
    <w:basedOn w:val="a0"/>
    <w:rsid w:val="00D9281E"/>
  </w:style>
  <w:style w:type="character" w:customStyle="1" w:styleId="nc">
    <w:name w:val="nc"/>
    <w:basedOn w:val="a0"/>
    <w:rsid w:val="00D9281E"/>
  </w:style>
  <w:style w:type="character" w:customStyle="1" w:styleId="s">
    <w:name w:val="s"/>
    <w:basedOn w:val="a0"/>
    <w:rsid w:val="00D9281E"/>
  </w:style>
  <w:style w:type="character" w:customStyle="1" w:styleId="c1">
    <w:name w:val="c1"/>
    <w:basedOn w:val="a0"/>
    <w:rsid w:val="00D9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АТС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Гришин</dc:creator>
  <cp:keywords/>
  <dc:description/>
  <cp:lastModifiedBy>Алексей Гришин</cp:lastModifiedBy>
  <cp:revision>1</cp:revision>
  <dcterms:created xsi:type="dcterms:W3CDTF">2014-10-13T10:32:00Z</dcterms:created>
  <dcterms:modified xsi:type="dcterms:W3CDTF">2014-10-13T10:33:00Z</dcterms:modified>
</cp:coreProperties>
</file>