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r>
        <w:t>（占位内容：将被替换）</w:t>
      </w:r>
    </w:p>
    <w:p>
      <w:pPr>
        <w:pStyle w:val="Heading2"/>
      </w:pPr>
      <w:r>
        <w:t>业务目标</w:t>
      </w:r>
    </w:p>
    <w:p>
      <w:r>
        <w:t>（占位内容：将被替换）</w:t>
      </w:r>
    </w:p>
    <w:p>
      <w:pPr>
        <w:pStyle w:val="Heading2"/>
      </w:pPr>
      <w:r>
        <w:t>核心流程</w:t>
      </w:r>
    </w:p>
    <w:p>
      <w:r>
        <w:t>（占位内容：将被替换）</w:t>
      </w:r>
    </w:p>
    <w:p>
      <w:pPr>
        <w:pStyle w:val="Heading2"/>
      </w:pPr>
      <w:r>
        <w:t>风险与应对</w:t>
      </w:r>
    </w:p>
    <w:p>
      <w:r>
        <w:t>（占位内容：将被替换）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