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项目背景</w:t>
      </w:r>
    </w:p>
    <w:p>
      <w:pPr/>
      <w:r>
        <w:t>这是项目背景章节内容，用于演示普通段落映射。</w:t>
      </w:r>
    </w:p>
    <w:p>
      <w:pPr>
        <w:pStyle w:val="Heading2"/>
      </w:pPr>
      <w:r>
        <w:t>业务目标</w:t>
      </w:r>
    </w:p>
    <w:p>
      <w:pPr>
        <w:pStyle w:val="ListBullet"/>
      </w:pPr>
      <w:r>
        <w:t>- 降低手工排版成本</w:t>
      </w:r>
    </w:p>
    <w:p>
      <w:pPr>
        <w:pStyle w:val="ListBullet"/>
      </w:pPr>
      <w:r>
        <w:t>- 保持模板规范一致</w:t>
      </w:r>
    </w:p>
    <w:p>
      <w:pPr>
        <w:pStyle w:val="ListBullet"/>
      </w:pPr>
      <w:r>
        <w:t>- 支持流程图自动插入</w:t>
      </w:r>
    </w:p>
    <w:p>
      <w:pPr>
        <w:pStyle w:val="Heading2"/>
      </w:pPr>
      <w:r>
        <w:t>核心流程</w:t>
      </w:r>
    </w:p>
    <w:p>
      <w:pPr/>
      <w:r>
        <w:drawing>
          <wp:inline xmlns:a="http://schemas.openxmlformats.org/drawingml/2006/main" xmlns:pic="http://schemas.openxmlformats.org/drawingml/2006/picture">
            <wp:extent cx="4389120" cy="8918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3cfd5a31c233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918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风险与应对</w:t>
      </w:r>
    </w:p>
    <w:p>
      <w:pPr/>
      <w:r>
        <w:rPr>
          <w:rFonts w:ascii="Consolas" w:hAnsi="Consolas"/>
        </w:rPr>
        <w:t>当模板标题缺失时，输出报告并提示人工补齐。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