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296164" cy="158838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6164" cy="158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line="256" w:lineRule="exact" w:before="10"/>
      </w:pPr>
      <w:r>
        <w:rPr>
          <w:spacing w:val="-2"/>
        </w:rPr>
        <w:t>筛选项中增加项目类型</w:t>
      </w:r>
      <w:r>
        <w:rPr>
          <w:rFonts w:ascii="Arial" w:eastAsia="Arial"/>
          <w:spacing w:val="-2"/>
        </w:rPr>
        <w:t>-</w:t>
      </w:r>
      <w:r>
        <w:rPr>
          <w:spacing w:val="-2"/>
        </w:rPr>
        <w:t>交付项目</w:t>
      </w:r>
      <w:r>
        <w:rPr>
          <w:rFonts w:ascii="Arial" w:eastAsia="Arial"/>
          <w:spacing w:val="-2"/>
        </w:rPr>
        <w:t>/</w:t>
      </w:r>
      <w:r>
        <w:rPr>
          <w:spacing w:val="-2"/>
        </w:rPr>
        <w:t>售前项目</w:t>
      </w:r>
      <w:r>
        <w:rPr>
          <w:rFonts w:ascii="Arial" w:eastAsia="Arial"/>
          <w:spacing w:val="-2"/>
        </w:rPr>
        <w:t>/</w:t>
      </w:r>
      <w:r>
        <w:rPr>
          <w:spacing w:val="-4"/>
        </w:rPr>
        <w:t>其他项目</w:t>
      </w:r>
    </w:p>
    <w:p>
      <w:pPr>
        <w:pStyle w:val="BodyText"/>
        <w:spacing w:line="213" w:lineRule="auto" w:before="17"/>
        <w:ind w:right="135"/>
      </w:pPr>
      <w:r>
        <w:rPr>
          <w:spacing w:val="-4"/>
        </w:rPr>
        <w:t>项目使用中增加</w:t>
      </w:r>
      <w:r>
        <w:rPr>
          <w:rFonts w:ascii="Microsoft JhengHei" w:eastAsia="Microsoft JhengHei"/>
          <w:b/>
          <w:spacing w:val="-4"/>
        </w:rPr>
        <w:t>售前项目</w:t>
      </w:r>
      <w:r>
        <w:rPr>
          <w:spacing w:val="-15"/>
        </w:rPr>
        <w:t>计算展示，</w:t>
      </w:r>
      <w:r>
        <w:rPr>
          <w:spacing w:val="46"/>
        </w:rPr>
        <w:t>（</w:t>
      </w:r>
      <w:r>
        <w:rPr>
          <w:spacing w:val="-9"/>
        </w:rPr>
        <w:t>售前成本数据来自项目属性类型为售前项目的项目。</w:t>
      </w:r>
      <w:r>
        <w:rPr>
          <w:spacing w:val="-4"/>
        </w:rPr>
        <w:t>）</w:t>
      </w:r>
      <w:r>
        <w:rPr>
          <w:spacing w:val="-2"/>
        </w:rPr>
        <w:t>项目使用中增加</w:t>
      </w:r>
      <w:r>
        <w:rPr>
          <w:rFonts w:ascii="Microsoft JhengHei" w:eastAsia="Microsoft JhengHei"/>
          <w:b/>
          <w:spacing w:val="-2"/>
        </w:rPr>
        <w:t>其他项目</w:t>
      </w:r>
      <w:r>
        <w:rPr>
          <w:spacing w:val="-2"/>
        </w:rPr>
        <w:t>计算展示，（其他项目成本数据来自项目属性类型为内部项目、运营类项目）。</w:t>
      </w:r>
    </w:p>
    <w:p>
      <w:pPr>
        <w:pStyle w:val="BodyText"/>
        <w:spacing w:before="91"/>
        <w:ind w:left="0"/>
      </w:pPr>
    </w:p>
    <w:p>
      <w:pPr>
        <w:pStyle w:val="BodyText"/>
      </w:pPr>
      <w:r>
        <w:rPr>
          <w:spacing w:val="-3"/>
        </w:rPr>
        <w:t>数据展示内容如下：</w:t>
      </w:r>
    </w:p>
    <w:p>
      <w:pPr>
        <w:pStyle w:val="BodyText"/>
        <w:ind w:left="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88625</wp:posOffset>
            </wp:positionV>
            <wp:extent cx="5311091" cy="204520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1091" cy="2045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5"/>
        <w:ind w:left="100" w:right="0" w:firstLine="0"/>
        <w:jc w:val="left"/>
        <w:rPr>
          <w:rFonts w:ascii="Microsoft JhengHei" w:eastAsia="Microsoft JhengHei"/>
          <w:b/>
          <w:sz w:val="21"/>
        </w:rPr>
      </w:pPr>
      <w:r>
        <w:rPr>
          <w:rFonts w:ascii="Arial" w:eastAsia="Arial"/>
          <w:b/>
          <w:spacing w:val="-2"/>
          <w:sz w:val="21"/>
        </w:rPr>
        <w:t>Plan</w:t>
      </w:r>
      <w:r>
        <w:rPr>
          <w:rFonts w:ascii="Arial" w:eastAsia="Arial"/>
          <w:b/>
          <w:sz w:val="21"/>
        </w:rPr>
        <w:t> </w:t>
      </w:r>
      <w:r>
        <w:rPr>
          <w:rFonts w:ascii="Microsoft JhengHei" w:eastAsia="Microsoft JhengHei"/>
          <w:b/>
          <w:spacing w:val="-4"/>
          <w:sz w:val="21"/>
        </w:rPr>
        <w:t>数据运营手动录入</w:t>
      </w:r>
    </w:p>
    <w:p>
      <w:pPr>
        <w:pStyle w:val="Heading1"/>
        <w:spacing w:before="16"/>
      </w:pPr>
      <w:r>
        <w:rPr>
          <w:spacing w:val="-5"/>
        </w:rPr>
        <w:t>ITD</w:t>
      </w:r>
    </w:p>
    <w:p>
      <w:pPr>
        <w:pStyle w:val="BodyText"/>
        <w:spacing w:before="50"/>
      </w:pPr>
      <w:r>
        <w:rPr>
          <w:spacing w:val="-2"/>
        </w:rPr>
        <w:t>成本：</w:t>
      </w:r>
      <w:r>
        <w:rPr>
          <w:rFonts w:ascii="Arial" w:eastAsia="Arial"/>
          <w:spacing w:val="-2"/>
        </w:rPr>
        <w:t>=</w:t>
      </w:r>
      <w:r>
        <w:rPr>
          <w:spacing w:val="-2"/>
        </w:rPr>
        <w:t>正式人力成本</w:t>
      </w:r>
      <w:r>
        <w:rPr>
          <w:rFonts w:ascii="Arial" w:eastAsia="Arial"/>
          <w:spacing w:val="-2"/>
        </w:rPr>
        <w:t>+</w:t>
      </w:r>
      <w:r>
        <w:rPr>
          <w:spacing w:val="-2"/>
        </w:rPr>
        <w:t>外包人力成本</w:t>
      </w:r>
      <w:r>
        <w:rPr>
          <w:rFonts w:ascii="Arial" w:eastAsia="Arial"/>
          <w:spacing w:val="-2"/>
        </w:rPr>
        <w:t>+</w:t>
      </w:r>
      <w:r>
        <w:rPr>
          <w:spacing w:val="-2"/>
        </w:rPr>
        <w:t>运营成本</w:t>
      </w:r>
      <w:r>
        <w:rPr>
          <w:rFonts w:ascii="Arial" w:eastAsia="Arial"/>
          <w:spacing w:val="-2"/>
        </w:rPr>
        <w:t>+</w:t>
      </w:r>
      <w:r>
        <w:rPr>
          <w:spacing w:val="-4"/>
        </w:rPr>
        <w:t>报销费用</w:t>
      </w:r>
    </w:p>
    <w:p>
      <w:pPr>
        <w:pStyle w:val="BodyText"/>
        <w:spacing w:before="43"/>
      </w:pPr>
      <w:r>
        <w:rPr>
          <w:spacing w:val="-2"/>
        </w:rPr>
        <w:t>正式人力成本：正式员工实际使用成本 </w:t>
      </w:r>
      <w:r>
        <w:rPr>
          <w:rFonts w:ascii="Arial" w:hAnsi="Arial" w:eastAsia="Arial"/>
          <w:spacing w:val="-2"/>
        </w:rPr>
        <w:t>=</w:t>
      </w:r>
      <w:r>
        <w:rPr>
          <w:spacing w:val="-2"/>
        </w:rPr>
        <w:t>∑（</w:t>
      </w:r>
      <w:r>
        <w:rPr>
          <w:spacing w:val="-11"/>
        </w:rPr>
        <w:t>正式人员 </w:t>
      </w:r>
      <w:r>
        <w:rPr>
          <w:rFonts w:ascii="Arial" w:hAnsi="Arial" w:eastAsia="Arial"/>
          <w:spacing w:val="-2"/>
        </w:rPr>
        <w:t>rate/21.75/8*</w:t>
      </w:r>
      <w:r>
        <w:rPr>
          <w:spacing w:val="-2"/>
        </w:rPr>
        <w:t>此项目工时</w:t>
      </w:r>
      <w:r>
        <w:rPr>
          <w:spacing w:val="-10"/>
        </w:rPr>
        <w:t>）</w:t>
      </w:r>
    </w:p>
    <w:p>
      <w:pPr>
        <w:pStyle w:val="BodyText"/>
        <w:spacing w:line="278" w:lineRule="auto" w:before="43"/>
        <w:ind w:right="135"/>
      </w:pPr>
      <w:r>
        <w:rPr>
          <w:spacing w:val="-9"/>
        </w:rPr>
        <w:t>外包人力成本：外包人员实际使用成本 </w:t>
      </w:r>
      <w:r>
        <w:rPr>
          <w:rFonts w:ascii="Arial" w:hAnsi="Arial" w:eastAsia="Arial"/>
          <w:spacing w:val="-2"/>
        </w:rPr>
        <w:t>=</w:t>
      </w:r>
      <w:r>
        <w:rPr>
          <w:spacing w:val="-2"/>
        </w:rPr>
        <w:t>∑（外包人员单价</w:t>
      </w:r>
      <w:r>
        <w:rPr>
          <w:rFonts w:ascii="Arial" w:hAnsi="Arial" w:eastAsia="Arial"/>
          <w:spacing w:val="-2"/>
        </w:rPr>
        <w:t>/</w:t>
      </w:r>
      <w:r>
        <w:rPr>
          <w:spacing w:val="-2"/>
        </w:rPr>
        <w:t>当月工作日天数</w:t>
      </w:r>
      <w:r>
        <w:rPr>
          <w:rFonts w:ascii="Arial" w:hAnsi="Arial" w:eastAsia="Arial"/>
          <w:spacing w:val="-2"/>
        </w:rPr>
        <w:t>/8*</w:t>
      </w:r>
      <w:r>
        <w:rPr>
          <w:spacing w:val="-2"/>
        </w:rPr>
        <w:t>此项目工时）运营成本：</w:t>
      </w:r>
      <w:r>
        <w:rPr>
          <w:rFonts w:ascii="Arial" w:hAnsi="Arial" w:eastAsia="Arial"/>
          <w:spacing w:val="-2"/>
        </w:rPr>
        <w:t>=</w:t>
      </w:r>
      <w:r>
        <w:rPr>
          <w:spacing w:val="-2"/>
        </w:rPr>
        <w:t>∑（正式人力成本</w:t>
      </w:r>
      <w:r>
        <w:rPr>
          <w:rFonts w:ascii="Arial" w:hAnsi="Arial" w:eastAsia="Arial"/>
          <w:spacing w:val="-2"/>
        </w:rPr>
        <w:t>*</w:t>
      </w:r>
      <w:r>
        <w:rPr>
          <w:spacing w:val="-2"/>
        </w:rPr>
        <w:t>该项目正式人力运营成本分摊率</w:t>
      </w:r>
      <w:r>
        <w:rPr>
          <w:rFonts w:ascii="Arial" w:hAnsi="Arial" w:eastAsia="Arial"/>
          <w:spacing w:val="-2"/>
        </w:rPr>
        <w:t>+</w:t>
      </w:r>
      <w:r>
        <w:rPr>
          <w:spacing w:val="-2"/>
        </w:rPr>
        <w:t>外包人力成本</w:t>
      </w:r>
      <w:r>
        <w:rPr>
          <w:rFonts w:ascii="Arial" w:hAnsi="Arial" w:eastAsia="Arial"/>
          <w:spacing w:val="-2"/>
        </w:rPr>
        <w:t>*</w:t>
      </w:r>
      <w:r>
        <w:rPr>
          <w:spacing w:val="-2"/>
        </w:rPr>
        <w:t>该项目外包人力运营成本分摊率）</w:t>
      </w:r>
    </w:p>
    <w:p>
      <w:pPr>
        <w:pStyle w:val="BodyText"/>
        <w:spacing w:line="269" w:lineRule="exact"/>
      </w:pPr>
      <w:r>
        <w:rPr>
          <w:spacing w:val="-3"/>
        </w:rPr>
        <w:t>报销费用：运营导入数据</w:t>
      </w:r>
    </w:p>
    <w:p>
      <w:pPr>
        <w:pStyle w:val="Heading1"/>
      </w:pPr>
      <w:r>
        <w:rPr>
          <w:spacing w:val="-5"/>
        </w:rPr>
        <w:t>ETC</w:t>
      </w:r>
    </w:p>
    <w:p>
      <w:pPr>
        <w:pStyle w:val="BodyText"/>
        <w:spacing w:before="50"/>
      </w:pPr>
      <w:r>
        <w:rPr>
          <w:spacing w:val="-3"/>
        </w:rPr>
        <w:t>成本：该项目预估后续成本合计</w:t>
      </w:r>
    </w:p>
    <w:p>
      <w:pPr>
        <w:pStyle w:val="BodyText"/>
        <w:spacing w:line="278" w:lineRule="auto" w:before="43"/>
        <w:ind w:right="2595"/>
      </w:pPr>
      <w:r>
        <w:rPr>
          <w:spacing w:val="-2"/>
        </w:rPr>
        <w:t>成本</w:t>
      </w:r>
      <w:r>
        <w:rPr>
          <w:rFonts w:ascii="Arial" w:hAnsi="Arial" w:eastAsia="Arial"/>
          <w:spacing w:val="-2"/>
        </w:rPr>
        <w:t>=</w:t>
      </w:r>
      <w:r>
        <w:rPr>
          <w:spacing w:val="-2"/>
        </w:rPr>
        <w:t>预估（正式人力成本</w:t>
      </w:r>
      <w:r>
        <w:rPr>
          <w:rFonts w:ascii="Arial" w:hAnsi="Arial" w:eastAsia="Arial"/>
          <w:spacing w:val="-2"/>
        </w:rPr>
        <w:t>+</w:t>
      </w:r>
      <w:r>
        <w:rPr>
          <w:spacing w:val="-2"/>
        </w:rPr>
        <w:t>外包人力成本</w:t>
      </w:r>
      <w:r>
        <w:rPr>
          <w:rFonts w:ascii="Arial" w:hAnsi="Arial" w:eastAsia="Arial"/>
          <w:spacing w:val="-2"/>
        </w:rPr>
        <w:t>+</w:t>
      </w:r>
      <w:r>
        <w:rPr>
          <w:spacing w:val="-2"/>
        </w:rPr>
        <w:t>运营成本</w:t>
      </w:r>
      <w:r>
        <w:rPr>
          <w:rFonts w:ascii="Arial" w:hAnsi="Arial" w:eastAsia="Arial"/>
          <w:spacing w:val="-2"/>
        </w:rPr>
        <w:t>+</w:t>
      </w:r>
      <w:r>
        <w:rPr>
          <w:spacing w:val="-2"/>
        </w:rPr>
        <w:t>报销费用）异常情况：如果大于成本使用中的数值，则为异常，标注红色</w:t>
      </w:r>
      <w:r>
        <w:rPr>
          <w:spacing w:val="80"/>
        </w:rPr>
        <w:t> </w:t>
      </w:r>
      <w:r>
        <w:rPr/>
        <w:t>正式人力成本：∑（</w:t>
      </w:r>
      <w:r>
        <w:rPr>
          <w:spacing w:val="-9"/>
        </w:rPr>
        <w:t>正式人员 </w:t>
      </w:r>
      <w:r>
        <w:rPr>
          <w:rFonts w:ascii="Arial" w:hAnsi="Arial" w:eastAsia="Arial"/>
        </w:rPr>
        <w:t>rate/21.75/8*</w:t>
      </w:r>
      <w:r>
        <w:rPr/>
        <w:t>此项目预估工时）</w:t>
      </w:r>
    </w:p>
    <w:p>
      <w:pPr>
        <w:pStyle w:val="BodyText"/>
        <w:spacing w:line="269" w:lineRule="exact"/>
      </w:pPr>
      <w:r>
        <w:rPr>
          <w:spacing w:val="-2"/>
        </w:rPr>
        <w:t>外包人力成本：∑（外包人员单价</w:t>
      </w:r>
      <w:r>
        <w:rPr>
          <w:rFonts w:ascii="Arial" w:hAnsi="Arial" w:eastAsia="Arial"/>
          <w:spacing w:val="-2"/>
        </w:rPr>
        <w:t>/</w:t>
      </w:r>
      <w:r>
        <w:rPr>
          <w:spacing w:val="-2"/>
        </w:rPr>
        <w:t>当月工作日天数</w:t>
      </w:r>
      <w:r>
        <w:rPr>
          <w:rFonts w:ascii="Arial" w:hAnsi="Arial" w:eastAsia="Arial"/>
          <w:spacing w:val="-2"/>
        </w:rPr>
        <w:t>/8*</w:t>
      </w:r>
      <w:r>
        <w:rPr>
          <w:spacing w:val="-2"/>
        </w:rPr>
        <w:t>此项目预估工时</w:t>
      </w:r>
      <w:r>
        <w:rPr>
          <w:spacing w:val="-10"/>
        </w:rPr>
        <w:t>）</w:t>
      </w:r>
    </w:p>
    <w:p>
      <w:pPr>
        <w:pStyle w:val="BodyText"/>
        <w:spacing w:line="278" w:lineRule="auto" w:before="43"/>
        <w:ind w:right="240"/>
      </w:pPr>
      <w:r>
        <w:rPr>
          <w:spacing w:val="-2"/>
        </w:rPr>
        <w:t>运营成本：∑（</w:t>
      </w:r>
      <w:r>
        <w:rPr>
          <w:rFonts w:ascii="Arial" w:hAnsi="Arial" w:eastAsia="Arial"/>
          <w:spacing w:val="-2"/>
        </w:rPr>
        <w:t>ETC </w:t>
      </w:r>
      <w:r>
        <w:rPr>
          <w:spacing w:val="-2"/>
        </w:rPr>
        <w:t>正式人力成本</w:t>
      </w:r>
      <w:r>
        <w:rPr>
          <w:rFonts w:ascii="Arial" w:hAnsi="Arial" w:eastAsia="Arial"/>
          <w:spacing w:val="-2"/>
        </w:rPr>
        <w:t>*</w:t>
      </w:r>
      <w:r>
        <w:rPr>
          <w:spacing w:val="-2"/>
        </w:rPr>
        <w:t>该项目正式人力运营成本分摊率</w:t>
      </w:r>
      <w:r>
        <w:rPr>
          <w:rFonts w:ascii="Arial" w:hAnsi="Arial" w:eastAsia="Arial"/>
          <w:spacing w:val="-2"/>
        </w:rPr>
        <w:t>+</w:t>
      </w:r>
      <w:r>
        <w:rPr>
          <w:spacing w:val="-2"/>
        </w:rPr>
        <w:t>外包人力成本</w:t>
      </w:r>
      <w:r>
        <w:rPr>
          <w:rFonts w:ascii="Arial" w:hAnsi="Arial" w:eastAsia="Arial"/>
          <w:spacing w:val="-2"/>
        </w:rPr>
        <w:t>*</w:t>
      </w:r>
      <w:r>
        <w:rPr>
          <w:spacing w:val="-2"/>
        </w:rPr>
        <w:t>该项目外包人力运营成本分摊率）</w:t>
      </w:r>
    </w:p>
    <w:p>
      <w:pPr>
        <w:pStyle w:val="BodyText"/>
        <w:spacing w:line="269" w:lineRule="exact"/>
      </w:pPr>
      <w:r>
        <w:rPr>
          <w:spacing w:val="-3"/>
        </w:rPr>
        <w:t>报销费用：后续每月预估报销费用加和</w:t>
      </w:r>
    </w:p>
    <w:p>
      <w:pPr>
        <w:pStyle w:val="Heading1"/>
      </w:pPr>
      <w:r>
        <w:rPr>
          <w:spacing w:val="-5"/>
        </w:rPr>
        <w:t>EAC</w:t>
      </w:r>
    </w:p>
    <w:p>
      <w:pPr>
        <w:pStyle w:val="BodyText"/>
        <w:spacing w:before="51"/>
        <w:ind w:left="308"/>
        <w:rPr>
          <w:rFonts w:ascii="Arial" w:eastAsia="Arial"/>
        </w:rPr>
      </w:pPr>
      <w:r>
        <w:rPr>
          <w:spacing w:val="-2"/>
        </w:rPr>
        <w:t>成本：</w:t>
      </w:r>
      <w:r>
        <w:rPr>
          <w:rFonts w:ascii="Arial" w:eastAsia="Arial"/>
          <w:spacing w:val="-2"/>
        </w:rPr>
        <w:t>ITD+ETC</w:t>
      </w:r>
    </w:p>
    <w:p>
      <w:pPr>
        <w:pStyle w:val="BodyText"/>
        <w:spacing w:after="0"/>
        <w:rPr>
          <w:rFonts w:ascii="Arial" w:eastAsia="Arial"/>
        </w:rPr>
        <w:sectPr>
          <w:type w:val="continuous"/>
          <w:pgSz w:w="11910" w:h="16840"/>
          <w:pgMar w:top="1420" w:bottom="280" w:left="1700" w:right="1559"/>
        </w:sectPr>
      </w:pPr>
    </w:p>
    <w:p>
      <w:pPr>
        <w:pStyle w:val="BodyText"/>
        <w:spacing w:line="278" w:lineRule="auto" w:before="56"/>
        <w:ind w:left="308" w:right="238"/>
      </w:pPr>
      <w:r>
        <w:rPr>
          <w:rFonts w:ascii="Arial" w:eastAsia="Arial"/>
          <w:spacing w:val="-2"/>
        </w:rPr>
        <w:t>=ITD</w:t>
      </w:r>
      <w:r>
        <w:rPr>
          <w:spacing w:val="-2"/>
        </w:rPr>
        <w:t>（正式人力成本</w:t>
      </w:r>
      <w:r>
        <w:rPr>
          <w:rFonts w:ascii="Arial" w:eastAsia="Arial"/>
          <w:spacing w:val="-2"/>
        </w:rPr>
        <w:t>+</w:t>
      </w:r>
      <w:r>
        <w:rPr>
          <w:spacing w:val="-2"/>
        </w:rPr>
        <w:t>外包人力成本</w:t>
      </w:r>
      <w:r>
        <w:rPr>
          <w:rFonts w:ascii="Arial" w:eastAsia="Arial"/>
          <w:spacing w:val="-2"/>
        </w:rPr>
        <w:t>+</w:t>
      </w:r>
      <w:r>
        <w:rPr>
          <w:spacing w:val="-2"/>
        </w:rPr>
        <w:t>运营成本</w:t>
      </w:r>
      <w:r>
        <w:rPr>
          <w:rFonts w:ascii="Arial" w:eastAsia="Arial"/>
          <w:spacing w:val="-2"/>
        </w:rPr>
        <w:t>+</w:t>
      </w:r>
      <w:r>
        <w:rPr>
          <w:spacing w:val="-2"/>
        </w:rPr>
        <w:t>报销费用）</w:t>
      </w:r>
      <w:r>
        <w:rPr>
          <w:rFonts w:ascii="Arial" w:eastAsia="Arial"/>
          <w:spacing w:val="-2"/>
        </w:rPr>
        <w:t>+ETC</w:t>
      </w:r>
      <w:r>
        <w:rPr>
          <w:spacing w:val="-2"/>
        </w:rPr>
        <w:t>（正式人力成本</w:t>
      </w:r>
      <w:r>
        <w:rPr>
          <w:rFonts w:ascii="Arial" w:eastAsia="Arial"/>
          <w:spacing w:val="-2"/>
        </w:rPr>
        <w:t>+</w:t>
      </w:r>
      <w:r>
        <w:rPr>
          <w:spacing w:val="-2"/>
        </w:rPr>
        <w:t>外包人力成本</w:t>
      </w:r>
      <w:r>
        <w:rPr>
          <w:rFonts w:ascii="Arial" w:eastAsia="Arial"/>
          <w:spacing w:val="-2"/>
        </w:rPr>
        <w:t>+</w:t>
      </w:r>
      <w:r>
        <w:rPr>
          <w:spacing w:val="-2"/>
        </w:rPr>
        <w:t>运营成本</w:t>
      </w:r>
      <w:r>
        <w:rPr>
          <w:rFonts w:ascii="Arial" w:eastAsia="Arial"/>
          <w:spacing w:val="-2"/>
        </w:rPr>
        <w:t>+</w:t>
      </w:r>
      <w:r>
        <w:rPr>
          <w:spacing w:val="-2"/>
        </w:rPr>
        <w:t>报销费用）</w:t>
      </w:r>
    </w:p>
    <w:p>
      <w:pPr>
        <w:pStyle w:val="BodyText"/>
        <w:spacing w:line="278" w:lineRule="auto"/>
        <w:ind w:left="308" w:right="2852"/>
      </w:pPr>
      <w:r>
        <w:rPr>
          <w:spacing w:val="-4"/>
        </w:rPr>
        <w:t>异常情况：如果大于最新调整的 </w:t>
      </w:r>
      <w:r>
        <w:rPr>
          <w:rFonts w:ascii="Arial" w:eastAsia="Arial"/>
        </w:rPr>
        <w:t>PLAN</w:t>
      </w:r>
      <w:r>
        <w:rPr>
          <w:rFonts w:ascii="Arial" w:eastAsia="Arial"/>
          <w:spacing w:val="-15"/>
        </w:rPr>
        <w:t> </w:t>
      </w:r>
      <w:r>
        <w:rPr/>
        <w:t>成本，则为异常标红正式人力成本：</w:t>
      </w:r>
      <w:r>
        <w:rPr>
          <w:rFonts w:ascii="Arial" w:eastAsia="Arial"/>
        </w:rPr>
        <w:t>=ITD </w:t>
      </w:r>
      <w:r>
        <w:rPr/>
        <w:t>正式人力成本</w:t>
      </w:r>
      <w:r>
        <w:rPr>
          <w:rFonts w:ascii="Arial" w:eastAsia="Arial"/>
        </w:rPr>
        <w:t>+ETC </w:t>
      </w:r>
      <w:r>
        <w:rPr/>
        <w:t>正式人力成本</w:t>
      </w:r>
    </w:p>
    <w:p>
      <w:pPr>
        <w:pStyle w:val="BodyText"/>
        <w:spacing w:line="278" w:lineRule="auto"/>
        <w:ind w:left="308" w:right="2012"/>
      </w:pPr>
      <w:r>
        <w:rPr>
          <w:spacing w:val="-4"/>
        </w:rPr>
        <w:t>异常情况：如果大于最新调整的 </w:t>
      </w:r>
      <w:r>
        <w:rPr>
          <w:rFonts w:ascii="Arial" w:eastAsia="Arial"/>
        </w:rPr>
        <w:t>PLAN</w:t>
      </w:r>
      <w:r>
        <w:rPr>
          <w:rFonts w:ascii="Arial" w:eastAsia="Arial"/>
          <w:spacing w:val="-15"/>
        </w:rPr>
        <w:t> </w:t>
      </w:r>
      <w:r>
        <w:rPr/>
        <w:t>正式人力成本，则为异常标红外包人力成本：</w:t>
      </w:r>
      <w:r>
        <w:rPr>
          <w:rFonts w:ascii="Arial" w:eastAsia="Arial"/>
        </w:rPr>
        <w:t>=ITD </w:t>
      </w:r>
      <w:r>
        <w:rPr/>
        <w:t>正式人力成本</w:t>
      </w:r>
      <w:r>
        <w:rPr>
          <w:rFonts w:ascii="Arial" w:eastAsia="Arial"/>
        </w:rPr>
        <w:t>+ETC </w:t>
      </w:r>
      <w:r>
        <w:rPr/>
        <w:t>正式人力成本</w:t>
      </w:r>
    </w:p>
    <w:p>
      <w:pPr>
        <w:pStyle w:val="BodyText"/>
        <w:spacing w:line="278" w:lineRule="auto"/>
        <w:ind w:left="308" w:right="2012"/>
      </w:pPr>
      <w:r>
        <w:rPr>
          <w:spacing w:val="-4"/>
        </w:rPr>
        <w:t>异常情况：如果大于最新调整的 </w:t>
      </w:r>
      <w:r>
        <w:rPr>
          <w:rFonts w:ascii="Arial" w:eastAsia="Arial"/>
        </w:rPr>
        <w:t>PLAN</w:t>
      </w:r>
      <w:r>
        <w:rPr>
          <w:rFonts w:ascii="Arial" w:eastAsia="Arial"/>
          <w:spacing w:val="-15"/>
        </w:rPr>
        <w:t> </w:t>
      </w:r>
      <w:r>
        <w:rPr/>
        <w:t>外包人力成本，则为异常标红运营成本：</w:t>
      </w:r>
      <w:r>
        <w:rPr>
          <w:rFonts w:ascii="Arial" w:eastAsia="Arial"/>
        </w:rPr>
        <w:t>=ITD </w:t>
      </w:r>
      <w:r>
        <w:rPr/>
        <w:t>运营成本</w:t>
      </w:r>
      <w:r>
        <w:rPr>
          <w:rFonts w:ascii="Arial" w:eastAsia="Arial"/>
        </w:rPr>
        <w:t>+ETC </w:t>
      </w:r>
      <w:r>
        <w:rPr/>
        <w:t>运营成本</w:t>
      </w:r>
    </w:p>
    <w:p>
      <w:pPr>
        <w:pStyle w:val="BodyText"/>
        <w:spacing w:line="278" w:lineRule="auto"/>
        <w:ind w:left="308" w:right="2432"/>
      </w:pPr>
      <w:r>
        <w:rPr>
          <w:spacing w:val="-4"/>
        </w:rPr>
        <w:t>异常情况：如果大于最新调整的 </w:t>
      </w:r>
      <w:r>
        <w:rPr>
          <w:rFonts w:ascii="Arial" w:eastAsia="Arial"/>
        </w:rPr>
        <w:t>PLAN</w:t>
      </w:r>
      <w:r>
        <w:rPr>
          <w:rFonts w:ascii="Arial" w:eastAsia="Arial"/>
          <w:spacing w:val="-15"/>
        </w:rPr>
        <w:t> </w:t>
      </w:r>
      <w:r>
        <w:rPr/>
        <w:t>运营成本，则为异常标红报销费用：</w:t>
      </w:r>
      <w:r>
        <w:rPr>
          <w:rFonts w:ascii="Arial" w:eastAsia="Arial"/>
        </w:rPr>
        <w:t>ITD </w:t>
      </w:r>
      <w:r>
        <w:rPr/>
        <w:t>报销费用</w:t>
      </w:r>
      <w:r>
        <w:rPr>
          <w:rFonts w:ascii="Arial" w:eastAsia="Arial"/>
        </w:rPr>
        <w:t>+ETC </w:t>
      </w:r>
      <w:r>
        <w:rPr/>
        <w:t>报销费用</w:t>
      </w:r>
    </w:p>
    <w:p>
      <w:pPr>
        <w:spacing w:line="494" w:lineRule="auto" w:before="0"/>
        <w:ind w:left="100" w:right="2432" w:firstLine="208"/>
        <w:jc w:val="left"/>
        <w:rPr>
          <w:rFonts w:ascii="Microsoft JhengHei" w:eastAsia="Microsoft JhengHei"/>
          <w:b/>
          <w:sz w:val="21"/>
        </w:rPr>
      </w:pPr>
      <w:r>
        <w:rPr>
          <w:rFonts w:ascii="Microsoft JhengHei" w:eastAsia="Microsoft JhengHei"/>
          <w:b/>
          <w:sz w:val="21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1143000</wp:posOffset>
            </wp:positionH>
            <wp:positionV relativeFrom="paragraph">
              <wp:posOffset>598471</wp:posOffset>
            </wp:positionV>
            <wp:extent cx="5269992" cy="2153412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992" cy="2153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1"/>
        </w:rPr>
        <w:t>异常情况：如果大于最新调整的 </w:t>
      </w:r>
      <w:r>
        <w:rPr>
          <w:rFonts w:ascii="Arial" w:eastAsia="Arial"/>
          <w:sz w:val="21"/>
        </w:rPr>
        <w:t>PLAN</w:t>
      </w:r>
      <w:r>
        <w:rPr>
          <w:rFonts w:ascii="Arial" w:eastAsia="Arial"/>
          <w:spacing w:val="-15"/>
          <w:sz w:val="21"/>
        </w:rPr>
        <w:t> </w:t>
      </w:r>
      <w:r>
        <w:rPr>
          <w:sz w:val="21"/>
        </w:rPr>
        <w:t>报销费用，则为异常标红</w:t>
      </w:r>
      <w:r>
        <w:rPr>
          <w:rFonts w:ascii="Microsoft JhengHei" w:eastAsia="Microsoft JhengHei"/>
          <w:b/>
          <w:spacing w:val="-2"/>
          <w:sz w:val="21"/>
        </w:rPr>
        <w:t>部门原数据内容：</w:t>
      </w:r>
    </w:p>
    <w:p>
      <w:pPr>
        <w:pStyle w:val="BodyText"/>
        <w:ind w:left="0"/>
        <w:rPr>
          <w:rFonts w:ascii="Microsoft JhengHei"/>
          <w:b/>
        </w:rPr>
      </w:pPr>
    </w:p>
    <w:p>
      <w:pPr>
        <w:pStyle w:val="BodyText"/>
        <w:ind w:left="0"/>
        <w:rPr>
          <w:rFonts w:ascii="Microsoft JhengHei"/>
          <w:b/>
        </w:rPr>
      </w:pPr>
    </w:p>
    <w:p>
      <w:pPr>
        <w:pStyle w:val="BodyText"/>
        <w:ind w:left="0"/>
        <w:rPr>
          <w:rFonts w:ascii="Microsoft JhengHei"/>
          <w:b/>
        </w:rPr>
      </w:pPr>
    </w:p>
    <w:p>
      <w:pPr>
        <w:pStyle w:val="BodyText"/>
        <w:ind w:left="0"/>
        <w:rPr>
          <w:rFonts w:ascii="Microsoft JhengHei"/>
          <w:b/>
        </w:rPr>
      </w:pPr>
    </w:p>
    <w:p>
      <w:pPr>
        <w:pStyle w:val="BodyText"/>
        <w:ind w:left="0"/>
        <w:rPr>
          <w:rFonts w:ascii="Microsoft JhengHei"/>
          <w:b/>
        </w:rPr>
      </w:pPr>
    </w:p>
    <w:p>
      <w:pPr>
        <w:pStyle w:val="BodyText"/>
        <w:ind w:left="0"/>
        <w:rPr>
          <w:rFonts w:ascii="Microsoft JhengHei"/>
          <w:b/>
        </w:rPr>
      </w:pPr>
    </w:p>
    <w:p>
      <w:pPr>
        <w:pStyle w:val="BodyText"/>
        <w:spacing w:before="244"/>
        <w:ind w:left="0"/>
        <w:rPr>
          <w:rFonts w:ascii="Microsoft JhengHei"/>
          <w:b/>
        </w:rPr>
      </w:pPr>
    </w:p>
    <w:p>
      <w:pPr>
        <w:spacing w:before="1"/>
        <w:ind w:left="100" w:right="0" w:firstLine="0"/>
        <w:jc w:val="left"/>
        <w:rPr>
          <w:rFonts w:ascii="Microsoft JhengHei" w:eastAsia="Microsoft JhengHei"/>
          <w:b/>
          <w:sz w:val="21"/>
        </w:rPr>
      </w:pPr>
      <w:r>
        <w:rPr>
          <w:rFonts w:ascii="Microsoft JhengHei" w:eastAsia="Microsoft JhengHei"/>
          <w:b/>
          <w:spacing w:val="-2"/>
          <w:sz w:val="21"/>
        </w:rPr>
        <w:t>部门首页 </w:t>
      </w:r>
      <w:r>
        <w:rPr>
          <w:rFonts w:ascii="Arial" w:eastAsia="Arial"/>
          <w:b/>
          <w:sz w:val="21"/>
        </w:rPr>
        <w:t>UI</w:t>
      </w:r>
      <w:r>
        <w:rPr>
          <w:rFonts w:ascii="Arial" w:eastAsia="Arial"/>
          <w:b/>
          <w:spacing w:val="-11"/>
          <w:sz w:val="21"/>
        </w:rPr>
        <w:t> </w:t>
      </w:r>
      <w:r>
        <w:rPr>
          <w:rFonts w:ascii="Microsoft JhengHei" w:eastAsia="Microsoft JhengHei"/>
          <w:b/>
          <w:spacing w:val="-4"/>
          <w:sz w:val="21"/>
        </w:rPr>
        <w:t>展示：</w:t>
      </w:r>
    </w:p>
    <w:p>
      <w:pPr>
        <w:spacing w:after="0"/>
        <w:jc w:val="left"/>
        <w:rPr>
          <w:rFonts w:ascii="Microsoft JhengHei" w:eastAsia="Microsoft JhengHei"/>
          <w:b/>
          <w:sz w:val="21"/>
        </w:rPr>
        <w:sectPr>
          <w:pgSz w:w="11910" w:h="16840"/>
          <w:pgMar w:top="1380" w:bottom="280" w:left="1700" w:right="1559"/>
        </w:sectPr>
      </w:pPr>
    </w:p>
    <w:p>
      <w:pPr>
        <w:pStyle w:val="BodyText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inline distT="0" distB="0" distL="0" distR="0">
            <wp:extent cx="4887902" cy="450227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7902" cy="450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/>
          <w:sz w:val="20"/>
        </w:rPr>
      </w:r>
    </w:p>
    <w:p>
      <w:pPr>
        <w:pStyle w:val="BodyText"/>
        <w:spacing w:after="0"/>
        <w:rPr>
          <w:rFonts w:ascii="Microsoft JhengHei"/>
          <w:sz w:val="20"/>
        </w:rPr>
        <w:sectPr>
          <w:pgSz w:w="11910" w:h="16840"/>
          <w:pgMar w:top="1560" w:bottom="280" w:left="1700" w:right="1559"/>
        </w:sectPr>
      </w:pPr>
    </w:p>
    <w:p>
      <w:pPr>
        <w:pStyle w:val="BodyText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inline distT="0" distB="0" distL="0" distR="0">
            <wp:extent cx="5154495" cy="475240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4495" cy="475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/>
          <w:sz w:val="20"/>
        </w:rPr>
      </w:r>
    </w:p>
    <w:p>
      <w:pPr>
        <w:pStyle w:val="BodyText"/>
        <w:spacing w:before="87"/>
        <w:ind w:left="0"/>
        <w:rPr>
          <w:rFonts w:ascii="Microsoft JhengHei"/>
          <w:b/>
        </w:rPr>
      </w:pPr>
    </w:p>
    <w:p>
      <w:pPr>
        <w:spacing w:line="384" w:lineRule="exact" w:before="0"/>
        <w:ind w:left="100" w:right="0" w:firstLine="0"/>
        <w:jc w:val="left"/>
        <w:rPr>
          <w:rFonts w:ascii="Microsoft JhengHei" w:eastAsia="Microsoft JhengHei"/>
          <w:b/>
          <w:sz w:val="21"/>
        </w:rPr>
      </w:pPr>
      <w:r>
        <w:rPr>
          <w:rFonts w:ascii="Microsoft JhengHei" w:eastAsia="Microsoft JhengHei"/>
          <w:b/>
          <w:spacing w:val="-3"/>
          <w:sz w:val="21"/>
        </w:rPr>
        <w:t>部门每月数据逻辑：</w:t>
      </w:r>
    </w:p>
    <w:p>
      <w:pPr>
        <w:pStyle w:val="BodyText"/>
        <w:spacing w:line="278" w:lineRule="auto"/>
        <w:ind w:right="241"/>
      </w:pPr>
      <w:r>
        <w:rPr>
          <w:spacing w:val="-2"/>
        </w:rPr>
        <w:t>（以下所需数据取自【项目成本</w:t>
      </w:r>
      <w:r>
        <w:rPr>
          <w:rFonts w:ascii="Arial" w:eastAsia="Arial"/>
          <w:spacing w:val="-2"/>
        </w:rPr>
        <w:t>-</w:t>
      </w:r>
      <w:r>
        <w:rPr>
          <w:spacing w:val="-2"/>
        </w:rPr>
        <w:t>项目使用】，但不局限于在途项目，只要是当月有以下数</w:t>
      </w:r>
      <w:r>
        <w:rPr>
          <w:spacing w:val="-2"/>
        </w:rPr>
        <w:t>据的项目，哪怕项目已结束，也要计算进去）</w:t>
      </w:r>
    </w:p>
    <w:p>
      <w:pPr>
        <w:pStyle w:val="BodyText"/>
        <w:spacing w:before="41"/>
        <w:ind w:left="0"/>
      </w:pPr>
    </w:p>
    <w:p>
      <w:pPr>
        <w:pStyle w:val="BodyText"/>
      </w:pPr>
      <w:r>
        <w:rPr>
          <w:spacing w:val="-5"/>
        </w:rPr>
        <w:t>开票收入：该部门当月开票收入不为 </w:t>
      </w:r>
      <w:r>
        <w:rPr>
          <w:rFonts w:ascii="Arial" w:eastAsia="Arial"/>
          <w:spacing w:val="-2"/>
        </w:rPr>
        <w:t>0</w:t>
      </w:r>
      <w:r>
        <w:rPr>
          <w:rFonts w:ascii="Arial" w:eastAsia="Arial"/>
          <w:spacing w:val="-3"/>
        </w:rPr>
        <w:t> </w:t>
      </w:r>
      <w:r>
        <w:rPr>
          <w:spacing w:val="-3"/>
        </w:rPr>
        <w:t>的项目开票收入加和</w:t>
      </w:r>
    </w:p>
    <w:p>
      <w:pPr>
        <w:pStyle w:val="BodyText"/>
        <w:spacing w:before="43"/>
      </w:pPr>
      <w:r>
        <w:rPr>
          <w:rFonts w:ascii="Arial" w:eastAsia="Arial"/>
          <w:color w:val="000000"/>
          <w:spacing w:val="-2"/>
          <w:highlight w:val="yellow"/>
        </w:rPr>
        <w:t>GAAP</w:t>
      </w:r>
      <w:r>
        <w:rPr>
          <w:rFonts w:ascii="Arial" w:eastAsia="Arial"/>
          <w:color w:val="000000"/>
          <w:highlight w:val="yellow"/>
        </w:rPr>
        <w:t> </w:t>
      </w:r>
      <w:r>
        <w:rPr>
          <w:color w:val="000000"/>
          <w:spacing w:val="-3"/>
          <w:highlight w:val="yellow"/>
        </w:rPr>
        <w:t>收入目标：运营手动录入</w:t>
      </w:r>
    </w:p>
    <w:p>
      <w:pPr>
        <w:pStyle w:val="BodyText"/>
        <w:spacing w:line="278" w:lineRule="auto" w:before="43"/>
        <w:ind w:right="1904"/>
      </w:pPr>
      <w:r>
        <w:rPr>
          <w:rFonts w:ascii="Arial" w:eastAsia="Arial"/>
        </w:rPr>
        <w:t>GAAP</w:t>
      </w:r>
      <w:r>
        <w:rPr>
          <w:rFonts w:ascii="Arial" w:eastAsia="Arial"/>
          <w:spacing w:val="-15"/>
        </w:rPr>
        <w:t> </w:t>
      </w:r>
      <w:r>
        <w:rPr>
          <w:spacing w:val="-5"/>
        </w:rPr>
        <w:t>收入达成：该部门当月 </w:t>
      </w:r>
      <w:r>
        <w:rPr>
          <w:rFonts w:ascii="Arial" w:eastAsia="Arial"/>
        </w:rPr>
        <w:t>GAAP</w:t>
      </w:r>
      <w:r>
        <w:rPr>
          <w:rFonts w:ascii="Arial" w:eastAsia="Arial"/>
          <w:spacing w:val="-15"/>
        </w:rPr>
        <w:t> </w:t>
      </w:r>
      <w:r>
        <w:rPr>
          <w:spacing w:val="-10"/>
        </w:rPr>
        <w:t>收入不为 </w:t>
      </w:r>
      <w:r>
        <w:rPr>
          <w:rFonts w:ascii="Arial" w:eastAsia="Arial"/>
        </w:rPr>
        <w:t>0</w:t>
      </w:r>
      <w:r>
        <w:rPr>
          <w:rFonts w:ascii="Arial" w:eastAsia="Arial"/>
          <w:spacing w:val="-14"/>
        </w:rPr>
        <w:t> </w:t>
      </w:r>
      <w:r>
        <w:rPr>
          <w:spacing w:val="-14"/>
        </w:rPr>
        <w:t>的项目 </w:t>
      </w:r>
      <w:r>
        <w:rPr>
          <w:rFonts w:ascii="Arial" w:eastAsia="Arial"/>
        </w:rPr>
        <w:t>GAAP</w:t>
      </w:r>
      <w:r>
        <w:rPr>
          <w:rFonts w:ascii="Arial" w:eastAsia="Arial"/>
          <w:spacing w:val="-15"/>
        </w:rPr>
        <w:t> </w:t>
      </w:r>
      <w:r>
        <w:rPr/>
        <w:t>收入加和</w:t>
      </w:r>
      <w:r>
        <w:rPr>
          <w:spacing w:val="-1"/>
        </w:rPr>
        <w:t>实施成本：该部门当月交付项目投入成本不为 </w:t>
      </w:r>
      <w:r>
        <w:rPr>
          <w:rFonts w:ascii="Arial" w:eastAsia="Arial"/>
        </w:rPr>
        <w:t>0 </w:t>
      </w:r>
      <w:r>
        <w:rPr/>
        <w:t>的项目成本加和</w:t>
      </w:r>
    </w:p>
    <w:p>
      <w:pPr>
        <w:pStyle w:val="BodyText"/>
        <w:spacing w:line="269" w:lineRule="exact"/>
      </w:pPr>
      <w:r>
        <w:rPr>
          <w:spacing w:val="-13"/>
        </w:rPr>
        <w:t>毛利率 </w:t>
      </w:r>
      <w:r>
        <w:rPr>
          <w:rFonts w:ascii="Arial" w:eastAsia="Arial"/>
          <w:spacing w:val="-2"/>
        </w:rPr>
        <w:t>A</w:t>
      </w:r>
      <w:r>
        <w:rPr>
          <w:spacing w:val="-2"/>
        </w:rPr>
        <w:t>（开票收入）：</w:t>
      </w:r>
      <w:r>
        <w:rPr>
          <w:rFonts w:ascii="Arial" w:eastAsia="Arial"/>
          <w:spacing w:val="-2"/>
        </w:rPr>
        <w:t>1-</w:t>
      </w:r>
      <w:r>
        <w:rPr>
          <w:spacing w:val="-2"/>
        </w:rPr>
        <w:t>实施成本</w:t>
      </w:r>
      <w:r>
        <w:rPr>
          <w:rFonts w:ascii="Arial" w:eastAsia="Arial"/>
          <w:spacing w:val="-2"/>
        </w:rPr>
        <w:t>/</w:t>
      </w:r>
      <w:r>
        <w:rPr>
          <w:spacing w:val="-4"/>
        </w:rPr>
        <w:t>不含税开票收入</w:t>
      </w:r>
    </w:p>
    <w:p>
      <w:pPr>
        <w:pStyle w:val="BodyText"/>
        <w:spacing w:line="336" w:lineRule="auto" w:before="138"/>
        <w:ind w:right="1196"/>
      </w:pPr>
      <w:r>
        <w:rPr>
          <w:spacing w:val="-2"/>
        </w:rPr>
        <w:t>其中：不含税开票收入</w:t>
      </w:r>
      <w:r>
        <w:rPr>
          <w:rFonts w:ascii="Arial" w:hAnsi="Arial" w:eastAsia="Arial"/>
          <w:spacing w:val="-2"/>
        </w:rPr>
        <w:t>=</w:t>
      </w:r>
      <w:r>
        <w:rPr>
          <w:rFonts w:ascii="Microsoft YaHei Light" w:hAnsi="Microsoft YaHei Light" w:eastAsia="Microsoft YaHei Light"/>
          <w:spacing w:val="-2"/>
        </w:rPr>
        <w:t>∑（</w:t>
      </w:r>
      <w:r>
        <w:rPr>
          <w:spacing w:val="-2"/>
        </w:rPr>
        <w:t>该部门每个项目当月开票收入</w:t>
      </w:r>
      <w:r>
        <w:rPr>
          <w:rFonts w:ascii="Arial" w:hAnsi="Arial" w:eastAsia="Arial"/>
          <w:spacing w:val="-2"/>
        </w:rPr>
        <w:t>/</w:t>
      </w:r>
      <w:r>
        <w:rPr>
          <w:spacing w:val="-2"/>
        </w:rPr>
        <w:t>（</w:t>
      </w:r>
      <w:r>
        <w:rPr>
          <w:rFonts w:ascii="Arial" w:hAnsi="Arial" w:eastAsia="Arial"/>
          <w:spacing w:val="-2"/>
        </w:rPr>
        <w:t>1+</w:t>
      </w:r>
      <w:r>
        <w:rPr>
          <w:spacing w:val="-2"/>
        </w:rPr>
        <w:t>该项目税率））</w:t>
      </w:r>
      <w:r>
        <w:rPr>
          <w:color w:val="000000"/>
          <w:spacing w:val="-8"/>
          <w:highlight w:val="yellow"/>
        </w:rPr>
        <w:t>毛利率 </w:t>
      </w:r>
      <w:r>
        <w:rPr>
          <w:rFonts w:ascii="Arial" w:hAnsi="Arial" w:eastAsia="Arial"/>
          <w:color w:val="000000"/>
          <w:highlight w:val="yellow"/>
        </w:rPr>
        <w:t>A</w:t>
      </w:r>
      <w:r>
        <w:rPr>
          <w:color w:val="000000"/>
          <w:highlight w:val="yellow"/>
        </w:rPr>
        <w:t>（</w:t>
      </w:r>
      <w:r>
        <w:rPr>
          <w:rFonts w:ascii="Arial" w:hAnsi="Arial" w:eastAsia="Arial"/>
          <w:color w:val="000000"/>
          <w:highlight w:val="yellow"/>
        </w:rPr>
        <w:t>GAAP </w:t>
      </w:r>
      <w:r>
        <w:rPr>
          <w:color w:val="000000"/>
          <w:highlight w:val="yellow"/>
        </w:rPr>
        <w:t>收入）：</w:t>
      </w:r>
      <w:r>
        <w:rPr>
          <w:rFonts w:ascii="Arial" w:hAnsi="Arial" w:eastAsia="Arial"/>
          <w:color w:val="000000"/>
          <w:highlight w:val="yellow"/>
        </w:rPr>
        <w:t>=</w:t>
      </w:r>
      <w:r>
        <w:rPr>
          <w:color w:val="000000"/>
          <w:highlight w:val="yellow"/>
        </w:rPr>
        <w:t>目标毛利率 </w:t>
      </w:r>
      <w:r>
        <w:rPr>
          <w:rFonts w:ascii="Arial" w:hAnsi="Arial" w:eastAsia="Arial"/>
          <w:color w:val="000000"/>
          <w:highlight w:val="yellow"/>
        </w:rPr>
        <w:t>&amp; 1-</w:t>
      </w:r>
      <w:r>
        <w:rPr>
          <w:color w:val="000000"/>
          <w:highlight w:val="yellow"/>
        </w:rPr>
        <w:t>实施成本</w:t>
      </w:r>
      <w:r>
        <w:rPr>
          <w:rFonts w:ascii="Arial" w:hAnsi="Arial" w:eastAsia="Arial"/>
          <w:color w:val="000000"/>
          <w:highlight w:val="yellow"/>
        </w:rPr>
        <w:t>/GAAP </w:t>
      </w:r>
      <w:r>
        <w:rPr>
          <w:color w:val="000000"/>
          <w:highlight w:val="yellow"/>
        </w:rPr>
        <w:t>收入</w:t>
      </w:r>
    </w:p>
    <w:p>
      <w:pPr>
        <w:pStyle w:val="BodyText"/>
        <w:spacing w:line="204" w:lineRule="exact"/>
      </w:pPr>
      <w:r>
        <w:rPr>
          <w:color w:val="000000"/>
          <w:spacing w:val="-3"/>
          <w:highlight w:val="yellow"/>
        </w:rPr>
        <w:t>目标毛利率为运营手动录入</w:t>
      </w:r>
    </w:p>
    <w:p>
      <w:pPr>
        <w:pStyle w:val="BodyText"/>
        <w:spacing w:before="86"/>
        <w:ind w:left="0"/>
      </w:pPr>
    </w:p>
    <w:p>
      <w:pPr>
        <w:pStyle w:val="BodyText"/>
        <w:spacing w:line="278" w:lineRule="auto"/>
        <w:ind w:right="4137"/>
      </w:pPr>
      <w:r>
        <w:rPr>
          <w:spacing w:val="-2"/>
        </w:rPr>
        <w:t>项目售前成本，数据取自项目使用中售前项目。部门售前成本</w:t>
      </w:r>
      <w:r>
        <w:rPr>
          <w:rFonts w:ascii="Arial" w:eastAsia="Arial"/>
          <w:spacing w:val="-2"/>
        </w:rPr>
        <w:t>=</w:t>
      </w:r>
      <w:r>
        <w:rPr>
          <w:spacing w:val="-2"/>
        </w:rPr>
        <w:t>该部门售前项目成本加和。</w:t>
      </w:r>
    </w:p>
    <w:p>
      <w:pPr>
        <w:pStyle w:val="BodyText"/>
        <w:spacing w:line="269" w:lineRule="exact"/>
      </w:pPr>
      <w:r>
        <w:rPr>
          <w:spacing w:val="-5"/>
        </w:rPr>
        <w:t>注：不管项目是否结束，只要项目成本不为 </w:t>
      </w:r>
      <w:r>
        <w:rPr>
          <w:rFonts w:ascii="Arial" w:eastAsia="Arial"/>
          <w:spacing w:val="-2"/>
        </w:rPr>
        <w:t>0</w:t>
      </w:r>
      <w:r>
        <w:rPr>
          <w:spacing w:val="-4"/>
        </w:rPr>
        <w:t>，则加和。</w:t>
      </w:r>
    </w:p>
    <w:p>
      <w:pPr>
        <w:pStyle w:val="BodyText"/>
        <w:spacing w:after="0" w:line="269" w:lineRule="exact"/>
        <w:sectPr>
          <w:pgSz w:w="11910" w:h="16840"/>
          <w:pgMar w:top="1520" w:bottom="280" w:left="1700" w:right="1559"/>
        </w:sectPr>
      </w:pPr>
    </w:p>
    <w:p>
      <w:pPr>
        <w:pStyle w:val="BodyText"/>
        <w:spacing w:before="36"/>
      </w:pPr>
      <w:r>
        <w:rPr>
          <w:spacing w:val="-3"/>
        </w:rPr>
        <w:t>部门其他成本，数据取自项目使用中其他项目，且筛选属于该部门的人员。</w:t>
      </w:r>
    </w:p>
    <w:p>
      <w:pPr>
        <w:pStyle w:val="BodyText"/>
        <w:spacing w:line="278" w:lineRule="auto" w:before="43"/>
        <w:ind w:right="1040"/>
      </w:pPr>
      <w:r>
        <w:rPr>
          <w:spacing w:val="-2"/>
        </w:rPr>
        <w:t>部门其他成本</w:t>
      </w:r>
      <w:r>
        <w:rPr>
          <w:rFonts w:ascii="Arial" w:eastAsia="Arial"/>
          <w:spacing w:val="-2"/>
        </w:rPr>
        <w:t>=</w:t>
      </w:r>
      <w:r>
        <w:rPr>
          <w:spacing w:val="-2"/>
        </w:rPr>
        <w:t>其他项目中该部门人员成本正式人力成本</w:t>
      </w:r>
      <w:r>
        <w:rPr>
          <w:rFonts w:ascii="Arial" w:eastAsia="Arial"/>
          <w:spacing w:val="-2"/>
        </w:rPr>
        <w:t>+</w:t>
      </w:r>
      <w:r>
        <w:rPr>
          <w:spacing w:val="-2"/>
        </w:rPr>
        <w:t>外包人力成本</w:t>
      </w:r>
      <w:r>
        <w:rPr>
          <w:rFonts w:ascii="Arial" w:eastAsia="Arial"/>
          <w:spacing w:val="-2"/>
        </w:rPr>
        <w:t>+</w:t>
      </w:r>
      <w:r>
        <w:rPr>
          <w:spacing w:val="-2"/>
        </w:rPr>
        <w:t>运营成本</w:t>
      </w:r>
      <w:r>
        <w:rPr>
          <w:spacing w:val="-6"/>
        </w:rPr>
        <w:t>其中</w:t>
      </w:r>
    </w:p>
    <w:p>
      <w:pPr>
        <w:pStyle w:val="BodyText"/>
        <w:spacing w:line="278" w:lineRule="auto"/>
        <w:ind w:right="240"/>
      </w:pPr>
      <w:r>
        <w:rPr/>
        <w:t>正式人力成本：正式员工实际使用成本 </w:t>
      </w:r>
      <w:r>
        <w:rPr>
          <w:rFonts w:ascii="Arial" w:hAnsi="Arial" w:eastAsia="Arial"/>
        </w:rPr>
        <w:t>=</w:t>
      </w:r>
      <w:r>
        <w:rPr/>
        <w:t>∑（</w:t>
      </w:r>
      <w:r>
        <w:rPr>
          <w:spacing w:val="-4"/>
        </w:rPr>
        <w:t>该部门正式人员 </w:t>
      </w:r>
      <w:r>
        <w:rPr>
          <w:rFonts w:ascii="Arial" w:hAnsi="Arial" w:eastAsia="Arial"/>
        </w:rPr>
        <w:t>rate/21.75/8*</w:t>
      </w:r>
      <w:r>
        <w:rPr/>
        <w:t>此项目工时）</w:t>
      </w:r>
      <w:r>
        <w:rPr>
          <w:spacing w:val="-2"/>
        </w:rPr>
        <w:t>外包人力成本：外包人员实际使用成本 </w:t>
      </w:r>
      <w:r>
        <w:rPr>
          <w:rFonts w:ascii="Arial" w:hAnsi="Arial" w:eastAsia="Arial"/>
        </w:rPr>
        <w:t>=</w:t>
      </w:r>
      <w:r>
        <w:rPr/>
        <w:t>∑（该部门外包人员单价</w:t>
      </w:r>
      <w:r>
        <w:rPr>
          <w:rFonts w:ascii="Arial" w:hAnsi="Arial" w:eastAsia="Arial"/>
        </w:rPr>
        <w:t>/</w:t>
      </w:r>
      <w:r>
        <w:rPr/>
        <w:t>当月工作日天数</w:t>
      </w:r>
      <w:r>
        <w:rPr>
          <w:rFonts w:ascii="Arial" w:hAnsi="Arial" w:eastAsia="Arial"/>
        </w:rPr>
        <w:t>/8*</w:t>
      </w:r>
      <w:r>
        <w:rPr/>
        <w:t>此项</w:t>
      </w:r>
      <w:r>
        <w:rPr>
          <w:spacing w:val="-4"/>
        </w:rPr>
        <w:t>目工时）</w:t>
      </w:r>
    </w:p>
    <w:p>
      <w:pPr>
        <w:pStyle w:val="BodyText"/>
        <w:spacing w:line="278" w:lineRule="auto"/>
        <w:ind w:right="240"/>
      </w:pPr>
      <w:r>
        <w:rPr>
          <w:spacing w:val="-4"/>
        </w:rPr>
        <w:t>运营成本：</w:t>
      </w:r>
      <w:r>
        <w:rPr>
          <w:rFonts w:ascii="Arial" w:hAnsi="Arial" w:eastAsia="Arial"/>
          <w:spacing w:val="-4"/>
        </w:rPr>
        <w:t>=</w:t>
      </w:r>
      <w:r>
        <w:rPr>
          <w:spacing w:val="-4"/>
        </w:rPr>
        <w:t>∑（正式人力成本</w:t>
      </w:r>
      <w:r>
        <w:rPr>
          <w:rFonts w:ascii="Arial" w:hAnsi="Arial" w:eastAsia="Arial"/>
          <w:spacing w:val="-4"/>
        </w:rPr>
        <w:t>*</w:t>
      </w:r>
      <w:r>
        <w:rPr>
          <w:spacing w:val="-4"/>
        </w:rPr>
        <w:t>该项目正式人力运营成本分摊率</w:t>
      </w:r>
      <w:r>
        <w:rPr>
          <w:rFonts w:ascii="Arial" w:hAnsi="Arial" w:eastAsia="Arial"/>
          <w:spacing w:val="-4"/>
        </w:rPr>
        <w:t>+</w:t>
      </w:r>
      <w:r>
        <w:rPr>
          <w:spacing w:val="-4"/>
        </w:rPr>
        <w:t>外包人力成本</w:t>
      </w:r>
      <w:r>
        <w:rPr>
          <w:rFonts w:ascii="Arial" w:hAnsi="Arial" w:eastAsia="Arial"/>
          <w:spacing w:val="-4"/>
        </w:rPr>
        <w:t>*</w:t>
      </w:r>
      <w:r>
        <w:rPr>
          <w:spacing w:val="-4"/>
        </w:rPr>
        <w:t>该项目外包</w:t>
      </w:r>
      <w:r>
        <w:rPr>
          <w:spacing w:val="-2"/>
        </w:rPr>
        <w:t>人力运营成本分摊率）</w:t>
      </w:r>
    </w:p>
    <w:p>
      <w:pPr>
        <w:pStyle w:val="BodyText"/>
        <w:spacing w:before="42"/>
        <w:ind w:left="0"/>
      </w:pPr>
    </w:p>
    <w:p>
      <w:pPr>
        <w:pStyle w:val="BodyText"/>
      </w:pPr>
      <w:r>
        <w:rPr>
          <w:spacing w:val="-5"/>
        </w:rPr>
        <w:t>注：不管项目是否结束，只要项目成本不为 </w:t>
      </w:r>
      <w:r>
        <w:rPr>
          <w:rFonts w:ascii="Arial" w:eastAsia="Arial"/>
          <w:spacing w:val="-2"/>
        </w:rPr>
        <w:t>0</w:t>
      </w:r>
      <w:r>
        <w:rPr>
          <w:spacing w:val="-4"/>
        </w:rPr>
        <w:t>，则加和。</w:t>
      </w:r>
    </w:p>
    <w:p>
      <w:pPr>
        <w:pStyle w:val="BodyText"/>
        <w:spacing w:before="86"/>
        <w:ind w:left="0"/>
      </w:pPr>
    </w:p>
    <w:p>
      <w:pPr>
        <w:pStyle w:val="BodyText"/>
        <w:spacing w:line="278" w:lineRule="auto"/>
        <w:ind w:right="240"/>
      </w:pPr>
      <w:r>
        <w:rPr>
          <w:spacing w:val="-15"/>
        </w:rPr>
        <w:t>毛利率 </w:t>
      </w:r>
      <w:r>
        <w:rPr>
          <w:rFonts w:ascii="Arial" w:eastAsia="Arial"/>
          <w:spacing w:val="-2"/>
        </w:rPr>
        <w:t>B</w:t>
      </w:r>
      <w:r>
        <w:rPr>
          <w:spacing w:val="-2"/>
        </w:rPr>
        <w:t>（开票收入）</w:t>
      </w:r>
      <w:r>
        <w:rPr>
          <w:rFonts w:ascii="Arial" w:eastAsia="Arial"/>
          <w:spacing w:val="-2"/>
        </w:rPr>
        <w:t>=1-</w:t>
      </w:r>
      <w:r>
        <w:rPr>
          <w:spacing w:val="-2"/>
        </w:rPr>
        <w:t>（部门实施成本</w:t>
      </w:r>
      <w:r>
        <w:rPr>
          <w:rFonts w:ascii="Arial" w:eastAsia="Arial"/>
          <w:spacing w:val="-2"/>
        </w:rPr>
        <w:t>+</w:t>
      </w:r>
      <w:r>
        <w:rPr>
          <w:spacing w:val="-2"/>
        </w:rPr>
        <w:t>部门售前成本</w:t>
      </w:r>
      <w:r>
        <w:rPr>
          <w:rFonts w:ascii="Arial" w:eastAsia="Arial"/>
          <w:spacing w:val="-2"/>
        </w:rPr>
        <w:t>+</w:t>
      </w:r>
      <w:r>
        <w:rPr>
          <w:spacing w:val="-2"/>
        </w:rPr>
        <w:t>部门其他成本）</w:t>
      </w:r>
      <w:r>
        <w:rPr>
          <w:rFonts w:ascii="Arial" w:eastAsia="Arial"/>
          <w:spacing w:val="-2"/>
        </w:rPr>
        <w:t>/</w:t>
      </w:r>
      <w:r>
        <w:rPr>
          <w:spacing w:val="-2"/>
        </w:rPr>
        <w:t>不含税开票收入</w:t>
      </w:r>
      <w:r>
        <w:rPr>
          <w:spacing w:val="-6"/>
        </w:rPr>
        <w:t>毛利率 </w:t>
      </w:r>
      <w:r>
        <w:rPr>
          <w:rFonts w:ascii="Arial" w:eastAsia="Arial"/>
        </w:rPr>
        <w:t>B</w:t>
      </w:r>
      <w:r>
        <w:rPr/>
        <w:t>（</w:t>
      </w:r>
      <w:r>
        <w:rPr>
          <w:rFonts w:ascii="Arial" w:eastAsia="Arial"/>
        </w:rPr>
        <w:t>GAAP </w:t>
      </w:r>
      <w:r>
        <w:rPr/>
        <w:t>收入）</w:t>
      </w:r>
      <w:r>
        <w:rPr>
          <w:rFonts w:ascii="Arial" w:eastAsia="Arial"/>
        </w:rPr>
        <w:t>=1-</w:t>
      </w:r>
      <w:r>
        <w:rPr/>
        <w:t>（部门实施成本</w:t>
      </w:r>
      <w:r>
        <w:rPr>
          <w:rFonts w:ascii="Arial" w:eastAsia="Arial"/>
        </w:rPr>
        <w:t>+</w:t>
      </w:r>
      <w:r>
        <w:rPr/>
        <w:t>部门售前成本</w:t>
      </w:r>
      <w:r>
        <w:rPr>
          <w:rFonts w:ascii="Arial" w:eastAsia="Arial"/>
        </w:rPr>
        <w:t>+</w:t>
      </w:r>
      <w:r>
        <w:rPr/>
        <w:t>部门其他成本）</w:t>
      </w:r>
      <w:r>
        <w:rPr>
          <w:rFonts w:ascii="Arial" w:eastAsia="Arial"/>
        </w:rPr>
        <w:t>/GAAP </w:t>
      </w:r>
      <w:r>
        <w:rPr/>
        <w:t>收入</w:t>
      </w:r>
    </w:p>
    <w:p>
      <w:pPr>
        <w:pStyle w:val="BodyText"/>
        <w:spacing w:before="26"/>
        <w:ind w:left="0"/>
      </w:pPr>
    </w:p>
    <w:p>
      <w:pPr>
        <w:spacing w:line="194" w:lineRule="auto" w:before="0"/>
        <w:ind w:left="100" w:right="2333" w:firstLine="0"/>
        <w:jc w:val="left"/>
        <w:rPr>
          <w:rFonts w:ascii="Microsoft JhengHei" w:eastAsia="Microsoft JhengHei"/>
          <w:b/>
          <w:sz w:val="21"/>
        </w:rPr>
      </w:pPr>
      <w:r>
        <w:rPr>
          <w:rFonts w:ascii="Arial" w:eastAsia="Arial"/>
          <w:b/>
          <w:sz w:val="21"/>
        </w:rPr>
        <w:t>ITD</w:t>
      </w:r>
      <w:r>
        <w:rPr>
          <w:rFonts w:ascii="Arial" w:eastAsia="Arial"/>
          <w:b/>
          <w:spacing w:val="-15"/>
          <w:sz w:val="21"/>
        </w:rPr>
        <w:t> </w:t>
      </w:r>
      <w:r>
        <w:rPr>
          <w:rFonts w:ascii="Microsoft JhengHei" w:eastAsia="Microsoft JhengHei"/>
          <w:b/>
          <w:sz w:val="21"/>
        </w:rPr>
        <w:t>数据</w:t>
      </w:r>
      <w:r>
        <w:rPr>
          <w:spacing w:val="-7"/>
          <w:sz w:val="21"/>
        </w:rPr>
        <w:t>：默认展示当年 </w:t>
      </w:r>
      <w:r>
        <w:rPr>
          <w:rFonts w:ascii="Arial" w:eastAsia="Arial"/>
          <w:sz w:val="21"/>
        </w:rPr>
        <w:t>ITD</w:t>
      </w:r>
      <w:r>
        <w:rPr>
          <w:spacing w:val="-10"/>
          <w:sz w:val="21"/>
        </w:rPr>
        <w:t>，和去年 </w:t>
      </w:r>
      <w:r>
        <w:rPr>
          <w:rFonts w:ascii="Arial" w:eastAsia="Arial"/>
          <w:sz w:val="21"/>
        </w:rPr>
        <w:t>ITD</w:t>
      </w:r>
      <w:r>
        <w:rPr>
          <w:sz w:val="21"/>
        </w:rPr>
        <w:t>，历年数据隐藏，可展开</w:t>
      </w:r>
      <w:r>
        <w:rPr>
          <w:rFonts w:ascii="Microsoft JhengHei" w:eastAsia="Microsoft JhengHei"/>
          <w:b/>
          <w:sz w:val="21"/>
        </w:rPr>
        <w:t>本年 </w:t>
      </w:r>
      <w:r>
        <w:rPr>
          <w:rFonts w:ascii="Arial" w:eastAsia="Arial"/>
          <w:b/>
          <w:sz w:val="21"/>
        </w:rPr>
        <w:t>ITD </w:t>
      </w:r>
      <w:r>
        <w:rPr>
          <w:rFonts w:ascii="Microsoft JhengHei" w:eastAsia="Microsoft JhengHei"/>
          <w:b/>
          <w:sz w:val="21"/>
        </w:rPr>
        <w:t>数据：</w:t>
      </w:r>
    </w:p>
    <w:p>
      <w:pPr>
        <w:pStyle w:val="BodyText"/>
        <w:spacing w:before="15"/>
      </w:pPr>
      <w:r>
        <w:rPr>
          <w:spacing w:val="-3"/>
        </w:rPr>
        <w:t>开票收入：本年截至当前月份开票收入加和。</w:t>
      </w:r>
    </w:p>
    <w:p>
      <w:pPr>
        <w:pStyle w:val="BodyText"/>
        <w:spacing w:before="43"/>
      </w:pPr>
      <w:r>
        <w:rPr>
          <w:rFonts w:ascii="Arial" w:eastAsia="Arial"/>
          <w:color w:val="000000"/>
          <w:spacing w:val="-2"/>
          <w:highlight w:val="yellow"/>
        </w:rPr>
        <w:t>GAAP</w:t>
      </w:r>
      <w:r>
        <w:rPr>
          <w:rFonts w:ascii="Arial" w:eastAsia="Arial"/>
          <w:color w:val="000000"/>
          <w:highlight w:val="yellow"/>
        </w:rPr>
        <w:t> </w:t>
      </w:r>
      <w:r>
        <w:rPr>
          <w:color w:val="000000"/>
          <w:spacing w:val="-3"/>
          <w:highlight w:val="yellow"/>
        </w:rPr>
        <w:t>收入目标：运营手动录入</w:t>
      </w:r>
    </w:p>
    <w:p>
      <w:pPr>
        <w:pStyle w:val="BodyText"/>
        <w:spacing w:line="278" w:lineRule="auto" w:before="43"/>
        <w:ind w:right="3442"/>
      </w:pPr>
      <w:r>
        <w:rPr>
          <w:rFonts w:ascii="Arial" w:eastAsia="Arial"/>
        </w:rPr>
        <w:t>GAAP</w:t>
      </w:r>
      <w:r>
        <w:rPr>
          <w:rFonts w:ascii="Arial" w:eastAsia="Arial"/>
          <w:spacing w:val="-15"/>
        </w:rPr>
        <w:t> </w:t>
      </w:r>
      <w:r>
        <w:rPr>
          <w:spacing w:val="-4"/>
        </w:rPr>
        <w:t>收入达成：本年截至当前月份 </w:t>
      </w:r>
      <w:r>
        <w:rPr>
          <w:rFonts w:ascii="Arial" w:eastAsia="Arial"/>
        </w:rPr>
        <w:t>GAAP</w:t>
      </w:r>
      <w:r>
        <w:rPr>
          <w:rFonts w:ascii="Arial" w:eastAsia="Arial"/>
          <w:spacing w:val="-15"/>
        </w:rPr>
        <w:t> </w:t>
      </w:r>
      <w:r>
        <w:rPr/>
        <w:t>收入加和。</w:t>
      </w:r>
      <w:r>
        <w:rPr>
          <w:spacing w:val="-2"/>
        </w:rPr>
        <w:t>项目实施成本：本年截至当前月份实施成本加和。</w:t>
      </w:r>
    </w:p>
    <w:p>
      <w:pPr>
        <w:pStyle w:val="BodyText"/>
        <w:spacing w:line="362" w:lineRule="auto"/>
        <w:ind w:right="735"/>
      </w:pPr>
      <w:r>
        <w:rPr>
          <w:spacing w:val="-14"/>
        </w:rPr>
        <w:t>毛利率 </w:t>
      </w:r>
      <w:r>
        <w:rPr>
          <w:rFonts w:ascii="Arial" w:hAnsi="Arial" w:eastAsia="Arial"/>
        </w:rPr>
        <w:t>A</w:t>
      </w:r>
      <w:r>
        <w:rPr/>
        <w:t>（开票收入）：</w:t>
      </w:r>
      <w:r>
        <w:rPr>
          <w:rFonts w:ascii="Arial" w:hAnsi="Arial" w:eastAsia="Arial"/>
        </w:rPr>
        <w:t>1-</w:t>
      </w:r>
      <w:r>
        <w:rPr>
          <w:spacing w:val="-17"/>
        </w:rPr>
        <w:t>本年 </w:t>
      </w:r>
      <w:r>
        <w:rPr>
          <w:rFonts w:ascii="Arial" w:hAnsi="Arial" w:eastAsia="Arial"/>
        </w:rPr>
        <w:t>ITD</w:t>
      </w:r>
      <w:r>
        <w:rPr>
          <w:rFonts w:ascii="Arial" w:hAnsi="Arial" w:eastAsia="Arial"/>
          <w:spacing w:val="-15"/>
        </w:rPr>
        <w:t> </w:t>
      </w:r>
      <w:r>
        <w:rPr/>
        <w:t>项目实施成本</w:t>
      </w:r>
      <w:r>
        <w:rPr>
          <w:rFonts w:ascii="Arial" w:hAnsi="Arial" w:eastAsia="Arial"/>
        </w:rPr>
        <w:t>/</w:t>
      </w:r>
      <w:r>
        <w:rPr/>
        <w:t>截至当前每月不含税开票收入加和</w:t>
      </w:r>
      <w:r>
        <w:rPr>
          <w:spacing w:val="-2"/>
        </w:rPr>
        <w:t>其中每月不含税开票收入</w:t>
      </w:r>
      <w:r>
        <w:rPr>
          <w:rFonts w:ascii="Arial" w:hAnsi="Arial" w:eastAsia="Arial"/>
          <w:spacing w:val="-2"/>
        </w:rPr>
        <w:t>=</w:t>
      </w:r>
      <w:r>
        <w:rPr>
          <w:rFonts w:ascii="Microsoft YaHei Light" w:hAnsi="Microsoft YaHei Light" w:eastAsia="Microsoft YaHei Light"/>
          <w:spacing w:val="-2"/>
        </w:rPr>
        <w:t>∑（</w:t>
      </w:r>
      <w:r>
        <w:rPr>
          <w:spacing w:val="-2"/>
        </w:rPr>
        <w:t>该部门项目当月开票收入</w:t>
      </w:r>
      <w:r>
        <w:rPr>
          <w:rFonts w:ascii="Arial" w:hAnsi="Arial" w:eastAsia="Arial"/>
          <w:spacing w:val="-2"/>
        </w:rPr>
        <w:t>/</w:t>
      </w:r>
      <w:r>
        <w:rPr>
          <w:spacing w:val="-2"/>
        </w:rPr>
        <w:t>（</w:t>
      </w:r>
      <w:r>
        <w:rPr>
          <w:rFonts w:ascii="Arial" w:hAnsi="Arial" w:eastAsia="Arial"/>
          <w:spacing w:val="-2"/>
        </w:rPr>
        <w:t>1+</w:t>
      </w:r>
      <w:r>
        <w:rPr>
          <w:spacing w:val="-2"/>
        </w:rPr>
        <w:t>该项目税率））</w:t>
      </w:r>
    </w:p>
    <w:p>
      <w:pPr>
        <w:pStyle w:val="BodyText"/>
        <w:spacing w:line="228" w:lineRule="exact"/>
        <w:rPr>
          <w:rFonts w:ascii="Arial" w:eastAsia="Arial"/>
        </w:rPr>
      </w:pPr>
      <w:r>
        <w:rPr>
          <w:spacing w:val="-16"/>
        </w:rPr>
        <w:t>毛利率 </w:t>
      </w:r>
      <w:r>
        <w:rPr>
          <w:rFonts w:ascii="Arial" w:eastAsia="Arial"/>
          <w:spacing w:val="-4"/>
        </w:rPr>
        <w:t>A</w:t>
      </w:r>
      <w:r>
        <w:rPr>
          <w:spacing w:val="-4"/>
        </w:rPr>
        <w:t>（</w:t>
      </w:r>
      <w:r>
        <w:rPr>
          <w:rFonts w:ascii="Arial" w:eastAsia="Arial"/>
          <w:spacing w:val="-4"/>
        </w:rPr>
        <w:t>GAAP</w:t>
      </w:r>
      <w:r>
        <w:rPr>
          <w:rFonts w:ascii="Arial" w:eastAsia="Arial"/>
          <w:spacing w:val="-3"/>
        </w:rPr>
        <w:t> </w:t>
      </w:r>
      <w:r>
        <w:rPr>
          <w:spacing w:val="-4"/>
        </w:rPr>
        <w:t>收入）：</w:t>
      </w:r>
      <w:r>
        <w:rPr>
          <w:rFonts w:ascii="Arial" w:eastAsia="Arial"/>
          <w:spacing w:val="-4"/>
        </w:rPr>
        <w:t>=</w:t>
      </w:r>
      <w:r>
        <w:rPr>
          <w:color w:val="000000"/>
          <w:spacing w:val="-4"/>
          <w:highlight w:val="yellow"/>
        </w:rPr>
        <w:t>目标毛利率（运营手动录入）</w:t>
      </w:r>
      <w:r>
        <w:rPr>
          <w:color w:val="000000"/>
          <w:spacing w:val="-20"/>
          <w:highlight w:val="yellow"/>
        </w:rPr>
        <w:t> </w:t>
      </w:r>
      <w:r>
        <w:rPr>
          <w:rFonts w:ascii="Arial" w:eastAsia="Arial"/>
          <w:color w:val="000000"/>
          <w:spacing w:val="-4"/>
        </w:rPr>
        <w:t>&amp; 1-</w:t>
      </w:r>
      <w:r>
        <w:rPr>
          <w:color w:val="000000"/>
          <w:spacing w:val="-20"/>
        </w:rPr>
        <w:t>本年 </w:t>
      </w:r>
      <w:r>
        <w:rPr>
          <w:rFonts w:ascii="Arial" w:eastAsia="Arial"/>
          <w:color w:val="000000"/>
          <w:spacing w:val="-4"/>
        </w:rPr>
        <w:t>ITD</w:t>
      </w:r>
      <w:r>
        <w:rPr>
          <w:rFonts w:ascii="Arial" w:eastAsia="Arial"/>
          <w:color w:val="000000"/>
          <w:spacing w:val="-5"/>
        </w:rPr>
        <w:t> </w:t>
      </w:r>
      <w:r>
        <w:rPr>
          <w:color w:val="000000"/>
          <w:spacing w:val="-4"/>
        </w:rPr>
        <w:t>实施成本</w:t>
      </w:r>
      <w:r>
        <w:rPr>
          <w:rFonts w:ascii="Arial" w:eastAsia="Arial"/>
          <w:color w:val="000000"/>
          <w:spacing w:val="-4"/>
        </w:rPr>
        <w:t>/</w:t>
      </w:r>
      <w:r>
        <w:rPr>
          <w:color w:val="000000"/>
          <w:spacing w:val="-19"/>
        </w:rPr>
        <w:t>本年 </w:t>
      </w:r>
      <w:r>
        <w:rPr>
          <w:rFonts w:ascii="Arial" w:eastAsia="Arial"/>
          <w:color w:val="000000"/>
          <w:spacing w:val="-5"/>
        </w:rPr>
        <w:t>ITD</w:t>
      </w:r>
    </w:p>
    <w:p>
      <w:pPr>
        <w:pStyle w:val="BodyText"/>
        <w:spacing w:before="43"/>
      </w:pPr>
      <w:r>
        <w:rPr>
          <w:rFonts w:ascii="Arial" w:eastAsia="Arial"/>
          <w:spacing w:val="-2"/>
        </w:rPr>
        <w:t>GAAP</w:t>
      </w:r>
      <w:r>
        <w:rPr>
          <w:rFonts w:ascii="Arial" w:eastAsia="Arial"/>
          <w:spacing w:val="-5"/>
        </w:rPr>
        <w:t> </w:t>
      </w:r>
      <w:r>
        <w:rPr>
          <w:spacing w:val="-6"/>
        </w:rPr>
        <w:t>收入</w:t>
      </w:r>
    </w:p>
    <w:p>
      <w:pPr>
        <w:pStyle w:val="BodyText"/>
        <w:spacing w:line="278" w:lineRule="auto" w:before="42"/>
        <w:ind w:right="3507"/>
      </w:pPr>
      <w:r>
        <w:rPr>
          <w:spacing w:val="-2"/>
        </w:rPr>
        <w:t>项目售前成本：本年截至当前月份部门售前成本加和。</w:t>
      </w:r>
      <w:r>
        <w:rPr>
          <w:spacing w:val="-3"/>
        </w:rPr>
        <w:t>部门其他成本：本年截至当前月份部门其他成本加和。</w:t>
      </w:r>
    </w:p>
    <w:p>
      <w:pPr>
        <w:pStyle w:val="BodyText"/>
        <w:spacing w:line="278" w:lineRule="auto"/>
        <w:ind w:right="240"/>
      </w:pPr>
      <w:r>
        <w:rPr>
          <w:spacing w:val="-13"/>
        </w:rPr>
        <w:t>毛利率 </w:t>
      </w:r>
      <w:r>
        <w:rPr>
          <w:rFonts w:ascii="Arial" w:eastAsia="Arial"/>
        </w:rPr>
        <w:t>B</w:t>
      </w:r>
      <w:r>
        <w:rPr/>
        <w:t>（开票收入）：</w:t>
      </w:r>
      <w:r>
        <w:rPr>
          <w:rFonts w:ascii="Arial" w:eastAsia="Arial"/>
        </w:rPr>
        <w:t>1-</w:t>
      </w:r>
      <w:r>
        <w:rPr/>
        <w:t>（</w:t>
      </w:r>
      <w:r>
        <w:rPr>
          <w:spacing w:val="-17"/>
        </w:rPr>
        <w:t>本年 </w:t>
      </w:r>
      <w:r>
        <w:rPr>
          <w:rFonts w:ascii="Arial" w:eastAsia="Arial"/>
        </w:rPr>
        <w:t>ITD</w:t>
      </w:r>
      <w:r>
        <w:rPr>
          <w:rFonts w:ascii="Arial" w:eastAsia="Arial"/>
          <w:spacing w:val="-6"/>
        </w:rPr>
        <w:t> </w:t>
      </w:r>
      <w:r>
        <w:rPr/>
        <w:t>部门实施成本</w:t>
      </w:r>
      <w:r>
        <w:rPr>
          <w:rFonts w:ascii="Arial" w:eastAsia="Arial"/>
        </w:rPr>
        <w:t>+</w:t>
      </w:r>
      <w:r>
        <w:rPr>
          <w:spacing w:val="-17"/>
        </w:rPr>
        <w:t>本年 </w:t>
      </w:r>
      <w:r>
        <w:rPr>
          <w:rFonts w:ascii="Arial" w:eastAsia="Arial"/>
        </w:rPr>
        <w:t>ITD</w:t>
      </w:r>
      <w:r>
        <w:rPr>
          <w:rFonts w:ascii="Arial" w:eastAsia="Arial"/>
          <w:spacing w:val="-2"/>
        </w:rPr>
        <w:t> </w:t>
      </w:r>
      <w:r>
        <w:rPr/>
        <w:t>部门售前成本</w:t>
      </w:r>
      <w:r>
        <w:rPr>
          <w:rFonts w:ascii="Arial" w:eastAsia="Arial"/>
        </w:rPr>
        <w:t>+</w:t>
      </w:r>
      <w:r>
        <w:rPr>
          <w:spacing w:val="-17"/>
        </w:rPr>
        <w:t>本年 </w:t>
      </w:r>
      <w:r>
        <w:rPr>
          <w:rFonts w:ascii="Arial" w:eastAsia="Arial"/>
        </w:rPr>
        <w:t>ITD</w:t>
      </w:r>
      <w:r>
        <w:rPr>
          <w:rFonts w:ascii="Arial" w:eastAsia="Arial"/>
          <w:spacing w:val="-4"/>
        </w:rPr>
        <w:t> </w:t>
      </w:r>
      <w:r>
        <w:rPr/>
        <w:t>部</w:t>
      </w:r>
      <w:r>
        <w:rPr>
          <w:spacing w:val="-2"/>
        </w:rPr>
        <w:t>门其他成本）</w:t>
      </w:r>
      <w:r>
        <w:rPr>
          <w:rFonts w:ascii="Arial" w:eastAsia="Arial"/>
          <w:spacing w:val="-2"/>
        </w:rPr>
        <w:t>/</w:t>
      </w:r>
      <w:r>
        <w:rPr>
          <w:spacing w:val="-2"/>
        </w:rPr>
        <w:t>截至当前每月不含税开票收入加和</w:t>
      </w:r>
    </w:p>
    <w:p>
      <w:pPr>
        <w:pStyle w:val="BodyText"/>
        <w:spacing w:line="269" w:lineRule="exact"/>
        <w:rPr>
          <w:rFonts w:ascii="Arial" w:eastAsia="Arial"/>
        </w:rPr>
      </w:pPr>
      <w:r>
        <w:rPr>
          <w:spacing w:val="-12"/>
        </w:rPr>
        <w:t>毛利率 </w:t>
      </w:r>
      <w:r>
        <w:rPr>
          <w:rFonts w:ascii="Arial" w:eastAsia="Arial"/>
        </w:rPr>
        <w:t>B</w:t>
      </w:r>
      <w:r>
        <w:rPr/>
        <w:t>（</w:t>
      </w:r>
      <w:r>
        <w:rPr>
          <w:rFonts w:ascii="Arial" w:eastAsia="Arial"/>
        </w:rPr>
        <w:t>GAAP </w:t>
      </w:r>
      <w:r>
        <w:rPr/>
        <w:t>收入）：</w:t>
      </w:r>
      <w:r>
        <w:rPr>
          <w:rFonts w:ascii="Arial" w:eastAsia="Arial"/>
        </w:rPr>
        <w:t>1-</w:t>
      </w:r>
      <w:r>
        <w:rPr/>
        <w:t>（</w:t>
      </w:r>
      <w:r>
        <w:rPr>
          <w:spacing w:val="-16"/>
        </w:rPr>
        <w:t>本年 </w:t>
      </w:r>
      <w:r>
        <w:rPr>
          <w:rFonts w:ascii="Arial" w:eastAsia="Arial"/>
        </w:rPr>
        <w:t>ITD</w:t>
      </w:r>
      <w:r>
        <w:rPr>
          <w:rFonts w:ascii="Arial" w:eastAsia="Arial"/>
          <w:spacing w:val="-1"/>
        </w:rPr>
        <w:t> </w:t>
      </w:r>
      <w:r>
        <w:rPr/>
        <w:t>部门实施成本</w:t>
      </w:r>
      <w:r>
        <w:rPr>
          <w:rFonts w:ascii="Arial" w:eastAsia="Arial"/>
        </w:rPr>
        <w:t>+</w:t>
      </w:r>
      <w:r>
        <w:rPr>
          <w:spacing w:val="-16"/>
        </w:rPr>
        <w:t>本年 </w:t>
      </w:r>
      <w:r>
        <w:rPr>
          <w:rFonts w:ascii="Arial" w:eastAsia="Arial"/>
        </w:rPr>
        <w:t>ITD </w:t>
      </w:r>
      <w:r>
        <w:rPr/>
        <w:t>部门售前成本</w:t>
      </w:r>
      <w:r>
        <w:rPr>
          <w:rFonts w:ascii="Arial" w:eastAsia="Arial"/>
        </w:rPr>
        <w:t>+</w:t>
      </w:r>
      <w:r>
        <w:rPr>
          <w:spacing w:val="-16"/>
        </w:rPr>
        <w:t>本年 </w:t>
      </w:r>
      <w:r>
        <w:rPr>
          <w:rFonts w:ascii="Arial" w:eastAsia="Arial"/>
          <w:spacing w:val="-5"/>
        </w:rPr>
        <w:t>ITD</w:t>
      </w:r>
    </w:p>
    <w:p>
      <w:pPr>
        <w:pStyle w:val="BodyText"/>
        <w:spacing w:before="43"/>
      </w:pPr>
      <w:r>
        <w:rPr>
          <w:spacing w:val="-2"/>
        </w:rPr>
        <w:t>部门其他成本）</w:t>
      </w:r>
      <w:r>
        <w:rPr>
          <w:rFonts w:ascii="Arial" w:eastAsia="Arial"/>
          <w:spacing w:val="-2"/>
        </w:rPr>
        <w:t>/</w:t>
      </w:r>
      <w:r>
        <w:rPr>
          <w:spacing w:val="-20"/>
        </w:rPr>
        <w:t>本年 </w:t>
      </w:r>
      <w:r>
        <w:rPr>
          <w:rFonts w:ascii="Arial" w:eastAsia="Arial"/>
          <w:spacing w:val="-2"/>
        </w:rPr>
        <w:t>ITD</w:t>
      </w:r>
      <w:r>
        <w:rPr>
          <w:rFonts w:ascii="Arial" w:eastAsia="Arial"/>
          <w:spacing w:val="5"/>
        </w:rPr>
        <w:t> </w:t>
      </w:r>
      <w:r>
        <w:rPr>
          <w:rFonts w:ascii="Arial" w:eastAsia="Arial"/>
          <w:spacing w:val="-2"/>
        </w:rPr>
        <w:t>GAAP</w:t>
      </w:r>
      <w:r>
        <w:rPr>
          <w:rFonts w:ascii="Arial" w:eastAsia="Arial"/>
          <w:spacing w:val="-3"/>
        </w:rPr>
        <w:t> </w:t>
      </w:r>
      <w:r>
        <w:rPr>
          <w:spacing w:val="-6"/>
        </w:rPr>
        <w:t>收入</w:t>
      </w:r>
    </w:p>
    <w:p>
      <w:pPr>
        <w:pStyle w:val="BodyText"/>
        <w:spacing w:before="17"/>
        <w:ind w:left="0"/>
      </w:pPr>
    </w:p>
    <w:p>
      <w:pPr>
        <w:spacing w:line="384" w:lineRule="exact" w:before="0"/>
        <w:ind w:left="100" w:right="0" w:firstLine="0"/>
        <w:jc w:val="left"/>
        <w:rPr>
          <w:rFonts w:ascii="Microsoft JhengHei" w:eastAsia="Microsoft JhengHei"/>
          <w:b/>
          <w:sz w:val="21"/>
        </w:rPr>
      </w:pPr>
      <w:r>
        <w:rPr>
          <w:rFonts w:ascii="Microsoft JhengHei" w:eastAsia="Microsoft JhengHei"/>
          <w:b/>
          <w:spacing w:val="-2"/>
          <w:sz w:val="21"/>
        </w:rPr>
        <w:t>去年 </w:t>
      </w:r>
      <w:r>
        <w:rPr>
          <w:rFonts w:ascii="Arial" w:eastAsia="Arial"/>
          <w:b/>
          <w:sz w:val="21"/>
        </w:rPr>
        <w:t>ITD</w:t>
      </w:r>
      <w:r>
        <w:rPr>
          <w:rFonts w:ascii="Arial" w:eastAsia="Arial"/>
          <w:b/>
          <w:spacing w:val="-8"/>
          <w:sz w:val="21"/>
        </w:rPr>
        <w:t> </w:t>
      </w:r>
      <w:r>
        <w:rPr>
          <w:rFonts w:ascii="Microsoft JhengHei" w:eastAsia="Microsoft JhengHei"/>
          <w:b/>
          <w:spacing w:val="-4"/>
          <w:sz w:val="21"/>
        </w:rPr>
        <w:t>数据：</w:t>
      </w:r>
    </w:p>
    <w:p>
      <w:pPr>
        <w:pStyle w:val="BodyText"/>
        <w:spacing w:line="267" w:lineRule="exact"/>
      </w:pPr>
      <w:r>
        <w:rPr>
          <w:spacing w:val="-3"/>
        </w:rPr>
        <w:t>开票收入：去年截至当前月份开票收入加和。</w:t>
      </w:r>
    </w:p>
    <w:p>
      <w:pPr>
        <w:pStyle w:val="BodyText"/>
        <w:spacing w:before="43"/>
      </w:pPr>
      <w:r>
        <w:rPr>
          <w:rFonts w:ascii="Arial" w:eastAsia="Arial"/>
          <w:color w:val="000000"/>
          <w:spacing w:val="-2"/>
          <w:highlight w:val="yellow"/>
        </w:rPr>
        <w:t>GAAP</w:t>
      </w:r>
      <w:r>
        <w:rPr>
          <w:rFonts w:ascii="Arial" w:eastAsia="Arial"/>
          <w:color w:val="000000"/>
          <w:highlight w:val="yellow"/>
        </w:rPr>
        <w:t> </w:t>
      </w:r>
      <w:r>
        <w:rPr>
          <w:color w:val="000000"/>
          <w:spacing w:val="-3"/>
          <w:highlight w:val="yellow"/>
        </w:rPr>
        <w:t>收入目标：运营手动录入</w:t>
      </w:r>
    </w:p>
    <w:p>
      <w:pPr>
        <w:pStyle w:val="BodyText"/>
        <w:spacing w:line="278" w:lineRule="auto" w:before="43"/>
        <w:ind w:right="3442"/>
      </w:pPr>
      <w:r>
        <w:rPr>
          <w:rFonts w:ascii="Arial" w:eastAsia="Arial"/>
        </w:rPr>
        <w:t>GAAP</w:t>
      </w:r>
      <w:r>
        <w:rPr>
          <w:rFonts w:ascii="Arial" w:eastAsia="Arial"/>
          <w:spacing w:val="-15"/>
        </w:rPr>
        <w:t> </w:t>
      </w:r>
      <w:r>
        <w:rPr>
          <w:spacing w:val="-4"/>
        </w:rPr>
        <w:t>收入达成：去年截至当前月份 </w:t>
      </w:r>
      <w:r>
        <w:rPr>
          <w:rFonts w:ascii="Arial" w:eastAsia="Arial"/>
        </w:rPr>
        <w:t>GAAP</w:t>
      </w:r>
      <w:r>
        <w:rPr>
          <w:rFonts w:ascii="Arial" w:eastAsia="Arial"/>
          <w:spacing w:val="-15"/>
        </w:rPr>
        <w:t> </w:t>
      </w:r>
      <w:r>
        <w:rPr/>
        <w:t>收入加和。</w:t>
      </w:r>
      <w:r>
        <w:rPr>
          <w:spacing w:val="-2"/>
        </w:rPr>
        <w:t>项目实施成本：去年截至当前月份实施成本加和。</w:t>
      </w:r>
    </w:p>
    <w:p>
      <w:pPr>
        <w:pStyle w:val="BodyText"/>
        <w:spacing w:line="278" w:lineRule="auto"/>
        <w:ind w:right="238"/>
      </w:pPr>
      <w:r>
        <w:rPr>
          <w:spacing w:val="-11"/>
        </w:rPr>
        <w:t>毛利率 </w:t>
      </w:r>
      <w:r>
        <w:rPr>
          <w:rFonts w:ascii="Arial" w:eastAsia="Arial"/>
        </w:rPr>
        <w:t>A</w:t>
      </w:r>
      <w:r>
        <w:rPr/>
        <w:t>（开票收入）：</w:t>
      </w:r>
      <w:r>
        <w:rPr>
          <w:rFonts w:ascii="Arial" w:eastAsia="Arial"/>
        </w:rPr>
        <w:t>1-</w:t>
      </w:r>
      <w:r>
        <w:rPr>
          <w:spacing w:val="-13"/>
        </w:rPr>
        <w:t>去年 </w:t>
      </w:r>
      <w:r>
        <w:rPr>
          <w:rFonts w:ascii="Arial" w:eastAsia="Arial"/>
        </w:rPr>
        <w:t>ITD </w:t>
      </w:r>
      <w:r>
        <w:rPr/>
        <w:t>项目实施成本</w:t>
      </w:r>
      <w:r>
        <w:rPr>
          <w:rFonts w:ascii="Arial" w:eastAsia="Arial"/>
        </w:rPr>
        <w:t>/</w:t>
      </w:r>
      <w:r>
        <w:rPr/>
        <w:t>去年截至当前月份每月不含税开票收入</w:t>
      </w:r>
      <w:r>
        <w:rPr>
          <w:spacing w:val="-6"/>
        </w:rPr>
        <w:t>加和</w:t>
      </w:r>
    </w:p>
    <w:p>
      <w:pPr>
        <w:pStyle w:val="BodyText"/>
        <w:spacing w:line="269" w:lineRule="exact"/>
      </w:pPr>
      <w:r>
        <w:rPr>
          <w:spacing w:val="-2"/>
        </w:rPr>
        <w:t>其中每月不含税开票收入</w:t>
      </w:r>
      <w:r>
        <w:rPr>
          <w:rFonts w:ascii="Arial" w:hAnsi="Arial" w:eastAsia="Arial"/>
          <w:spacing w:val="-2"/>
        </w:rPr>
        <w:t>=∑</w:t>
      </w:r>
      <w:r>
        <w:rPr>
          <w:spacing w:val="-2"/>
        </w:rPr>
        <w:t>（该部门每个项目当月开票收入</w:t>
      </w:r>
      <w:r>
        <w:rPr>
          <w:rFonts w:ascii="Arial" w:hAnsi="Arial" w:eastAsia="Arial"/>
          <w:spacing w:val="-2"/>
        </w:rPr>
        <w:t>/</w:t>
      </w:r>
      <w:r>
        <w:rPr>
          <w:spacing w:val="-2"/>
        </w:rPr>
        <w:t>（</w:t>
      </w:r>
      <w:r>
        <w:rPr>
          <w:rFonts w:ascii="Arial" w:hAnsi="Arial" w:eastAsia="Arial"/>
          <w:spacing w:val="-2"/>
        </w:rPr>
        <w:t>1+</w:t>
      </w:r>
      <w:r>
        <w:rPr>
          <w:spacing w:val="-2"/>
        </w:rPr>
        <w:t>该项目税率</w:t>
      </w:r>
      <w:r>
        <w:rPr>
          <w:spacing w:val="-5"/>
        </w:rPr>
        <w:t>））</w:t>
      </w:r>
    </w:p>
    <w:p>
      <w:pPr>
        <w:pStyle w:val="BodyText"/>
        <w:spacing w:before="42"/>
      </w:pPr>
      <w:r>
        <w:rPr>
          <w:spacing w:val="-5"/>
        </w:rPr>
        <w:t>毛利率 </w:t>
      </w:r>
      <w:r>
        <w:rPr>
          <w:rFonts w:ascii="Arial" w:eastAsia="Arial"/>
        </w:rPr>
        <w:t>A</w:t>
      </w:r>
      <w:r>
        <w:rPr/>
        <w:t>（</w:t>
      </w:r>
      <w:r>
        <w:rPr>
          <w:rFonts w:ascii="Arial" w:eastAsia="Arial"/>
        </w:rPr>
        <w:t>GAAP</w:t>
      </w:r>
      <w:r>
        <w:rPr>
          <w:rFonts w:ascii="Arial" w:eastAsia="Arial"/>
          <w:spacing w:val="25"/>
        </w:rPr>
        <w:t> </w:t>
      </w:r>
      <w:r>
        <w:rPr/>
        <w:t>收入）：</w:t>
      </w:r>
      <w:r>
        <w:rPr>
          <w:rFonts w:ascii="Arial" w:eastAsia="Arial"/>
        </w:rPr>
        <w:t>=</w:t>
      </w:r>
      <w:r>
        <w:rPr>
          <w:color w:val="000000"/>
          <w:highlight w:val="yellow"/>
        </w:rPr>
        <w:t>目标毛利率（运营手动录入）</w:t>
      </w:r>
      <w:r>
        <w:rPr>
          <w:color w:val="000000"/>
          <w:spacing w:val="58"/>
          <w:highlight w:val="yellow"/>
        </w:rPr>
        <w:t> </w:t>
      </w:r>
      <w:r>
        <w:rPr>
          <w:rFonts w:ascii="Arial" w:eastAsia="Arial"/>
          <w:color w:val="000000"/>
          <w:highlight w:val="yellow"/>
        </w:rPr>
        <w:t>&amp;</w:t>
      </w:r>
      <w:r>
        <w:rPr>
          <w:rFonts w:ascii="Arial" w:eastAsia="Arial"/>
          <w:color w:val="000000"/>
          <w:spacing w:val="33"/>
        </w:rPr>
        <w:t> </w:t>
      </w:r>
      <w:r>
        <w:rPr>
          <w:rFonts w:ascii="Arial" w:eastAsia="Arial"/>
          <w:color w:val="000000"/>
        </w:rPr>
        <w:t>1-</w:t>
      </w:r>
      <w:r>
        <w:rPr>
          <w:color w:val="000000"/>
          <w:spacing w:val="-8"/>
        </w:rPr>
        <w:t>去年 </w:t>
      </w:r>
      <w:r>
        <w:rPr>
          <w:rFonts w:ascii="Arial" w:eastAsia="Arial"/>
          <w:color w:val="000000"/>
        </w:rPr>
        <w:t>ITD</w:t>
      </w:r>
      <w:r>
        <w:rPr>
          <w:rFonts w:ascii="Arial" w:eastAsia="Arial"/>
          <w:color w:val="000000"/>
          <w:spacing w:val="27"/>
        </w:rPr>
        <w:t> </w:t>
      </w:r>
      <w:r>
        <w:rPr>
          <w:color w:val="000000"/>
        </w:rPr>
        <w:t>实施成本</w:t>
      </w:r>
      <w:r>
        <w:rPr>
          <w:rFonts w:ascii="Arial" w:eastAsia="Arial"/>
          <w:color w:val="000000"/>
        </w:rPr>
        <w:t>/</w:t>
      </w:r>
      <w:r>
        <w:rPr>
          <w:color w:val="000000"/>
          <w:spacing w:val="-5"/>
        </w:rPr>
        <w:t>去年</w:t>
      </w:r>
    </w:p>
    <w:p>
      <w:pPr>
        <w:pStyle w:val="BodyText"/>
        <w:spacing w:before="43"/>
      </w:pPr>
      <w:r>
        <w:rPr>
          <w:rFonts w:ascii="Arial" w:eastAsia="Arial"/>
          <w:spacing w:val="-2"/>
        </w:rPr>
        <w:t>ITDGAAP </w:t>
      </w:r>
      <w:r>
        <w:rPr>
          <w:spacing w:val="-6"/>
        </w:rPr>
        <w:t>收入</w:t>
      </w:r>
    </w:p>
    <w:p>
      <w:pPr>
        <w:pStyle w:val="BodyText"/>
        <w:spacing w:line="278" w:lineRule="auto" w:before="43"/>
        <w:ind w:right="3507"/>
      </w:pPr>
      <w:r>
        <w:rPr>
          <w:spacing w:val="-2"/>
        </w:rPr>
        <w:t>项目售前成本：去年截至当前月份部门售前成本加和。</w:t>
      </w:r>
      <w:r>
        <w:rPr>
          <w:spacing w:val="-3"/>
        </w:rPr>
        <w:t>部门其他成本：去年截至当前月份部门其他成本加和。</w:t>
      </w:r>
    </w:p>
    <w:p>
      <w:pPr>
        <w:pStyle w:val="BodyText"/>
        <w:spacing w:after="0" w:line="278" w:lineRule="auto"/>
        <w:sectPr>
          <w:pgSz w:w="11910" w:h="16840"/>
          <w:pgMar w:top="1400" w:bottom="280" w:left="1700" w:right="1559"/>
        </w:sectPr>
      </w:pPr>
    </w:p>
    <w:p>
      <w:pPr>
        <w:pStyle w:val="BodyText"/>
        <w:spacing w:line="278" w:lineRule="auto" w:before="56"/>
        <w:ind w:right="240"/>
      </w:pPr>
      <w:r>
        <w:rPr>
          <w:spacing w:val="-13"/>
        </w:rPr>
        <w:t>毛利率 </w:t>
      </w:r>
      <w:r>
        <w:rPr>
          <w:rFonts w:ascii="Arial" w:eastAsia="Arial"/>
        </w:rPr>
        <w:t>B</w:t>
      </w:r>
      <w:r>
        <w:rPr/>
        <w:t>（开票收入）：</w:t>
      </w:r>
      <w:r>
        <w:rPr>
          <w:rFonts w:ascii="Arial" w:eastAsia="Arial"/>
        </w:rPr>
        <w:t>1-</w:t>
      </w:r>
      <w:r>
        <w:rPr/>
        <w:t>（</w:t>
      </w:r>
      <w:r>
        <w:rPr>
          <w:spacing w:val="-17"/>
        </w:rPr>
        <w:t>去年 </w:t>
      </w:r>
      <w:r>
        <w:rPr>
          <w:rFonts w:ascii="Arial" w:eastAsia="Arial"/>
        </w:rPr>
        <w:t>ITD</w:t>
      </w:r>
      <w:r>
        <w:rPr>
          <w:rFonts w:ascii="Arial" w:eastAsia="Arial"/>
          <w:spacing w:val="-6"/>
        </w:rPr>
        <w:t> </w:t>
      </w:r>
      <w:r>
        <w:rPr/>
        <w:t>部门实施成本</w:t>
      </w:r>
      <w:r>
        <w:rPr>
          <w:rFonts w:ascii="Arial" w:eastAsia="Arial"/>
        </w:rPr>
        <w:t>+</w:t>
      </w:r>
      <w:r>
        <w:rPr>
          <w:spacing w:val="-17"/>
        </w:rPr>
        <w:t>去年 </w:t>
      </w:r>
      <w:r>
        <w:rPr>
          <w:rFonts w:ascii="Arial" w:eastAsia="Arial"/>
        </w:rPr>
        <w:t>ITD</w:t>
      </w:r>
      <w:r>
        <w:rPr>
          <w:rFonts w:ascii="Arial" w:eastAsia="Arial"/>
          <w:spacing w:val="-2"/>
        </w:rPr>
        <w:t> </w:t>
      </w:r>
      <w:r>
        <w:rPr/>
        <w:t>部门售前成本</w:t>
      </w:r>
      <w:r>
        <w:rPr>
          <w:rFonts w:ascii="Arial" w:eastAsia="Arial"/>
        </w:rPr>
        <w:t>+</w:t>
      </w:r>
      <w:r>
        <w:rPr>
          <w:spacing w:val="-17"/>
        </w:rPr>
        <w:t>去年 </w:t>
      </w:r>
      <w:r>
        <w:rPr>
          <w:rFonts w:ascii="Arial" w:eastAsia="Arial"/>
        </w:rPr>
        <w:t>ITD</w:t>
      </w:r>
      <w:r>
        <w:rPr>
          <w:rFonts w:ascii="Arial" w:eastAsia="Arial"/>
          <w:spacing w:val="-4"/>
        </w:rPr>
        <w:t> </w:t>
      </w:r>
      <w:r>
        <w:rPr/>
        <w:t>部</w:t>
      </w:r>
      <w:r>
        <w:rPr>
          <w:spacing w:val="-2"/>
        </w:rPr>
        <w:t>门其他成本）</w:t>
      </w:r>
      <w:r>
        <w:rPr>
          <w:rFonts w:ascii="Arial" w:eastAsia="Arial"/>
          <w:spacing w:val="-2"/>
        </w:rPr>
        <w:t>/</w:t>
      </w:r>
      <w:r>
        <w:rPr>
          <w:spacing w:val="-2"/>
        </w:rPr>
        <w:t>去年截至当前每月不含税开票收入加和</w:t>
      </w:r>
    </w:p>
    <w:p>
      <w:pPr>
        <w:pStyle w:val="BodyText"/>
        <w:spacing w:line="269" w:lineRule="exact"/>
        <w:rPr>
          <w:rFonts w:ascii="Arial" w:eastAsia="Arial"/>
        </w:rPr>
      </w:pPr>
      <w:r>
        <w:rPr>
          <w:spacing w:val="-12"/>
        </w:rPr>
        <w:t>毛利率 </w:t>
      </w:r>
      <w:r>
        <w:rPr>
          <w:rFonts w:ascii="Arial" w:eastAsia="Arial"/>
        </w:rPr>
        <w:t>B</w:t>
      </w:r>
      <w:r>
        <w:rPr/>
        <w:t>（</w:t>
      </w:r>
      <w:r>
        <w:rPr>
          <w:rFonts w:ascii="Arial" w:eastAsia="Arial"/>
        </w:rPr>
        <w:t>GAAP </w:t>
      </w:r>
      <w:r>
        <w:rPr/>
        <w:t>收入）：</w:t>
      </w:r>
      <w:r>
        <w:rPr>
          <w:rFonts w:ascii="Arial" w:eastAsia="Arial"/>
        </w:rPr>
        <w:t>1-</w:t>
      </w:r>
      <w:r>
        <w:rPr/>
        <w:t>（</w:t>
      </w:r>
      <w:r>
        <w:rPr>
          <w:spacing w:val="-17"/>
        </w:rPr>
        <w:t>去年 </w:t>
      </w:r>
      <w:r>
        <w:rPr>
          <w:rFonts w:ascii="Arial" w:eastAsia="Arial"/>
        </w:rPr>
        <w:t>ITD </w:t>
      </w:r>
      <w:r>
        <w:rPr/>
        <w:t>部门实施成本</w:t>
      </w:r>
      <w:r>
        <w:rPr>
          <w:rFonts w:ascii="Arial" w:eastAsia="Arial"/>
        </w:rPr>
        <w:t>+</w:t>
      </w:r>
      <w:r>
        <w:rPr>
          <w:spacing w:val="-16"/>
        </w:rPr>
        <w:t>去年 </w:t>
      </w:r>
      <w:r>
        <w:rPr>
          <w:rFonts w:ascii="Arial" w:eastAsia="Arial"/>
        </w:rPr>
        <w:t>ITD </w:t>
      </w:r>
      <w:r>
        <w:rPr/>
        <w:t>部门售前成本</w:t>
      </w:r>
      <w:r>
        <w:rPr>
          <w:rFonts w:ascii="Arial" w:eastAsia="Arial"/>
        </w:rPr>
        <w:t>+</w:t>
      </w:r>
      <w:r>
        <w:rPr>
          <w:spacing w:val="-16"/>
        </w:rPr>
        <w:t>去年 </w:t>
      </w:r>
      <w:r>
        <w:rPr>
          <w:rFonts w:ascii="Arial" w:eastAsia="Arial"/>
          <w:spacing w:val="-5"/>
        </w:rPr>
        <w:t>ITD</w:t>
      </w:r>
    </w:p>
    <w:p>
      <w:pPr>
        <w:pStyle w:val="BodyText"/>
        <w:spacing w:line="220" w:lineRule="auto" w:before="60"/>
        <w:ind w:right="5093"/>
      </w:pPr>
      <w:r>
        <w:rPr/>
        <w:t>部门其他成本）</w:t>
      </w:r>
      <w:r>
        <w:rPr>
          <w:rFonts w:ascii="Arial" w:eastAsia="Arial"/>
        </w:rPr>
        <w:t>/</w:t>
      </w:r>
      <w:r>
        <w:rPr>
          <w:spacing w:val="-18"/>
        </w:rPr>
        <w:t>去年 </w:t>
      </w:r>
      <w:r>
        <w:rPr>
          <w:rFonts w:ascii="Arial" w:eastAsia="Arial"/>
        </w:rPr>
        <w:t>ITD</w:t>
      </w:r>
      <w:r>
        <w:rPr>
          <w:rFonts w:ascii="Arial" w:eastAsia="Arial"/>
          <w:spacing w:val="-15"/>
        </w:rPr>
        <w:t> </w:t>
      </w:r>
      <w:r>
        <w:rPr>
          <w:rFonts w:ascii="Arial" w:eastAsia="Arial"/>
        </w:rPr>
        <w:t>GAAP</w:t>
      </w:r>
      <w:r>
        <w:rPr>
          <w:rFonts w:ascii="Arial" w:eastAsia="Arial"/>
          <w:spacing w:val="-15"/>
        </w:rPr>
        <w:t> </w:t>
      </w:r>
      <w:r>
        <w:rPr/>
        <w:t>收入</w:t>
      </w:r>
      <w:r>
        <w:rPr>
          <w:rFonts w:ascii="Microsoft JhengHei" w:eastAsia="Microsoft JhengHei"/>
          <w:b/>
          <w:spacing w:val="-2"/>
        </w:rPr>
        <w:t>同比数据</w:t>
      </w:r>
      <w:r>
        <w:rPr>
          <w:spacing w:val="-2"/>
        </w:rPr>
        <w:t>：</w:t>
      </w:r>
    </w:p>
    <w:p>
      <w:pPr>
        <w:pStyle w:val="BodyText"/>
        <w:spacing w:before="4"/>
      </w:pPr>
      <w:r>
        <w:rPr>
          <w:spacing w:val="-2"/>
        </w:rPr>
        <w:t>（</w:t>
      </w:r>
      <w:r>
        <w:rPr>
          <w:spacing w:val="-20"/>
        </w:rPr>
        <w:t>今年 </w:t>
      </w:r>
      <w:r>
        <w:rPr>
          <w:rFonts w:ascii="Arial" w:eastAsia="Arial"/>
          <w:spacing w:val="-2"/>
        </w:rPr>
        <w:t>ITD </w:t>
      </w:r>
      <w:r>
        <w:rPr>
          <w:spacing w:val="-2"/>
        </w:rPr>
        <w:t>数据</w:t>
      </w:r>
      <w:r>
        <w:rPr>
          <w:rFonts w:ascii="Arial" w:eastAsia="Arial"/>
          <w:spacing w:val="-2"/>
        </w:rPr>
        <w:t>-</w:t>
      </w:r>
      <w:r>
        <w:rPr>
          <w:spacing w:val="-12"/>
        </w:rPr>
        <w:t>去年对应 </w:t>
      </w:r>
      <w:r>
        <w:rPr>
          <w:rFonts w:ascii="Arial" w:eastAsia="Arial"/>
          <w:spacing w:val="-2"/>
        </w:rPr>
        <w:t>ITD</w:t>
      </w:r>
      <w:r>
        <w:rPr>
          <w:rFonts w:ascii="Arial" w:eastAsia="Arial"/>
          <w:spacing w:val="-3"/>
        </w:rPr>
        <w:t> </w:t>
      </w:r>
      <w:r>
        <w:rPr>
          <w:spacing w:val="-2"/>
        </w:rPr>
        <w:t>数据）</w:t>
      </w:r>
      <w:r>
        <w:rPr>
          <w:rFonts w:ascii="Arial" w:eastAsia="Arial"/>
          <w:spacing w:val="-2"/>
        </w:rPr>
        <w:t>/</w:t>
      </w:r>
      <w:r>
        <w:rPr>
          <w:spacing w:val="-11"/>
        </w:rPr>
        <w:t>去年对应 </w:t>
      </w:r>
      <w:r>
        <w:rPr>
          <w:rFonts w:ascii="Arial" w:eastAsia="Arial"/>
          <w:spacing w:val="-2"/>
        </w:rPr>
        <w:t>ITD</w:t>
      </w:r>
      <w:r>
        <w:rPr>
          <w:rFonts w:ascii="Arial" w:eastAsia="Arial"/>
          <w:spacing w:val="-5"/>
        </w:rPr>
        <w:t> </w:t>
      </w:r>
      <w:r>
        <w:rPr>
          <w:spacing w:val="-4"/>
        </w:rPr>
        <w:t>数据的绝对值</w:t>
      </w:r>
    </w:p>
    <w:p>
      <w:pPr>
        <w:pStyle w:val="BodyText"/>
        <w:spacing w:before="86"/>
        <w:ind w:left="0"/>
      </w:pPr>
    </w:p>
    <w:p>
      <w:pPr>
        <w:pStyle w:val="BodyText"/>
      </w:pPr>
      <w:r>
        <w:rPr>
          <w:spacing w:val="-3"/>
        </w:rPr>
        <w:t>每月展示预估数据：</w:t>
      </w:r>
    </w:p>
    <w:p>
      <w:pPr>
        <w:pStyle w:val="BodyText"/>
        <w:spacing w:before="43"/>
      </w:pPr>
      <w:r>
        <w:rPr>
          <w:spacing w:val="-18"/>
        </w:rPr>
        <w:t>预估 </w:t>
      </w:r>
      <w:r>
        <w:rPr>
          <w:rFonts w:ascii="Arial" w:eastAsia="Arial"/>
          <w:spacing w:val="-2"/>
        </w:rPr>
        <w:t>GAAP</w:t>
      </w:r>
      <w:r>
        <w:rPr>
          <w:rFonts w:ascii="Arial" w:eastAsia="Arial"/>
          <w:spacing w:val="-3"/>
        </w:rPr>
        <w:t> </w:t>
      </w:r>
      <w:r>
        <w:rPr>
          <w:spacing w:val="-3"/>
        </w:rPr>
        <w:t>收入：运营手动录入</w:t>
      </w:r>
    </w:p>
    <w:p>
      <w:pPr>
        <w:pStyle w:val="BodyText"/>
        <w:spacing w:before="43"/>
      </w:pPr>
      <w:r>
        <w:rPr>
          <w:spacing w:val="-3"/>
        </w:rPr>
        <w:t>预估实施成本：当月该部门实施项目预估成本加和</w:t>
      </w:r>
    </w:p>
    <w:p>
      <w:pPr>
        <w:pStyle w:val="BodyText"/>
        <w:spacing w:before="43"/>
      </w:pPr>
      <w:r>
        <w:rPr>
          <w:spacing w:val="-11"/>
        </w:rPr>
        <w:t>预估毛利率 </w:t>
      </w:r>
      <w:r>
        <w:rPr>
          <w:rFonts w:ascii="Arial" w:eastAsia="Arial"/>
          <w:spacing w:val="-2"/>
        </w:rPr>
        <w:t>A</w:t>
      </w:r>
      <w:r>
        <w:rPr>
          <w:spacing w:val="-2"/>
        </w:rPr>
        <w:t>（</w:t>
      </w:r>
      <w:r>
        <w:rPr>
          <w:rFonts w:ascii="Arial" w:eastAsia="Arial"/>
          <w:spacing w:val="-2"/>
        </w:rPr>
        <w:t>GAAP </w:t>
      </w:r>
      <w:r>
        <w:rPr>
          <w:spacing w:val="-2"/>
        </w:rPr>
        <w:t>收入）：</w:t>
      </w:r>
      <w:r>
        <w:rPr>
          <w:rFonts w:ascii="Arial" w:eastAsia="Arial"/>
          <w:spacing w:val="-2"/>
        </w:rPr>
        <w:t>1-</w:t>
      </w:r>
      <w:r>
        <w:rPr>
          <w:spacing w:val="-2"/>
        </w:rPr>
        <w:t>预估实施成本</w:t>
      </w:r>
      <w:r>
        <w:rPr>
          <w:rFonts w:ascii="Arial" w:eastAsia="Arial"/>
          <w:spacing w:val="-2"/>
        </w:rPr>
        <w:t>/</w:t>
      </w:r>
      <w:r>
        <w:rPr>
          <w:spacing w:val="-18"/>
        </w:rPr>
        <w:t>预估 </w:t>
      </w:r>
      <w:r>
        <w:rPr>
          <w:rFonts w:ascii="Arial" w:eastAsia="Arial"/>
          <w:spacing w:val="-2"/>
        </w:rPr>
        <w:t>GAAP </w:t>
      </w:r>
      <w:r>
        <w:rPr>
          <w:spacing w:val="-6"/>
        </w:rPr>
        <w:t>收入</w:t>
      </w:r>
    </w:p>
    <w:p>
      <w:pPr>
        <w:pStyle w:val="BodyText"/>
        <w:spacing w:before="85"/>
        <w:ind w:left="0"/>
      </w:pPr>
    </w:p>
    <w:p>
      <w:pPr>
        <w:pStyle w:val="BodyText"/>
        <w:spacing w:line="278" w:lineRule="auto" w:before="1"/>
        <w:ind w:right="5607"/>
      </w:pPr>
      <w:r>
        <w:rPr>
          <w:spacing w:val="-2"/>
        </w:rPr>
        <w:t>本年度已签约合同额：手动录入</w:t>
      </w:r>
      <w:r>
        <w:rPr>
          <w:spacing w:val="-3"/>
        </w:rPr>
        <w:t>本年度签约绩效目标：手动录入</w:t>
      </w:r>
    </w:p>
    <w:p>
      <w:pPr>
        <w:pStyle w:val="BodyText"/>
        <w:spacing w:line="269" w:lineRule="exact"/>
      </w:pPr>
      <w:r>
        <w:rPr>
          <w:spacing w:val="-6"/>
        </w:rPr>
        <w:t>售前成本使用率：本年 </w:t>
      </w:r>
      <w:r>
        <w:rPr>
          <w:rFonts w:ascii="Arial" w:eastAsia="Arial"/>
          <w:spacing w:val="-2"/>
        </w:rPr>
        <w:t>ITD</w:t>
      </w:r>
      <w:r>
        <w:rPr>
          <w:rFonts w:ascii="Arial" w:eastAsia="Arial"/>
          <w:spacing w:val="1"/>
        </w:rPr>
        <w:t> </w:t>
      </w:r>
      <w:r>
        <w:rPr>
          <w:spacing w:val="-2"/>
        </w:rPr>
        <w:t>部门售前成本</w:t>
      </w:r>
      <w:r>
        <w:rPr>
          <w:rFonts w:ascii="Arial" w:eastAsia="Arial"/>
          <w:spacing w:val="-2"/>
        </w:rPr>
        <w:t>/</w:t>
      </w:r>
      <w:r>
        <w:rPr>
          <w:spacing w:val="-3"/>
        </w:rPr>
        <w:t>本年度签约绩效目标</w:t>
      </w:r>
    </w:p>
    <w:sectPr>
      <w:pgSz w:w="11910" w:h="16840"/>
      <w:pgMar w:top="1380" w:bottom="28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YaHei Light">
    <w:altName w:val="Microsoft YaHei Light"/>
    <w:charset w:val="1"/>
    <w:family w:val="swiss"/>
    <w:pitch w:val="variable"/>
  </w:font>
  <w:font w:name="SimSun">
    <w:altName w:val="SimSun"/>
    <w:charset w:val="1"/>
    <w:family w:val="auto"/>
    <w:pitch w:val="variable"/>
  </w:font>
  <w:font w:name="Microsoft JhengHei">
    <w:altName w:val="Microsoft JhengHe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SimSun" w:hAnsi="SimSun" w:eastAsia="SimSun" w:cs="SimSun"/>
      <w:sz w:val="21"/>
      <w:szCs w:val="21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63"/>
      <w:ind w:left="100"/>
      <w:outlineLvl w:val="1"/>
    </w:pPr>
    <w:rPr>
      <w:rFonts w:ascii="Arial" w:hAnsi="Arial" w:eastAsia="Arial" w:cs="Arial"/>
      <w:b/>
      <w:bCs/>
      <w:sz w:val="21"/>
      <w:szCs w:val="21"/>
      <w:lang w:val="en-US" w:eastAsia="zh-CN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17762</dc:creator>
  <dc:description/>
  <dcterms:created xsi:type="dcterms:W3CDTF">2026-03-16T08:55:32Z</dcterms:created>
  <dcterms:modified xsi:type="dcterms:W3CDTF">2026-03-16T08:55:32Z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WPS Office WWO_wpscloud_20260303154631-1e8b7c321a</vt:lpwstr>
  </property>
  <property fmtid="{D5CDD505-2E9C-101B-9397-08002B2CF9AE}" pid="4" name="LastSaved">
    <vt:filetime>2026-03-16T00:00:00Z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D:20260309165207+08'00'</vt:lpwstr>
  </property>
</Properties>
</file>