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第一部分：模拟基座层——基于Java的链上执行、带类型资金流事件与动态利率机制</w:t>
      </w:r>
    </w:p>
    <w:p>
      <w:r>
        <w:rPr>
          <w:rFonts w:ascii="Times New Roman" w:hAnsi="Times New Roman"/>
          <w:b/>
          <w:sz w:val="24"/>
        </w:rPr>
        <w:t>1. 背景与设计出发点</w:t>
      </w:r>
    </w:p>
    <w:p>
      <w:r>
        <w:rPr>
          <w:rFonts w:ascii="Times New Roman" w:hAnsi="Times New Roman"/>
          <w:b w:val="0"/>
          <w:sz w:val="24"/>
        </w:rPr>
        <w:t>PonziShield 将所有庞氏骗局相关的风险信号通过前端五个面板对外呈现——Demo 按钮、Tx Stream 资金流、Graph 资金网络图、Lifecycle 生命周期曲线和区块高度轴——这五个面板的全部数据均来源于一条连续的带类型转账事件流。用户在这五个面板中看到的每一个数字，其源头都位于第一层：一个用原生 Java 构建的执行环境，该环境按区块逐一回放庞氏合约，并为每一次经济行为发射结构化事件。整个检测管线的真实性因此取决于第一层能否准确建模其意图模拟的合约行为。</w:t>
      </w:r>
    </w:p>
    <w:p>
      <w:r>
        <w:rPr>
          <w:rFonts w:ascii="Times New Roman" w:hAnsi="Times New Roman"/>
          <w:b w:val="0"/>
          <w:sz w:val="24"/>
        </w:rPr>
        <w:t>原始基座层已经捕捉到了庞氏合约的核心骨架：一个接受新存款的 stake 函数、一个从新入金中提取的两级推荐奖励、一个从同一笔本金中按比例分配给所有既有投资人的分红，以及一条带时间锁的 withdraw 提款路径。其所缺乏的是逼真度。三个结构性缺陷限制了它作为研究工具和作为上游四个模块数据源的有用性。</w:t>
      </w:r>
    </w:p>
    <w:p>
      <w:r>
        <w:rPr>
          <w:rFonts w:ascii="Times New Roman" w:hAnsi="Times New Roman"/>
          <w:b w:val="0"/>
          <w:sz w:val="24"/>
        </w:rPr>
        <w:t>第一，每笔对外转账都以结构完全相同的 FundFlowEvent 发出，无论其业务含义为何——推荐奖金、分红支付和本金提款生成的是相同的 JSON 载荷，仅地址和金额不同。这迫使 ML 分类器和生命周期评分器必须从上下文中逆向推断每笔转账的语义，计算代价高昂且易出错。</w:t>
      </w:r>
    </w:p>
    <w:p>
      <w:r>
        <w:rPr>
          <w:rFonts w:ascii="Times New Roman" w:hAnsi="Times New Roman"/>
          <w:b w:val="0"/>
          <w:sz w:val="24"/>
        </w:rPr>
        <w:t>第二，派息比例在部署时被写死为常量。真实的庞氏骗局极少公布固定利率；操盘手会调整承诺收益率以最大化招募效果，在早期提供超高回报以吸引第一批受害者，并在资金池增长后悄悄降低利率。一个无法复现这种随时间变化的利率的模拟，恰恰歪曲了生命周期模块检测的核心信号——收益率收窄趋势。</w:t>
      </w:r>
    </w:p>
    <w:p>
      <w:r>
        <w:rPr>
          <w:rFonts w:ascii="Times New Roman" w:hAnsi="Times New Roman"/>
          <w:b w:val="0"/>
          <w:sz w:val="24"/>
        </w:rPr>
        <w:t>第三，Demo 场景只提供了一个线性推荐链，由十位投资人顺序加入后三次顺序提款构成。虽然足以验证基本连通性，但这个拓扑过于简单，无法有效压力测试图分类器，也无法揭示区分崩盘庞氏与健康合约的结构性特征——如星形集群、大额鲸鱼早期退出。前端的 Graph 面板显示的只是一条简单链；Lifecycle 曲线也没有任何有意义的拐点。</w:t>
      </w:r>
    </w:p>
    <w:p>
      <w:r>
        <w:rPr>
          <w:rFonts w:ascii="Times New Roman" w:hAnsi="Times New Roman"/>
          <w:b w:val="0"/>
          <w:sz w:val="24"/>
        </w:rPr>
        <w:t>下文描述的三项增强分别逐项解决上述缺陷，同时保持与现有 API 契约的完全向后兼容，确保第二至第五部分——ML 检测模块（Part 2）、中间层检测模块（Part 3）、生命周期评分模块（Part 4）和风险融合模块（Part 5）——无需任何修改。</w:t>
      </w:r>
    </w:p>
    <w:p>
      <w:r>
        <w:rPr>
          <w:rFonts w:ascii="Times New Roman" w:hAnsi="Times New Roman"/>
          <w:b/>
          <w:sz w:val="24"/>
        </w:rPr>
        <w:t>2. 策略与逻辑</w:t>
      </w:r>
    </w:p>
    <w:p>
      <w:r>
        <w:rPr>
          <w:rFonts w:ascii="Times New Roman" w:hAnsi="Times New Roman"/>
          <w:b w:val="0"/>
          <w:sz w:val="24"/>
        </w:rPr>
        <w:t>实现分为三个增强层。第一层引入一套从合约调用点一直传播到 Python 图存储的事件类型分类体系。第二层将固定的利率常量替换为带阶段感知的配置，在可配置的投资人数阈值处自动切换。第三层为 Demo 入口扩展两个结构更丰富的场景，将新增机制暴露给检测管线。</w:t>
      </w:r>
    </w:p>
    <w:p>
      <w:r>
        <w:rPr>
          <w:rFonts w:ascii="Times New Roman" w:hAnsi="Times New Roman"/>
          <w:b/>
          <w:sz w:val="24"/>
        </w:rPr>
        <w:t>2.1 带类型资金流事件</w:t>
      </w:r>
    </w:p>
    <w:p>
      <w:r>
        <w:rPr>
          <w:rFonts w:ascii="Times New Roman" w:hAnsi="Times New Roman"/>
          <w:b w:val="0"/>
          <w:sz w:val="24"/>
        </w:rPr>
        <w:t>影响面最广的改动是引入一个随每笔转账从 Java 合约内部一路传递到 Python 端 NetworkX 图边属性的事件类型维度。</w:t>
      </w:r>
    </w:p>
    <w:p>
      <w:r>
        <w:rPr>
          <w:rFonts w:ascii="Times New Roman" w:hAnsi="Times New Roman"/>
          <w:b w:val="0"/>
          <w:sz w:val="24"/>
        </w:rPr>
        <w:t>新增的 EventType 枚举定义了五个语义类别：STAKE（投资人存入本金）、WITHDRAW（投资人赎回可用余额）、REFERRAL_REWARD（合约向上线支付佣金）、DIVIDEND（合约向既有投资人分配池份额）和 TRANSFER（通用回退）。每个类别对应一个具有不同风险含义的独立经济行为：在同一区块内伴随一笔 STAKE 出现的一簇 DIVIDEND 转账，是 Part 4 生命周期评分器专门度量的"即时派息"模式最可靠的链上指标；锁定期后立刻出现的大额 WITHDRAW，正是 Whale Demo 场景设计的早期退出信号。</w:t>
      </w:r>
    </w:p>
    <w:p>
      <w:r>
        <w:rPr>
          <w:rFonts w:ascii="Times New Roman" w:hAnsi="Times New Roman"/>
          <w:b w:val="0"/>
          <w:sz w:val="24"/>
        </w:rPr>
        <w:t>在 PonziContract.java 中，每次调用内部 transferIfPossible 辅助方法都携带一个显式的 EventType 参数。stake() 方法在锁定新本金后发出 STAKE 事件；在支付推荐佣金时发出 REFERRAL_REWARD 事件；在分配池份额时发出 DIVIDEND 事件。withdraw() 方法在解锁资金转出时发出 WITHDRAW 事件。</w:t>
      </w:r>
    </w:p>
    <w:p>
      <w:r>
        <w:rPr>
          <w:rFonts w:ascii="Times New Roman" w:hAnsi="Times New Roman"/>
          <w:b w:val="0"/>
          <w:sz w:val="24"/>
        </w:rPr>
        <w:t>FundFlowEvent.toJson() 方法在原有 JSON 对象的末尾追加一个新的 "event_type" 键，格式如下：</w:t>
      </w:r>
    </w:p>
    <w:p>
      <w:r>
        <w:rPr>
          <w:rFonts w:ascii="Times New Roman" w:hAnsi="Times New Roman"/>
          <w:b w:val="0"/>
          <w:sz w:val="24"/>
        </w:rPr>
        <w:t>{"from":"0x...","to":"0x...","value":"500","block_number":5,"tx_hash":"0x...","timestamp":1700000060,"event_type":"REFERRAL_REWARD"}</w:t>
      </w:r>
    </w:p>
    <w:p>
      <w:r>
        <w:rPr>
          <w:rFonts w:ascii="Times New Roman" w:hAnsi="Times New Roman"/>
          <w:b w:val="0"/>
          <w:sz w:val="24"/>
        </w:rPr>
        <w:t>由于该键是追加而非插入，不了解该字段的 JSON 消费端会直接忽略它——向后兼容由此得以保证。Python 端 transfer_graph.py 中的 TransferEvent 数据类获得一个带默认值 "TRANSFER" 的新可选字段 event_type: str。当 TransferEvent 写入 NetworkX 图时，类型被存储在边属性中，供前端 Graph 面板按交易类型着色。</w:t>
      </w:r>
    </w:p>
    <w:p>
      <w:r>
        <w:rPr>
          <w:rFonts w:ascii="Times New Roman" w:hAnsi="Times New Roman"/>
          <w:b/>
          <w:sz w:val="24"/>
        </w:rPr>
        <w:t>2.2 动态利率机制</w:t>
      </w:r>
    </w:p>
    <w:p>
      <w:r>
        <w:rPr>
          <w:rFonts w:ascii="Times New Roman" w:hAnsi="Times New Roman"/>
          <w:b w:val="0"/>
          <w:sz w:val="24"/>
        </w:rPr>
        <w:t>真实的庞氏骗局利用一种可预测的心理模式：操盘手宣传极高的早期收益——例如 10% 的推荐奖金加上 40% 的投资者池分红——来吸引最初的受害者。当招募速度放缓、资金池无法支撑承诺的派息时，收益率就会下降。这一收益率收窄曲线正是 Part 4 生命周期评分器依赖的核心信号。然而，原始合约将所有比例为硬编码常量，使得同一笔本金在各种场景下永远产生相同的派息向量，无论合约运行了多久。</w:t>
      </w:r>
    </w:p>
    <w:p>
      <w:r>
        <w:rPr>
          <w:rFonts w:ascii="Times New Roman" w:hAnsi="Times New Roman"/>
          <w:b w:val="0"/>
          <w:sz w:val="24"/>
        </w:rPr>
        <w:t>我们对 PonziContract 引入了一个两阶段利率配置。合约的 worldMessageRouter 在构造时接收一个默认值为 5 的 phaseThreshold 参数。当投资人数量首次达到该阈值时，合约从 EARLY 阶段过渡到 MATURE 阶段。过渡后 referralBpsNow() 降至初始 referralBps 的 50%，poolBpsNow() 降至初始 investorPoolBps 的 75%。阈值本身可配置，使研究人员能够研究该参数对检测效果的敏感性。默认参数如下表：</w:t>
      </w:r>
    </w:p>
    <w:p>
      <w:r>
        <w:rPr>
          <w:rFonts w:ascii="Times New Roman" w:hAnsi="Times New Roman"/>
          <w:b w:val="0"/>
          <w:sz w:val="24"/>
        </w:rPr>
        <w:t>表：阶段利率配置</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阶段</w:t>
            </w:r>
          </w:p>
        </w:tc>
        <w:tc>
          <w:tcPr>
            <w:tcW w:type="dxa" w:w="2880"/>
          </w:tcPr>
          <w:p>
            <w:r>
              <w:rPr>
                <w:rFonts w:ascii="Times New Roman" w:hAnsi="Times New Roman"/>
                <w:b/>
                <w:sz w:val="22"/>
              </w:rPr>
              <w:t>推荐奖励比例 (referralBpsNow)</w:t>
            </w:r>
          </w:p>
        </w:tc>
        <w:tc>
          <w:tcPr>
            <w:tcW w:type="dxa" w:w="2880"/>
          </w:tcPr>
          <w:p>
            <w:r>
              <w:rPr>
                <w:rFonts w:ascii="Times New Roman" w:hAnsi="Times New Roman"/>
                <w:b/>
                <w:sz w:val="22"/>
              </w:rPr>
              <w:t>资金池分红比例 (poolBpsNow)</w:t>
            </w:r>
          </w:p>
        </w:tc>
      </w:tr>
      <w:tr>
        <w:tc>
          <w:tcPr>
            <w:tcW w:type="dxa" w:w="2880"/>
          </w:tcPr>
          <w:p>
            <w:r>
              <w:rPr>
                <w:rFonts w:ascii="Times New Roman" w:hAnsi="Times New Roman"/>
                <w:sz w:val="22"/>
              </w:rPr>
              <w:t>EARLY（投资人 &lt; 5）</w:t>
            </w:r>
          </w:p>
        </w:tc>
        <w:tc>
          <w:tcPr>
            <w:tcW w:type="dxa" w:w="2880"/>
          </w:tcPr>
          <w:p>
            <w:r>
              <w:rPr>
                <w:rFonts w:ascii="Times New Roman" w:hAnsi="Times New Roman"/>
                <w:sz w:val="22"/>
              </w:rPr>
              <w:t>10%（即 1000 bps）</w:t>
            </w:r>
          </w:p>
        </w:tc>
        <w:tc>
          <w:tcPr>
            <w:tcW w:type="dxa" w:w="2880"/>
          </w:tcPr>
          <w:p>
            <w:r>
              <w:rPr>
                <w:rFonts w:ascii="Times New Roman" w:hAnsi="Times New Roman"/>
                <w:sz w:val="22"/>
              </w:rPr>
              <w:t>40%（即 4000 bps）</w:t>
            </w:r>
          </w:p>
        </w:tc>
      </w:tr>
      <w:tr>
        <w:tc>
          <w:tcPr>
            <w:tcW w:type="dxa" w:w="2880"/>
          </w:tcPr>
          <w:p>
            <w:r>
              <w:rPr>
                <w:rFonts w:ascii="Times New Roman" w:hAnsi="Times New Roman"/>
                <w:sz w:val="22"/>
              </w:rPr>
              <w:t>MATURE（投资人 &gt;= 5）</w:t>
            </w:r>
          </w:p>
        </w:tc>
        <w:tc>
          <w:tcPr>
            <w:tcW w:type="dxa" w:w="2880"/>
          </w:tcPr>
          <w:p>
            <w:r>
              <w:rPr>
                <w:rFonts w:ascii="Times New Roman" w:hAnsi="Times New Roman"/>
                <w:sz w:val="22"/>
              </w:rPr>
              <w:t>5%（即 500 bps）</w:t>
            </w:r>
          </w:p>
        </w:tc>
        <w:tc>
          <w:tcPr>
            <w:tcW w:type="dxa" w:w="2880"/>
          </w:tcPr>
          <w:p>
            <w:r>
              <w:rPr>
                <w:rFonts w:ascii="Times New Roman" w:hAnsi="Times New Roman"/>
                <w:sz w:val="22"/>
              </w:rPr>
              <w:t>30%（即 3000 bps）</w:t>
            </w:r>
          </w:p>
        </w:tc>
      </w:tr>
      <w:tr>
        <w:tc>
          <w:tcPr>
            <w:tcW w:type="dxa" w:w="2880"/>
          </w:tcPr>
          <w:p>
            <w:r>
              <w:rPr>
                <w:rFonts w:ascii="Times New Roman" w:hAnsi="Times New Roman"/>
                <w:sz w:val="22"/>
              </w:rPr>
              <w:t>第二级推荐奖励（固定）</w:t>
            </w:r>
          </w:p>
        </w:tc>
        <w:tc>
          <w:tcPr>
            <w:tcW w:type="dxa" w:w="2880"/>
          </w:tcPr>
          <w:p>
            <w:r>
              <w:rPr>
                <w:rFonts w:ascii="Times New Roman" w:hAnsi="Times New Roman"/>
                <w:sz w:val="22"/>
              </w:rPr>
              <w:t>5%（即 500 bps）</w:t>
            </w:r>
          </w:p>
        </w:tc>
        <w:tc>
          <w:tcPr>
            <w:tcW w:type="dxa" w:w="2880"/>
          </w:tcPr>
          <w:p>
            <w:r>
              <w:rPr>
                <w:rFonts w:ascii="Times New Roman" w:hAnsi="Times New Roman"/>
                <w:sz w:val="22"/>
              </w:rPr>
              <w:t>5%（即 500 bps）</w:t>
            </w:r>
          </w:p>
        </w:tc>
      </w:tr>
    </w:tbl>
    <w:p>
      <w:r>
        <w:rPr>
          <w:rFonts w:ascii="Times New Roman" w:hAnsi="Times New Roman"/>
          <w:b w:val="0"/>
          <w:sz w:val="24"/>
        </w:rPr>
      </w:r>
    </w:p>
    <w:p>
      <w:r>
        <w:rPr>
          <w:rFonts w:ascii="Times New Roman" w:hAnsi="Times New Roman"/>
          <w:b w:val="0"/>
          <w:sz w:val="24"/>
        </w:rPr>
        <w:t>阶段过渡由 maybeTransitionPhase() 触发，该方法在每次成功 stake 后被调用。它是一个幂等操作：一旦合约进入 MATURE 阶段，就不再回退。合约还暴露了三个新的只读查询处理器——phase()、referralBpsNow() 和 poolBpsNow()——在 Demo 执行结束时打印，以便操作者确认合约当前阶段与生效利率。</w:t>
      </w:r>
    </w:p>
    <w:p>
      <w:r>
        <w:rPr>
          <w:rFonts w:ascii="Times New Roman" w:hAnsi="Times New Roman"/>
          <w:b/>
          <w:sz w:val="24"/>
        </w:rPr>
        <w:t>2.3 增强 Demo 场景</w:t>
      </w:r>
    </w:p>
    <w:p>
      <w:r>
        <w:rPr>
          <w:rFonts w:ascii="Times New Roman" w:hAnsi="Times New Roman"/>
          <w:b w:val="0"/>
          <w:sz w:val="24"/>
        </w:rPr>
        <w:t>原始 PonziDemoMain 仅包含一个场景：线性推荐链，十位投资人每人 stake 200 WEI，txs[1]、txs[4] 和 txs[6] 在锁定期后 withdraw。产生的 Tx Stream 包含 10 笔 STAKE、17 笔 REFERRAL_REWARD、10 笔 DIVIDEND 和 3 笔 WITHDRAW——可验证但单调。</w:t>
      </w:r>
    </w:p>
    <w:p>
      <w:r>
        <w:rPr>
          <w:rFonts w:ascii="Times New Roman" w:hAnsi="Times New Roman"/>
          <w:b w:val="0"/>
          <w:sz w:val="24"/>
        </w:rPr>
        <w:t>我们新增了两个场景，可通过 JVM 系统属性选择：</w:t>
      </w:r>
    </w:p>
    <w:p>
      <w:r>
        <w:rPr>
          <w:rFonts w:ascii="Times New Roman" w:hAnsi="Times New Roman"/>
          <w:b w:val="0"/>
          <w:sz w:val="24"/>
        </w:rPr>
        <w:t>Network Demo（-Ddemo.type=network）：省略 withdraw，仅执行 stake。投资人 txs[0]（根）存入 1,000 WEI 后 txs[1] 存入 200 WEI，txs[2] 也存入 200 WEI——但 txs[2] 的推荐人是 txs[1] 而非 txs[0]。这一在投资人之间引入非树形推荐关系的设计，创建了星形结构，使第 6 个投资人之后触发阶段过渡。所得 Graph 不再是简单链，而是一个辐射网络，中心节点（txs[0]）连接多条边。</w:t>
      </w:r>
    </w:p>
    <w:p>
      <w:r>
        <w:rPr>
          <w:rFonts w:ascii="Times New Roman" w:hAnsi="Times New Roman"/>
          <w:b w:val="0"/>
          <w:sz w:val="24"/>
        </w:rPr>
        <w:t>Whale Early Exit Demo（-Ddemo.type=whale）：txs[0] 存入 1,000 WEI，txs[1] 存入 200 WEI。锁定期结束后，txs[0] 提取其本金的 80%（800 WEI），产生一个显著的 WITHDRAW 事件。txs[2] 和 txs[3] 随后存入小额资金，阶段在 txs[3] 后过渡到 MATURE。该场景捕捉了典型庞氏早期退出模式：最大投资人套现后，剩余资金萎缩信号供生命周期曲线捕获。</w:t>
      </w:r>
    </w:p>
    <w:p>
      <w:r>
        <w:rPr>
          <w:rFonts w:ascii="Times New Roman" w:hAnsi="Times New Roman"/>
          <w:b/>
          <w:sz w:val="24"/>
        </w:rPr>
        <w:t>3. 在组装系统中的应用</w:t>
      </w:r>
    </w:p>
    <w:p>
      <w:r>
        <w:rPr>
          <w:rFonts w:ascii="Times New Roman" w:hAnsi="Times New Roman"/>
          <w:b w:val="0"/>
          <w:sz w:val="24"/>
        </w:rPr>
        <w:t>以下表格总结每项增强对上游四个模块的具体贡献：</w:t>
      </w:r>
    </w:p>
    <w:p>
      <w:r>
        <w:rPr>
          <w:rFonts w:ascii="Times New Roman" w:hAnsi="Times New Roman"/>
          <w:b w:val="0"/>
          <w:sz w:val="24"/>
        </w:rPr>
        <w:t>表：创新与上游模块的关系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创新</w:t>
            </w:r>
          </w:p>
        </w:tc>
        <w:tc>
          <w:tcPr>
            <w:tcW w:type="dxa" w:w="2160"/>
          </w:tcPr>
          <w:p>
            <w:r>
              <w:rPr>
                <w:rFonts w:ascii="Times New Roman" w:hAnsi="Times New Roman"/>
                <w:b/>
                <w:sz w:val="22"/>
              </w:rPr>
              <w:t>影响模块</w:t>
            </w:r>
          </w:p>
        </w:tc>
        <w:tc>
          <w:tcPr>
            <w:tcW w:type="dxa" w:w="2160"/>
          </w:tcPr>
          <w:p>
            <w:r>
              <w:rPr>
                <w:rFonts w:ascii="Times New Roman" w:hAnsi="Times New Roman"/>
                <w:b/>
                <w:sz w:val="22"/>
              </w:rPr>
              <w:t>具体表现</w:t>
            </w:r>
          </w:p>
        </w:tc>
        <w:tc>
          <w:tcPr>
            <w:tcW w:type="dxa" w:w="2160"/>
          </w:tcPr>
          <w:p>
            <w:r>
              <w:rPr>
                <w:rFonts w:ascii="Times New Roman" w:hAnsi="Times New Roman"/>
                <w:b/>
                <w:sz w:val="22"/>
              </w:rPr>
              <w:t>无需修改的部分</w:t>
            </w:r>
          </w:p>
        </w:tc>
      </w:tr>
      <w:tr>
        <w:tc>
          <w:tcPr>
            <w:tcW w:type="dxa" w:w="2160"/>
          </w:tcPr>
          <w:p>
            <w:r>
              <w:rPr>
                <w:rFonts w:ascii="Times New Roman" w:hAnsi="Times New Roman"/>
                <w:sz w:val="22"/>
              </w:rPr>
              <w:t>事件类型（EventType）</w:t>
            </w:r>
          </w:p>
        </w:tc>
        <w:tc>
          <w:tcPr>
            <w:tcW w:type="dxa" w:w="2160"/>
          </w:tcPr>
          <w:p>
            <w:r>
              <w:rPr>
                <w:rFonts w:ascii="Times New Roman" w:hAnsi="Times New Roman"/>
                <w:sz w:val="22"/>
              </w:rPr>
              <w:t>Part 2 ML / Part 4 Lifecycle</w:t>
            </w:r>
          </w:p>
        </w:tc>
        <w:tc>
          <w:tcPr>
            <w:tcW w:type="dxa" w:w="2160"/>
          </w:tcPr>
          <w:p>
            <w:r>
              <w:rPr>
                <w:rFonts w:ascii="Times New Roman" w:hAnsi="Times New Roman"/>
                <w:sz w:val="22"/>
              </w:rPr>
              <w:t>ML 分类器可直接读取事件类型特征，无需逆推；生命周期曲线可标注拐点类型</w:t>
            </w:r>
          </w:p>
        </w:tc>
        <w:tc>
          <w:tcPr>
            <w:tcW w:type="dxa" w:w="2160"/>
          </w:tcPr>
          <w:p>
            <w:r>
              <w:rPr>
                <w:rFonts w:ascii="Times New Roman" w:hAnsi="Times New Roman"/>
                <w:sz w:val="22"/>
              </w:rPr>
              <w:t>API 仅追加字段，原字段和格式不变</w:t>
            </w:r>
          </w:p>
        </w:tc>
      </w:tr>
      <w:tr>
        <w:tc>
          <w:tcPr>
            <w:tcW w:type="dxa" w:w="2160"/>
          </w:tcPr>
          <w:p>
            <w:r>
              <w:rPr>
                <w:rFonts w:ascii="Times New Roman" w:hAnsi="Times New Roman"/>
                <w:sz w:val="22"/>
              </w:rPr>
              <w:t>动态利率机制</w:t>
            </w:r>
          </w:p>
        </w:tc>
        <w:tc>
          <w:tcPr>
            <w:tcW w:type="dxa" w:w="2160"/>
          </w:tcPr>
          <w:p>
            <w:r>
              <w:rPr>
                <w:rFonts w:ascii="Times New Roman" w:hAnsi="Times New Roman"/>
                <w:sz w:val="22"/>
              </w:rPr>
              <w:t>Part 4 Lifecycle / Part 5 Risk Fusion</w:t>
            </w:r>
          </w:p>
        </w:tc>
        <w:tc>
          <w:tcPr>
            <w:tcW w:type="dxa" w:w="2160"/>
          </w:tcPr>
          <w:p>
            <w:r>
              <w:rPr>
                <w:rFonts w:ascii="Times New Roman" w:hAnsi="Times New Roman"/>
                <w:sz w:val="22"/>
              </w:rPr>
              <w:t>产生真实的收益率收窄曲线，供生命周期模块检测；风险融合接收更复杂信号</w:t>
            </w:r>
          </w:p>
        </w:tc>
        <w:tc>
          <w:tcPr>
            <w:tcW w:type="dxa" w:w="2160"/>
          </w:tcPr>
          <w:p>
            <w:r>
              <w:rPr>
                <w:rFonts w:ascii="Times New Roman" w:hAnsi="Times New Roman"/>
                <w:sz w:val="22"/>
              </w:rPr>
              <w:t>利率参数仅在合约内部调整，输出格式不变</w:t>
            </w:r>
          </w:p>
        </w:tc>
      </w:tr>
      <w:tr>
        <w:tc>
          <w:tcPr>
            <w:tcW w:type="dxa" w:w="2160"/>
          </w:tcPr>
          <w:p>
            <w:r>
              <w:rPr>
                <w:rFonts w:ascii="Times New Roman" w:hAnsi="Times New Roman"/>
                <w:sz w:val="22"/>
              </w:rPr>
              <w:t>增强 Demo 场景</w:t>
            </w:r>
          </w:p>
        </w:tc>
        <w:tc>
          <w:tcPr>
            <w:tcW w:type="dxa" w:w="2160"/>
          </w:tcPr>
          <w:p>
            <w:r>
              <w:rPr>
                <w:rFonts w:ascii="Times New Roman" w:hAnsi="Times New Roman"/>
                <w:sz w:val="22"/>
              </w:rPr>
              <w:t>Part 3 中间层检测 / 所有可视化</w:t>
            </w:r>
          </w:p>
        </w:tc>
        <w:tc>
          <w:tcPr>
            <w:tcW w:type="dxa" w:w="2160"/>
          </w:tcPr>
          <w:p>
            <w:r>
              <w:rPr>
                <w:rFonts w:ascii="Times New Roman" w:hAnsi="Times New Roman"/>
                <w:sz w:val="22"/>
              </w:rPr>
              <w:t>星形网络和鲸鱼退出产生更丰富图拓扑，压力测试图分类器；前端面板信息量增加</w:t>
            </w:r>
          </w:p>
        </w:tc>
        <w:tc>
          <w:tcPr>
            <w:tcW w:type="dxa" w:w="2160"/>
          </w:tcPr>
          <w:p>
            <w:r>
              <w:rPr>
                <w:rFonts w:ascii="Times New Roman" w:hAnsi="Times New Roman"/>
                <w:sz w:val="22"/>
              </w:rPr>
              <w:t>Demo 入口默认行为不变，新场景参数触发</w:t>
            </w:r>
          </w:p>
        </w:tc>
      </w:tr>
    </w:tbl>
    <w:p>
      <w:r>
        <w:rPr>
          <w:rFonts w:ascii="Times New Roman" w:hAnsi="Times New Roman"/>
          <w:b w:val="0"/>
          <w:sz w:val="24"/>
        </w:rPr>
      </w:r>
    </w:p>
    <w:p>
      <w:r>
        <w:rPr>
          <w:rFonts w:ascii="Times New Roman" w:hAnsi="Times New Roman"/>
          <w:b w:val="0"/>
          <w:sz w:val="24"/>
        </w:rPr>
        <w:t>所有改动均已通过以下验证：(1) 向后兼容性——原有线性 Demo 输出与原始版本完全一致，仅每个 JSON 事件末尾多一个 event_type 字段；(2) 跨模块联通——Python 端 /api/v1/transfer 接受带与不带 event_type 的请求，TransferEvent 默认值保证旧调用方不报错；(3) 功能正确性——stage 过渡在正确阈值触发，利率在两个阶段之间正确切换。</w:t>
      </w:r>
    </w:p>
    <w:p>
      <w:r>
        <w:rPr>
          <w:rFonts w:ascii="Times New Roman" w:hAnsi="Times New Roman"/>
          <w:b/>
          <w:sz w:val="24"/>
        </w:rPr>
        <w:t>4. 参考文献</w:t>
      </w:r>
    </w:p>
    <w:p>
      <w:r>
        <w:rPr>
          <w:rFonts w:ascii="Times New Roman" w:hAnsi="Times New Roman"/>
          <w:b w:val="0"/>
          <w:sz w:val="24"/>
        </w:rPr>
        <w:t>[1] Chen, W., Zheng, Z., Cui, J., et al. Detecting Ponzi Schemes on Ethereum: Towards Healthier Blockchain Technology. In Proceedings of the 2018 World Wide Web Conference (WWW '18), pp. 1409-1418, 2018. 该文首次系统性地定义了以太坊上庞氏合约的链上行为特征，为本项目合约逻辑（stake/withdraw/两级推荐/按比例分红）提供了核心参考框架。</w:t>
      </w:r>
    </w:p>
    <w:p>
      <w:r>
        <w:rPr>
          <w:rFonts w:ascii="Times New Roman" w:hAnsi="Times New Roman"/>
          <w:b w:val="0"/>
          <w:sz w:val="24"/>
        </w:rPr>
        <w:t>[2] Bartoletti, M., Carta, S., Cimoli, T., et al. Dissecting Ponzi Schemes on Ethereum: Identification, Analysis, and Impact. Future Generation Computer Systems, vol. 102, pp. 259-277, 2020. 该文分类了多类以太坊庞氏骗局的资金流拓扑模式，为本项目设计多维 Demo 场景（星形网络、鲸鱼早退）提供了灵感来源。</w:t>
      </w:r>
    </w:p>
    <w:p>
      <w:r>
        <w:rPr>
          <w:rFonts w:ascii="Times New Roman" w:hAnsi="Times New Roman"/>
          <w:b w:val="0"/>
          <w:sz w:val="24"/>
        </w:rPr>
        <w:t>[3] Wu, J., Yuan, Q., Lin, D., et al. Who Are the Phishers? Phishing Scam Detection on Ethereum via Network Embedding. IEEE Transactions on Systems, Man, and Cybernetics: Systems, vol. 52, no. 2, pp. 1156-1166, 2022. 该文利用网络嵌入技术从交易图中提取特征检测欺诈，为本项目资金流图的事件类型标注和 Graph 面板设计提供了方法论支撑。</w:t>
      </w:r>
    </w:p>
    <w:p>
      <w:r>
        <w:rPr>
          <w:rFonts w:ascii="Times New Roman" w:hAnsi="Times New Roman"/>
          <w:b w:val="0"/>
          <w:sz w:val="24"/>
        </w:rPr>
        <w:t>[4] Victor, F. and Lueders, A. K. Measuring Ethereum-Based ERC20 Token Networks. In International Conference on Financial Cryptography and Data Security, pp. 113-129, Springer, 2019. 该文提出了以太坊代币网络的定量度量方法，为本项目的区块级别资金流追踪和生命周期数据采集提供了工程参照。</w:t>
      </w:r>
    </w:p>
    <w:p>
      <w:r>
        <w:rPr>
          <w:rFonts w:ascii="Times New Roman" w:hAnsi="Times New Roman"/>
          <w:b/>
          <w:sz w:val="24"/>
        </w:rPr>
        <w:t>5. 附录：撰写声明</w:t>
      </w:r>
    </w:p>
    <w:p>
      <w:r>
        <w:rPr>
          <w:rFonts w:ascii="Times New Roman" w:hAnsi="Times New Roman"/>
          <w:b w:val="0"/>
          <w:sz w:val="24"/>
        </w:rPr>
        <w:t>本部分（第一部分：模拟基座层）的全部文字内容、代码修改和 Demo 场景由 [你的姓名] 独立撰写。参考文献 [1]-[4] 已在文末标注。第二至第五部分由本组其他成员分别完成。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