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C6454B">
      <w:pPr>
        <w:bidi w:val="0"/>
        <w:jc w:val="center"/>
        <w:rPr>
          <w:rFonts w:hint="eastAsia" w:ascii="黑体" w:hAnsi="黑体" w:eastAsia="黑体" w:cs="黑体"/>
          <w:b/>
          <w:bCs/>
          <w:sz w:val="36"/>
          <w:szCs w:val="36"/>
        </w:rPr>
      </w:pPr>
      <w:bookmarkStart w:id="0" w:name="heading_0"/>
      <w:r>
        <w:rPr>
          <w:rFonts w:hint="eastAsia" w:ascii="黑体" w:hAnsi="黑体" w:eastAsia="黑体" w:cs="黑体"/>
          <w:b/>
          <w:bCs/>
          <w:sz w:val="36"/>
          <w:szCs w:val="36"/>
        </w:rPr>
        <w:t>长江横向生态补偿损益匹配与议价失衡测算</w:t>
      </w:r>
      <w:bookmarkEnd w:id="0"/>
    </w:p>
    <w:p w14:paraId="0198DCA4">
      <w:pPr>
        <w:pStyle w:val="3"/>
        <w:bidi w:val="0"/>
        <w:jc w:val="center"/>
        <w:rPr>
          <w:rFonts w:hint="eastAsia" w:ascii="黑体" w:hAnsi="黑体" w:eastAsia="黑体" w:cs="黑体"/>
          <w:b/>
          <w:bCs/>
        </w:rPr>
      </w:pPr>
      <w:r>
        <w:rPr>
          <w:rFonts w:hint="eastAsia" w:ascii="黑体" w:hAnsi="黑体" w:eastAsia="黑体" w:cs="黑体"/>
          <w:b/>
          <w:bCs/>
        </w:rPr>
        <w:t>—— 基于双边随机前沿与国际流域标尺</w:t>
      </w:r>
    </w:p>
    <w:p w14:paraId="48075CFE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作者简介</w:t>
      </w:r>
      <w:bookmarkEnd w:id="1"/>
    </w:p>
    <w:p w14:paraId="690ACF3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XXX（2006—），中央财经大学统计与数学学院本科生，研究方向：资源环境计量、面板随机前沿模型；XXX（通讯作者），XX 大学经济学院副教授，经济学博士，研究方向：流域生态补偿、府际财政协同、计量经济政策评估。</w:t>
      </w:r>
    </w:p>
    <w:p w14:paraId="21E590E2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基金项目</w:t>
      </w:r>
      <w:bookmarkEnd w:id="2"/>
    </w:p>
    <w:p w14:paraId="4E68445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本文</w:t>
      </w:r>
      <w:r>
        <w:rPr>
          <w:rFonts w:hint="eastAsia" w:ascii="Arial" w:hAnsi="Arial" w:eastAsia="等线" w:cs="Arial"/>
          <w:sz w:val="22"/>
          <w:lang w:val="en-US" w:eastAsia="zh-CN"/>
        </w:rPr>
        <w:t>争取申请纳入</w:t>
      </w:r>
      <w:r>
        <w:rPr>
          <w:rFonts w:ascii="Arial" w:hAnsi="Arial" w:eastAsia="等线" w:cs="Arial"/>
          <w:sz w:val="22"/>
        </w:rPr>
        <w:t>国家社会科学基金青年项目 “跨区域流域生态补偿议价失衡量化识别与制度优化研究”（22CJL018）、中央财经大学本科生国家级科研创新训练项目 “长江横向生态补偿双边随机前沿测算”（2025100340XX）阶段性成果；财资环〔2025〕50 号政策跟踪调研专项支持成果。</w:t>
      </w:r>
    </w:p>
    <w:p w14:paraId="2C0A54F9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摘要</w:t>
      </w:r>
      <w:bookmarkEnd w:id="3"/>
    </w:p>
    <w:p w14:paraId="289B360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十五五规划纲要提出以流域为抓手深化横向生态补偿，财政部等五部门财资环〔2025〕49 号、50 号文件明确 2027 年建成统一长江干流横向生</w:t>
      </w:r>
      <w:bookmarkStart w:id="53" w:name="_GoBack"/>
      <w:bookmarkEnd w:id="53"/>
      <w:r>
        <w:rPr>
          <w:rFonts w:ascii="Arial" w:hAnsi="Arial" w:eastAsia="等线" w:cs="Arial"/>
          <w:sz w:val="22"/>
        </w:rPr>
        <w:t>态补偿机制，同步确立三年一轮动态评估、双向损益核算制度安排。当前长江上下游链式定额补偿依靠省级政府协商达成，尚未统一量化上游生态管控机会成本与下游产业生态红利，上下游损益匹配程度、双边议价势力差距缺乏标准化测算工具，补偿分配公平性难以客观评判。本文立足府际正外部性理论与鲁宾斯坦无限期讨价还价均衡，构建下游出资省 — 上游受偿省配对面板，选取 2018—2025 年长江干流 11 省市 28 组配对观测，采用双边随机前沿模型实现损益匹配、议价失衡双维度同步测算，引入莱茵河盐污染分摊公约、科罗拉多河两段式分水制度两类国际流域标尺校准合理出资规模。研究表明：第一，下游议价能力</w:t>
      </w:r>
      <m:oMath>
        <m:sSub>
          <m:sSubPr/>
          <m:e>
            <m:r>
              <m:rPr/>
              <w:rPr>
                <w:rFonts w:ascii="Cambria Math" w:hAnsi="Cambria Math"/>
              </w:rPr>
              <m:t>λ</m:t>
            </m:r>
          </m:e>
          <m:sub>
            <m:r>
              <m:rPr/>
              <w:rPr>
                <w:rFonts w:ascii="Cambria Math" w:hAnsi="Cambria Math"/>
              </w:rPr>
              <m:t>μ</m:t>
            </m:r>
          </m:sub>
        </m:sSub>
        <m:r>
          <m:rPr/>
          <w:rPr>
            <w:rFonts w:ascii="Cambria Math" w:hAnsi="Cambria Math"/>
          </w:rPr>
          <m:t>≈0.63</m:t>
        </m:r>
      </m:oMath>
      <w:r>
        <w:rPr>
          <w:rFonts w:ascii="Arial" w:hAnsi="Arial" w:eastAsia="等线" w:cs="Arial"/>
          <w:sz w:val="22"/>
        </w:rPr>
        <w:t>显著高于上游</w:t>
      </w:r>
      <m:oMath>
        <m:sSub>
          <m:sSubPr/>
          <m:e>
            <m:r>
              <m:rPr/>
              <w:rPr>
                <w:rFonts w:ascii="Cambria Math" w:hAnsi="Cambria Math"/>
              </w:rPr>
              <m:t>λ</m:t>
            </m:r>
          </m:e>
          <m:sub>
            <m:r>
              <m:rPr/>
              <w:rPr>
                <w:rFonts w:ascii="Cambria Math" w:hAnsi="Cambria Math"/>
              </w:rPr>
              <m:t>η</m:t>
            </m:r>
          </m:sub>
        </m:sSub>
        <m:r>
          <m:rPr/>
          <w:rPr>
            <w:rFonts w:ascii="Cambria Math" w:hAnsi="Cambria Math"/>
          </w:rPr>
          <m:t>≈0.37</m:t>
        </m:r>
      </m:oMath>
      <w:r>
        <w:rPr>
          <w:rFonts w:ascii="Arial" w:hAnsi="Arial" w:eastAsia="等线" w:cs="Arial"/>
          <w:sz w:val="22"/>
        </w:rPr>
        <w:t>，流域 63% 议价剩余向下游倾斜，上下游生态损益系统性错配，上游生态保护形成持续性补偿资金缺口；第二，时变参数检验显示上游保护成本逐年抬升、下游水质改善边际收益持续衰减，损益错配程度逐年扩大，为财资环〔2025〕50 号 “每三年动态调整补偿标准” 提供计量支撑；第三，依托国际流域受益分摊逻辑测算，2025 年苏、沪、皖理论出资总额 81 亿元，现行实际补偿仅 32 亿元，整体资金亏空率 60.5%，江苏省作为核心受益主体出资规模明显不足。结合实证测算结果与国际流域治理经验，本文从立法完善、动态受益分摊核算、两段式分层议价、法人化流域治理平台、市场化生态付费试点五个维度，构建适配我国财政分权体制的长江统一补偿制度框架。本文实证环节对多元主体、多类型生态价值做适度简化以保障模型识别收敛，相关拓展研究留待后续推进。</w:t>
      </w:r>
    </w:p>
    <w:p w14:paraId="0C09052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关键词</w:t>
      </w:r>
      <w:r>
        <w:rPr>
          <w:rFonts w:ascii="Arial" w:hAnsi="Arial" w:eastAsia="等线" w:cs="Arial"/>
          <w:sz w:val="22"/>
        </w:rPr>
        <w:t>：横向生态补偿；损益匹配；议价失衡；双边随机前沿；国际流域标尺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JEL 分类：Q57；H23；C51</w:t>
      </w:r>
    </w:p>
    <w:p w14:paraId="42E7BE33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一、引言</w:t>
      </w:r>
      <w:bookmarkEnd w:id="4"/>
    </w:p>
    <w:p w14:paraId="171A0376"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（一）政策背景与研究价值</w:t>
      </w:r>
      <w:bookmarkEnd w:id="5"/>
    </w:p>
    <w:p w14:paraId="2B55B81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长江经济带集聚全国 46.7% 人口、创造 47.6% 国内生产总值（2024，国家统计局），长期形成上游承担生态管控成本、下游独占水质改善红利的府际分工格局，上下游生态投入与收益长期失衡。《“十四五” 长江经济带发展规划纲要》部署全域长江跨省横向生态补偿试点，鼓励上下游基于保护成本、水质收益协商补偿额度</w:t>
      </w:r>
      <m:oMath>
        <m:sSup>
          <m:sSupPr/>
          <m:e/>
          <m:sup>
            <m:r>
              <m:rPr/>
              <w:rPr>
                <w:rFonts w:ascii="Cambria Math" w:hAnsi="Cambria Math"/>
              </w:rPr>
              <m:t>[13]</m:t>
            </m:r>
          </m:sup>
        </m:sSup>
      </m:oMath>
      <w:r>
        <w:rPr>
          <w:rFonts w:ascii="Arial" w:hAnsi="Arial" w:eastAsia="等线" w:cs="Arial"/>
          <w:sz w:val="22"/>
        </w:rPr>
        <w:t>；2021 年施行的《中华人民共和国长江保护法》专章设立流域生态补偿制度，明确跨区域生态利益平衡法定权责</w:t>
      </w:r>
      <m:oMath>
        <m:sSup>
          <m:sSupPr/>
          <m:e/>
          <m:sup>
            <m:r>
              <m:rPr/>
              <w:rPr>
                <w:rFonts w:ascii="Cambria Math" w:hAnsi="Cambria Math"/>
              </w:rPr>
              <m:t>[11]</m:t>
            </m:r>
          </m:sup>
        </m:sSup>
      </m:oMath>
      <w:r>
        <w:rPr>
          <w:rFonts w:ascii="Arial" w:hAnsi="Arial" w:eastAsia="等线" w:cs="Arial"/>
          <w:sz w:val="22"/>
        </w:rPr>
        <w:t>；2024 年《生态保护补偿条例》颁布实施，以行政法规形式固化流域横向补偿权责，强制要求核算上下游双向生态损益、建立补偿标准动态调整机制</w:t>
      </w:r>
      <m:oMath>
        <m:sSup>
          <m:sSupPr/>
          <m:e/>
          <m:sup>
            <m:r>
              <m:rPr/>
              <w:rPr>
                <w:rFonts w:ascii="Cambria Math" w:hAnsi="Cambria Math"/>
              </w:rPr>
              <m:t>[12]</m:t>
            </m:r>
          </m:sup>
        </m:sSup>
      </m:oMath>
      <w:r>
        <w:rPr>
          <w:rFonts w:ascii="Arial" w:hAnsi="Arial" w:eastAsia="等线" w:cs="Arial"/>
          <w:sz w:val="22"/>
        </w:rPr>
        <w:t>。</w:t>
      </w:r>
    </w:p>
    <w:p w14:paraId="396C58C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十五五规划纲要进一步部署多元化流域横向补偿改革</w:t>
      </w:r>
      <m:oMath>
        <m:sSup>
          <m:sSupPr/>
          <m:e/>
          <m:sup>
            <m:r>
              <m:rPr/>
              <w:rPr>
                <w:rFonts w:ascii="Cambria Math" w:hAnsi="Cambria Math"/>
              </w:rPr>
              <m:t>[19]</m:t>
            </m:r>
          </m:sup>
        </m:sSup>
      </m:oMath>
      <w:r>
        <w:rPr>
          <w:rFonts w:ascii="Arial" w:hAnsi="Arial" w:eastAsia="等线" w:cs="Arial"/>
          <w:sz w:val="22"/>
        </w:rPr>
        <w:t>；2025 年财政部、生态环境部等五部门联合印发财资环〔2025〕49 号《关于进一步健全横向生态保护补偿机制的意见》、财资环〔2025〕50 号《关于深入推进大江大河干流横向生态保护补偿机制建设的实施方案》两份配套文件，一方面将补偿核算拓展至水量、水生态、供水安全综合维度，另一方面硬性设定 2027 年干流统一补偿机制落地、每三年动态评估调整的制度安排，行业亟需一套可同步测算损益匹配度、识别议价失衡的标准化量化工具</w:t>
      </w:r>
      <m:oMath>
        <m:sSup>
          <m:sSupPr/>
          <m:e/>
          <m:sup>
            <m:r>
              <m:rPr/>
              <w:rPr>
                <w:rFonts w:ascii="Cambria Math" w:hAnsi="Cambria Math"/>
              </w:rPr>
              <m:t>[2][3]</m:t>
            </m:r>
          </m:sup>
        </m:sSup>
      </m:oMath>
      <w:r>
        <w:rPr>
          <w:rFonts w:ascii="Arial" w:hAnsi="Arial" w:eastAsia="等线" w:cs="Arial"/>
          <w:sz w:val="22"/>
        </w:rPr>
        <w:t>。</w:t>
      </w:r>
    </w:p>
    <w:p w14:paraId="6A6B8B1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现行长江流域采用苏沪皖出资、川青藏滇渝湘赣受偿链式定额补偿模式，补偿额度依托地方历史谈判形成，上下游省级配套政策普遍存在量化短板。下游层面，《安徽省长江流域横向生态保护补偿资金管理办法》（皖财资环〔2024〕770 号）、江苏省、上海市长江流域补偿实施细则仅依托断面水质开展定额结算，未系统核算上游发展机会成本与下游绿色产业收益</w:t>
      </w:r>
      <m:oMath>
        <m:sSup>
          <m:sSupPr/>
          <m:e/>
          <m:sup>
            <m:r>
              <m:rPr/>
              <w:rPr>
                <w:rFonts w:ascii="Cambria Math" w:hAnsi="Cambria Math"/>
              </w:rPr>
              <m:t>[14][15][16]</m:t>
            </m:r>
          </m:sup>
        </m:sSup>
      </m:oMath>
      <w:r>
        <w:rPr>
          <w:rFonts w:ascii="Arial" w:hAnsi="Arial" w:eastAsia="等线" w:cs="Arial"/>
          <w:sz w:val="22"/>
        </w:rPr>
        <w:t>；上游川渝、湘赣滇青藏各省 2021—2024 年跨省补偿协议虽尝试纳入生态流量、生态红线损失指标，但尚未建立全流域统一双向损益分摊体系</w:t>
      </w:r>
      <m:oMath>
        <m:sSup>
          <m:sSupPr/>
          <m:e/>
          <m:sup>
            <m:r>
              <m:rPr/>
              <w:rPr>
                <w:rFonts w:ascii="Cambria Math" w:hAnsi="Cambria Math"/>
              </w:rPr>
              <m:t>[17][18]</m:t>
            </m:r>
          </m:sup>
        </m:sSup>
      </m:oMath>
      <w:r>
        <w:rPr>
          <w:rFonts w:ascii="Arial" w:hAnsi="Arial" w:eastAsia="等线" w:cs="Arial"/>
          <w:sz w:val="22"/>
        </w:rPr>
        <w:t>。综合来看，现有补偿制度存在三重缺陷：一是上游多层级环境规制带来的发展机会成本缺少统一测算框架，生态供给端损失难以量化；二是下游水质改善催生的工业绿色全要素生产率、供水安全收益未纳入出资定价标准，生态受益端红利无法直观核算；三是无法同步衡量上下游损益匹配水平与双边议价势力差距，补偿分配公平性缺少客观评判依据。莱茵河、科罗拉多河等成熟国际流域均构建损益导向的成本分摊规则，可作为标尺校准长江补偿标准，为破解损益错配、议价失衡提供参照路径。</w:t>
      </w:r>
    </w:p>
    <w:p w14:paraId="1373C15A"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t>（二）理论逻辑与研究切入点</w:t>
      </w:r>
      <w:bookmarkEnd w:id="6"/>
    </w:p>
    <w:p w14:paraId="7708A3F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流域上下游生态供给属于典型跨区域正外部性公共品：上游生态保护行为产生全域水质红利，但保护成本完全由上游地方政府承担，市场自发均衡下上下游生态投入、收益无法对等，形成损益错配，横向生态补偿是修复损益匹配关系、平衡双边议价地位的核心政策工具。从鲁宾斯坦无限期讨价还价博弈视角，上下游省级政府构成核心博弈主体：上游持有生态供给保留价（机会成本</w:t>
      </w:r>
      <m:oMath>
        <m:r>
          <m:rPr/>
          <w:rPr>
            <w:rFonts w:ascii="Cambria Math" w:hAnsi="Cambria Math"/>
          </w:rPr>
          <m:t>η</m:t>
        </m:r>
      </m:oMath>
      <w:r>
        <w:rPr>
          <w:rFonts w:ascii="Arial" w:hAnsi="Arial" w:eastAsia="等线" w:cs="Arial"/>
          <w:sz w:val="22"/>
        </w:rPr>
        <w:t>），下游存在付费意愿上限（生态受益</w:t>
      </w:r>
      <m:oMath>
        <m:r>
          <m:rPr/>
          <w:rPr>
            <w:rFonts w:ascii="Cambria Math" w:hAnsi="Cambria Math"/>
          </w:rPr>
          <m:t>μ</m:t>
        </m:r>
      </m:oMath>
      <w:r>
        <w:rPr>
          <w:rFonts w:ascii="Arial" w:hAnsi="Arial" w:eastAsia="等线" w:cs="Arial"/>
          <w:sz w:val="22"/>
        </w:rPr>
        <w:t>），二者差值决定损益匹配程度，双方博弈势力差异直接催生议价失衡。</w:t>
      </w:r>
    </w:p>
    <w:p w14:paraId="4BC6D26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既有文献多单独测算上游保护成本或下游生态收益，仅能单方面评估损益规模，无法同步刻画损益匹配关系与议价失衡程度。双边随机前沿模型天然适配 “上游抬价、下游压价” 的双边博弈场景，可同步分离上游成本推力、下游收益阻力，实现损益匹配、议价失衡一体化测算，结合国际流域分摊标尺完成补偿标准校准，该分析框架在国内长江流域补偿领域尚未得到充分应用。本文以府际外部性理论、跨区域讨价还价博弈为底层逻辑，搭建 “外部性理论 — 讨价还价博弈 — 双边随机前沿测算 — 国际标尺校准” 完整分析框架，弥补现有研究损益测算与议价识别割裂、缺少国际对标校准的不足，同时对接近五年国家及省级生态补偿政策提出的损益核算硬性要求。</w:t>
      </w:r>
    </w:p>
    <w:p w14:paraId="6365C86E">
      <w:pPr>
        <w:spacing w:before="300" w:after="120" w:line="288" w:lineRule="auto"/>
        <w:ind w:left="0"/>
        <w:jc w:val="left"/>
        <w:outlineLvl w:val="2"/>
      </w:pPr>
      <w:bookmarkStart w:id="7" w:name="heading_7"/>
      <w:r>
        <w:rPr>
          <w:rFonts w:ascii="Arial" w:hAnsi="Arial" w:eastAsia="等线" w:cs="Arial"/>
          <w:b/>
          <w:sz w:val="30"/>
        </w:rPr>
        <w:t>（三）研究边际贡献</w:t>
      </w:r>
      <w:bookmarkEnd w:id="7"/>
    </w:p>
    <w:p w14:paraId="37BFAE2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一，理论层面。整合府际外部性、跨区域讨价还价博弈理论，构建损益匹配、议价失衡一体化分析逻辑，依托双边随机前沿模型完成双向损益同步测算，结合国际流域标尺搭建本土化校准体系，弥补现有文献计量工具与经济理论脱节、缺少跨国治理经验对标校准的缺陷，契合《生态保护补偿条例》双向损益核算法定要求。</w:t>
      </w:r>
    </w:p>
    <w:p w14:paraId="0E2033C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第二，计量方法层面。创新构建下游出资省 — 上游受偿省配对面板结构，运用双边随机前沿同步测算长江横向生态补偿损益匹配度、议价失衡程度；依托时变无效率模型捕捉损益错配动态演化特征，为财资环〔2025〕50 号三年动态评估提供标准化计量工具；采用贝叶斯 MCMC、安慰剂检验等多重稳健策略，缓解小样本识别偏差。</w:t>
      </w:r>
    </w:p>
    <w:p w14:paraId="20506A0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三，政策应用层面。引入莱茵河、科罗拉多河两类国际流域标尺校准下游合理出资规模，结合我国央地财政统筹特征修正分摊测算逻辑，针对长江上下游损益错配、下游议价优势过强两大核心问题，形成可落地的分省补偿核算与制度优化方案，支撑 2027 年长江干流统一补偿机制建设目标落地。</w:t>
      </w:r>
    </w:p>
    <w:p w14:paraId="6799318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第四，政策对标创新。系统整合 2021—2026 年国家法律、中央部委文件、上下游省级配套政策，构建 “顶层法规 — 中央细则 — 省级实施办法” 三维政策对照框架，全部实证测算结论对接现行政策考核指标，提升研究实践落地价值。</w:t>
      </w:r>
    </w:p>
    <w:p w14:paraId="24C2B6AC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（四）研究识别策略说明</w:t>
      </w:r>
      <w:bookmarkEnd w:id="8"/>
    </w:p>
    <w:p w14:paraId="6303C33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为保障双边随机前沿模型可识别、参数估计收敛，本文实证设计做出适度简化处理：一是以省级政府作为上下游博弈代表主体，重点刻画省际横向议价关系，中央纵向转移支付、微观居民与企业损益纳入控制变量；二是优先选取工业维度机会成本与产业供水收益作为核心代理指标，兼顾数据可得性与模型识别效率，生物多样性、碳汇、居民健康等多元生态价值留待后续拓展；三是借鉴国际流域标尺的受益权重分摊技术，结合我国财政分权特征修正制度移植偏差，仅沿用量化测算逻辑，不直接照搬跨国自主治理规则。上述简化均为实证识别的合理取舍，不影响损益匹配、议价失衡两大核心结论有效性，且匹配国家政策 “分步完善生态价值核算” 改革路径。</w:t>
      </w:r>
    </w:p>
    <w:p w14:paraId="548FA05A">
      <w:pPr>
        <w:spacing w:before="320" w:after="120" w:line="288" w:lineRule="auto"/>
        <w:ind w:left="0"/>
        <w:jc w:val="left"/>
        <w:outlineLvl w:val="1"/>
      </w:pPr>
      <w:bookmarkStart w:id="9" w:name="heading_9"/>
      <w:r>
        <w:rPr>
          <w:rFonts w:ascii="Arial" w:hAnsi="Arial" w:eastAsia="等线" w:cs="Arial"/>
          <w:b/>
          <w:sz w:val="32"/>
        </w:rPr>
        <w:t>二、文献综述与理论谱系</w:t>
      </w:r>
      <w:bookmarkEnd w:id="9"/>
    </w:p>
    <w:p w14:paraId="04633B10">
      <w:pPr>
        <w:spacing w:before="300" w:after="120" w:line="288" w:lineRule="auto"/>
        <w:ind w:left="0"/>
        <w:jc w:val="left"/>
        <w:outlineLvl w:val="2"/>
      </w:pPr>
      <w:bookmarkStart w:id="10" w:name="heading_10"/>
      <w:r>
        <w:rPr>
          <w:rFonts w:ascii="Arial" w:hAnsi="Arial" w:eastAsia="等线" w:cs="Arial"/>
          <w:b/>
          <w:sz w:val="30"/>
        </w:rPr>
        <w:t>（一）流域生态补偿两大研究范式：效率评估与公平核算</w:t>
      </w:r>
      <w:bookmarkEnd w:id="10"/>
    </w:p>
    <w:p w14:paraId="22A20FC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现有流域补偿研究分化为效率评估、公平核算两大分支。效率分支依托双重差分、演化博弈等方法，以新安江、赤水河补偿试点为样本，检验补偿政策对水质、农户收入、生态绩效的因果效应</w:t>
      </w:r>
      <m:oMath>
        <m:sSup>
          <m:sSupPr/>
          <m:e/>
          <m:sup>
            <m:r>
              <m:rPr/>
              <w:rPr>
                <w:rFonts w:ascii="Cambria Math" w:hAnsi="Cambria Math"/>
              </w:rPr>
              <m:t>[5]</m:t>
            </m:r>
          </m:sup>
        </m:sSup>
      </m:oMath>
      <w:r>
        <w:rPr>
          <w:rFonts w:ascii="Arial" w:hAnsi="Arial" w:eastAsia="等线" w:cs="Arial"/>
          <w:sz w:val="22"/>
        </w:rPr>
        <w:t>；公平核算分支采用生态系统服务价值、机会成本、Shapley 值等方法单方面测算上游保护成本或下游生态收益，仅能静态判断补偿额度充足性，无法量化上下游损益匹配水平，更难以识别博弈催生的议价失衡</w:t>
      </w:r>
      <m:oMath>
        <m:sSup>
          <m:sSupPr/>
          <m:e/>
          <m:sup>
            <m:r>
              <m:rPr/>
              <w:rPr>
                <w:rFonts w:ascii="Cambria Math" w:hAnsi="Cambria Math"/>
              </w:rPr>
              <m:t>[9]</m:t>
            </m:r>
          </m:sup>
        </m:sSup>
      </m:oMath>
      <w:r>
        <w:rPr>
          <w:rFonts w:ascii="Arial" w:hAnsi="Arial" w:eastAsia="等线" w:cs="Arial"/>
          <w:sz w:val="22"/>
        </w:rPr>
        <w:t>。两类研究存在共同局限：未能搭建损益、议价一体化测算框架，缺少国际流域标尺完成补偿标准客观校准，且多数文献未对接 2021 年后《长江保护法》、财资环系列文件新增的 “三水统筹、动态调整” 政策约束。</w:t>
      </w:r>
    </w:p>
    <w:p w14:paraId="09E4BA13">
      <w:pPr>
        <w:spacing w:before="300" w:after="120" w:line="288" w:lineRule="auto"/>
        <w:ind w:left="0"/>
        <w:jc w:val="left"/>
        <w:outlineLvl w:val="2"/>
      </w:pPr>
      <w:bookmarkStart w:id="11" w:name="heading_11"/>
      <w:r>
        <w:rPr>
          <w:rFonts w:ascii="Arial" w:hAnsi="Arial" w:eastAsia="等线" w:cs="Arial"/>
          <w:b/>
          <w:sz w:val="30"/>
        </w:rPr>
        <w:t>（二）国际流域标尺：损益分摊与议价制度参照</w:t>
      </w:r>
      <w:bookmarkEnd w:id="11"/>
    </w:p>
    <w:p w14:paraId="51D79C2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本文选取莱茵河盐污染治理公约、科罗拉多河两段式分水制度两类经典国际流域标尺，提取损益核算、成本分摊核心逻辑用于长江补偿标准校准。</w:t>
      </w:r>
    </w:p>
    <w:p w14:paraId="57FFEAF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其一，莱茵河盐污染治理公约。法国阿尔萨斯矿区废水引发全流域氯离子超标，下游德国、荷兰承受水质损害，最终形成德国 30%、荷兰 34%、法国 30%、瑞士 6% 治理成本分摊机制。该模式以全流域生态损益核算为基础，按照受益规模分摊治理支出，损益匹配测算逻辑具备直接借鉴价值。财资环〔2025〕49 号文件明确提出借鉴国际流域成本分摊经验，为本研究引入国际标尺提供政策依据</w:t>
      </w:r>
      <m:oMath>
        <m:sSup>
          <m:sSupPr/>
          <m:e/>
          <m:sup>
            <m:r>
              <m:rPr/>
              <w:rPr>
                <w:rFonts w:ascii="Cambria Math" w:hAnsi="Cambria Math"/>
              </w:rPr>
              <m:t>[3]</m:t>
            </m:r>
          </m:sup>
        </m:sSup>
      </m:oMath>
      <w:r>
        <w:rPr>
          <w:rFonts w:ascii="Arial" w:hAnsi="Arial" w:eastAsia="等线" w:cs="Arial"/>
          <w:sz w:val="22"/>
        </w:rPr>
        <w:t>。制度差异层面，莱茵河治理为主权国家间自主协商，无统一上级统筹；我国长江补偿依托中央财政与顶层政策调控，本文仅借鉴量化分摊技术，不直接移植跨国自主治理制度</w:t>
      </w:r>
      <m:oMath>
        <m:sSup>
          <m:sSupPr/>
          <m:e/>
          <m:sup>
            <m:r>
              <m:rPr/>
              <w:rPr>
                <w:rFonts w:ascii="Cambria Math" w:hAnsi="Cambria Math"/>
              </w:rPr>
              <m:t>[8]</m:t>
            </m:r>
          </m:sup>
        </m:sSup>
      </m:oMath>
      <w:r>
        <w:rPr>
          <w:rFonts w:ascii="Arial" w:hAnsi="Arial" w:eastAsia="等线" w:cs="Arial"/>
          <w:sz w:val="22"/>
        </w:rPr>
        <w:t>。</w:t>
      </w:r>
    </w:p>
    <w:p w14:paraId="78428CD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其二，科罗拉多河两段式分水制度。1922 分水契约以固定水量划定上下游用水额度，锁定上游基础生态权益；1973 配套法案设定省界水质刚性阈值，依据下游生态受益规模分摊盐碱化治理成本，形成 “上游损益底线锁定、下游按受益付费” 的两段式治理标尺，为本文分层议价、动态平衡上下游损益提供思路，契合财资环〔2025〕50 号分层补偿改革导向</w:t>
      </w:r>
      <m:oMath>
        <m:sSup>
          <m:sSupPr/>
          <m:e/>
          <m:sup>
            <m:r>
              <m:rPr/>
              <w:rPr>
                <w:rFonts w:ascii="Cambria Math" w:hAnsi="Cambria Math"/>
              </w:rPr>
              <m:t>[2]</m:t>
            </m:r>
          </m:sup>
        </m:sSup>
      </m:oMath>
      <w:r>
        <w:rPr>
          <w:rFonts w:ascii="Arial" w:hAnsi="Arial" w:eastAsia="等线" w:cs="Arial"/>
          <w:sz w:val="22"/>
        </w:rPr>
        <w:t>。</w:t>
      </w:r>
    </w:p>
    <w:p w14:paraId="003AD32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其三，OECD 条件性生态付费（PES）。Wunder 提出 PES 四大核心要件：自愿交易、供需主体清晰、生态服务可界定、条件支付</w:t>
      </w:r>
      <m:oMath>
        <m:sSup>
          <m:sSupPr/>
          <m:e/>
          <m:sup>
            <m:r>
              <m:rPr/>
              <w:rPr>
                <w:rFonts w:ascii="Cambria Math" w:hAnsi="Cambria Math"/>
              </w:rPr>
              <m:t>[4]</m:t>
            </m:r>
          </m:sup>
        </m:sSup>
      </m:oMath>
      <w:r>
        <w:rPr>
          <w:rFonts w:ascii="Arial" w:hAnsi="Arial" w:eastAsia="等线" w:cs="Arial"/>
          <w:sz w:val="22"/>
        </w:rPr>
        <w:t>。对应本文损益匹配测算约束：上游完成生态管控、产生真实发展损失（</w:t>
      </w:r>
      <m:oMath>
        <m:r>
          <m:rPr/>
          <w:rPr>
            <w:rFonts w:ascii="Cambria Math" w:hAnsi="Cambria Math"/>
          </w:rPr>
          <m:t>η</m:t>
        </m:r>
      </m:oMath>
      <w:r>
        <w:rPr>
          <w:rFonts w:ascii="Arial" w:hAnsi="Arial" w:eastAsia="等线" w:cs="Arial"/>
          <w:sz w:val="22"/>
        </w:rPr>
        <w:t>），下游水质改善、形成稳定生态红利（</w:t>
      </w:r>
      <m:oMath>
        <m:r>
          <m:rPr/>
          <w:rPr>
            <w:rFonts w:ascii="Cambria Math" w:hAnsi="Cambria Math"/>
          </w:rPr>
          <m:t>μ</m:t>
        </m:r>
      </m:oMath>
      <w:r>
        <w:rPr>
          <w:rFonts w:ascii="Arial" w:hAnsi="Arial" w:eastAsia="等线" w:cs="Arial"/>
          <w:sz w:val="22"/>
        </w:rPr>
        <w:t>），双向损益同时成立方可启动补偿定价，为市场化平衡损益、缓解议价失衡改革提供理论支撑，匹配《生态保护补偿条例》市场化多元化补偿改革要求</w:t>
      </w:r>
      <m:oMath>
        <m:sSup>
          <m:sSupPr/>
          <m:e/>
          <m:sup>
            <m:r>
              <m:rPr/>
              <w:rPr>
                <w:rFonts w:ascii="Cambria Math" w:hAnsi="Cambria Math"/>
              </w:rPr>
              <m:t>[12]</m:t>
            </m:r>
          </m:sup>
        </m:sSup>
      </m:oMath>
      <w:r>
        <w:rPr>
          <w:rFonts w:ascii="Arial" w:hAnsi="Arial" w:eastAsia="等线" w:cs="Arial"/>
          <w:sz w:val="22"/>
        </w:rPr>
        <w:t>。</w:t>
      </w:r>
    </w:p>
    <w:p w14:paraId="5AD3C18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其四，澳大利亚墨累 — 达令流域治理体系。实行联邦常态化拨款、运维成本按流域损益比例分摊，是单一主权国家内部跨行政区横向补偿成熟范本，与长江 2027 年统一补偿机制、动态平衡上下游损益的建设目标高度契合。</w:t>
      </w:r>
    </w:p>
    <w:p w14:paraId="7D9905FF">
      <w:pPr>
        <w:spacing w:before="300" w:after="120" w:line="288" w:lineRule="auto"/>
        <w:ind w:left="0"/>
        <w:jc w:val="left"/>
        <w:outlineLvl w:val="2"/>
      </w:pPr>
      <w:bookmarkStart w:id="12" w:name="heading_12"/>
      <w:r>
        <w:rPr>
          <w:rFonts w:ascii="Arial" w:hAnsi="Arial" w:eastAsia="等线" w:cs="Arial"/>
          <w:b/>
          <w:sz w:val="30"/>
        </w:rPr>
        <w:t>（三）双边随机前沿理论演进与损益 — 议价测算适配性</w:t>
      </w:r>
      <w:bookmarkEnd w:id="12"/>
    </w:p>
    <w:p w14:paraId="0594D62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Aigner 等构建单边随机前沿模型测算生产无效率；Kumbhakar 拓展时变无效率模型；Kumbhakar &amp; Parmeter 提出双边随机前沿模型，可同步识别正向推力、负向阻力，天然适配 “上游成本抬升价格、下游收益压低支付” 的双向博弈场景，能够同步输出损益规模与议价势力指标，是本文测算长江横向生态补偿损益匹配、议价失衡的核心计量工具</w:t>
      </w:r>
      <m:oMath>
        <m:sSup>
          <m:sSupPr/>
          <m:e/>
          <m:sup>
            <m:r>
              <m:rPr/>
              <w:rPr>
                <w:rFonts w:ascii="Cambria Math" w:hAnsi="Cambria Math"/>
              </w:rPr>
              <m:t>[1]</m:t>
            </m:r>
          </m:sup>
        </m:sSup>
      </m:oMath>
      <w:r>
        <w:rPr>
          <w:rFonts w:ascii="Arial" w:hAnsi="Arial" w:eastAsia="等线" w:cs="Arial"/>
          <w:sz w:val="22"/>
        </w:rPr>
        <w:t>。该模型已广泛应用于劳资议价、银行存贷博弈、供应链定价领域，但在国内流域补偿领域用于损益、议价一体化测算的相关研究较少，现有文献尚未对接财资环〔2025〕49/50 号文件量化评估政策需求。</w:t>
      </w:r>
    </w:p>
    <w:p w14:paraId="498B0008">
      <w:pPr>
        <w:spacing w:before="300" w:after="120" w:line="288" w:lineRule="auto"/>
        <w:ind w:left="0"/>
        <w:jc w:val="left"/>
        <w:outlineLvl w:val="2"/>
      </w:pPr>
      <w:bookmarkStart w:id="13" w:name="heading_13"/>
      <w:r>
        <w:rPr>
          <w:rFonts w:ascii="Arial" w:hAnsi="Arial" w:eastAsia="等线" w:cs="Arial"/>
          <w:b/>
          <w:sz w:val="30"/>
        </w:rPr>
        <w:t>（四）长江流域补偿政策演进与研究缺口</w:t>
      </w:r>
      <w:bookmarkEnd w:id="13"/>
    </w:p>
    <w:p w14:paraId="173AE88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2021 年财资环〔2021〕25 号文件启动长江全流域横向补偿机制建设，确立 “下游受益付费、上游保护受偿” 基础规则</w:t>
      </w:r>
      <m:oMath>
        <m:sSup>
          <m:sSupPr/>
          <m:e/>
          <m:sup>
            <m:r>
              <m:rPr/>
              <w:rPr>
                <w:rFonts w:ascii="Cambria Math" w:hAnsi="Cambria Math"/>
              </w:rPr>
              <m:t>[10]</m:t>
            </m:r>
          </m:sup>
        </m:sSup>
      </m:oMath>
      <w:r>
        <w:rPr>
          <w:rFonts w:ascii="Arial" w:hAnsi="Arial" w:eastAsia="等线" w:cs="Arial"/>
          <w:sz w:val="22"/>
        </w:rPr>
        <w:t>；2021 年《长江保护法》、2024 年《生态保护补偿条例》搭建流域补偿法律框架</w:t>
      </w:r>
      <m:oMath>
        <m:sSup>
          <m:sSupPr/>
          <m:e/>
          <m:sup>
            <m:r>
              <m:rPr/>
              <w:rPr>
                <w:rFonts w:ascii="Cambria Math" w:hAnsi="Cambria Math"/>
              </w:rPr>
              <m:t>[11][12]</m:t>
            </m:r>
          </m:sup>
        </m:sSup>
      </m:oMath>
      <w:r>
        <w:rPr>
          <w:rFonts w:ascii="Arial" w:hAnsi="Arial" w:eastAsia="等线" w:cs="Arial"/>
          <w:sz w:val="22"/>
        </w:rPr>
        <w:t>；2025 年财资环〔2025〕49、50 号文件要求补偿标准综合保护成本、水质收益、支付能力三大要素，本质要求同步核算上下游双向损益，与本文双边随机前沿测算框架高度匹配；50 号文件设定三年评估周期，对应损益匹配、议价失衡动态测算需求；十五五规划市场化补偿导向契合依托 PES 机制修复损益错配、缓和议价失衡的改革方向</w:t>
      </w:r>
      <m:oMath>
        <m:sSup>
          <m:sSupPr/>
          <m:e/>
          <m:sup>
            <m:r>
              <m:rPr/>
              <w:rPr>
                <w:rFonts w:ascii="Cambria Math" w:hAnsi="Cambria Math"/>
              </w:rPr>
              <m:t>[19]</m:t>
            </m:r>
          </m:sup>
        </m:sSup>
      </m:oMath>
      <w:r>
        <w:rPr>
          <w:rFonts w:ascii="Arial" w:hAnsi="Arial" w:eastAsia="等线" w:cs="Arial"/>
          <w:sz w:val="22"/>
        </w:rPr>
        <w:t>。综合梳理现有文献，核心研究缺口包含三点：一是缺少可同步测算流域上下游损益匹配程度、双边议价失衡水平的一体化计量框架；二是未引入成熟国际流域标尺校准长江补偿分摊标准，缺乏政策落地导向的量化测算；三是未结合动态损益演化特征设计适配三年周期的标准化评估工具，无法直接服务财资环系列文件政策跟踪评估工作。</w:t>
      </w:r>
    </w:p>
    <w:p w14:paraId="1B9C6F6F">
      <w:pPr>
        <w:spacing w:before="320" w:after="120" w:line="288" w:lineRule="auto"/>
        <w:ind w:left="0"/>
        <w:jc w:val="left"/>
        <w:outlineLvl w:val="1"/>
      </w:pPr>
      <w:bookmarkStart w:id="14" w:name="heading_14"/>
      <w:r>
        <w:rPr>
          <w:rFonts w:ascii="Arial" w:hAnsi="Arial" w:eastAsia="等线" w:cs="Arial"/>
          <w:b/>
          <w:sz w:val="32"/>
        </w:rPr>
        <w:t>三、理论框架与计量模型设定</w:t>
      </w:r>
      <w:bookmarkEnd w:id="14"/>
    </w:p>
    <w:p w14:paraId="7C394091">
      <w:pPr>
        <w:spacing w:before="300" w:after="120" w:line="288" w:lineRule="auto"/>
        <w:ind w:left="0"/>
        <w:jc w:val="left"/>
        <w:outlineLvl w:val="2"/>
      </w:pPr>
      <w:bookmarkStart w:id="15" w:name="heading_15"/>
      <w:r>
        <w:rPr>
          <w:rFonts w:ascii="Arial" w:hAnsi="Arial" w:eastAsia="等线" w:cs="Arial"/>
          <w:b/>
          <w:sz w:val="30"/>
        </w:rPr>
        <w:t>（一）府际生态补偿损益匹配与议价均衡逻辑</w:t>
      </w:r>
      <w:bookmarkEnd w:id="15"/>
    </w:p>
    <w:p w14:paraId="3F53F81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上游省级政府实施生态管控产生发展机会成本，形成生态供给端损益基准</w:t>
      </w:r>
      <m:oMath>
        <m:r>
          <m:rPr/>
          <w:rPr>
            <w:rFonts w:ascii="Cambria Math" w:hAnsi="Cambria Math"/>
          </w:rPr>
          <m:t>η</m:t>
        </m:r>
      </m:oMath>
      <w:r>
        <w:rPr>
          <w:rFonts w:ascii="Arial" w:hAnsi="Arial" w:eastAsia="等线" w:cs="Arial"/>
          <w:sz w:val="22"/>
        </w:rPr>
        <w:t>；下游依托上游水质改善获得产业收益，形成生态受益端损益基准</w:t>
      </w:r>
      <m:oMath>
        <m:r>
          <m:rPr/>
          <w:rPr>
            <w:rFonts w:ascii="Cambria Math" w:hAnsi="Cambria Math"/>
          </w:rPr>
          <m:t>μ</m:t>
        </m:r>
      </m:oMath>
      <w:r>
        <w:rPr>
          <w:rFonts w:ascii="Arial" w:hAnsi="Arial" w:eastAsia="等线" w:cs="Arial"/>
          <w:sz w:val="22"/>
        </w:rPr>
        <w:t>。二者数值差距决定流域上下游损益匹配水平，省级政府围绕双向损益开展博弈，双方势力差异形成议价失衡，最终成交补偿金额是博弈均衡结果。本文采用双边随机前沿模型同步捕捉双向损益规模与议价势力差距，基准分解式：</w:t>
      </w:r>
      <w:r>
        <w:rPr>
          <w:rFonts w:ascii="Arial" w:hAnsi="Arial" w:eastAsia="等线" w:cs="Arial"/>
          <w:sz w:val="22"/>
        </w:rPr>
        <w:br w:type="textWrapping"/>
      </w:r>
      <m:oMathPara>
        <m:oMathParaPr>
          <m:jc m:val="left"/>
        </m:oMathParaPr>
        <m:oMath>
          <m:sSub>
            <m:sSubPr/>
            <m:e>
              <m:r>
                <m:rPr/>
                <w:rPr>
                  <w:rFonts w:ascii="Cambria Math" w:hAnsi="Cambria Math"/>
                </w:rPr>
                <m:t>T</m:t>
              </m:r>
            </m:e>
            <m:sub>
              <m:r>
                <m:rPr/>
                <w:rPr>
                  <w:rFonts w:ascii="Cambria Math" w:hAnsi="Cambria Math"/>
                </w:rPr>
                <m:t>it</m:t>
              </m:r>
            </m:sub>
          </m:sSub>
          <m:r>
            <m:rPr/>
            <w:rPr>
              <w:rFonts w:ascii="Cambria Math" w:hAnsi="Cambria Math"/>
            </w:rPr>
            <m:t>=α+</m:t>
          </m:r>
          <m:sSub>
            <m:sSubPr/>
            <m:e>
              <m:r>
                <m:rPr/>
                <w:rPr>
                  <w:rFonts w:ascii="Cambria Math" w:hAnsi="Cambria Math"/>
                </w:rPr>
                <m:t>X</m:t>
              </m:r>
            </m:e>
            <m:sub>
              <m:r>
                <m:rPr/>
                <w:rPr>
                  <w:rFonts w:ascii="Cambria Math" w:hAnsi="Cambria Math"/>
                </w:rPr>
                <m:t>it</m:t>
              </m:r>
            </m:sub>
          </m:sSub>
          <m:r>
            <m:rPr/>
            <w:rPr>
              <w:rFonts w:ascii="Cambria Math" w:hAnsi="Cambria Math"/>
            </w:rPr>
            <m:t>β+</m:t>
          </m:r>
          <m:sSub>
            <m:sSubPr/>
            <m:e>
              <m:r>
                <m:rPr/>
                <w:rPr>
                  <w:rFonts w:ascii="Cambria Math" w:hAnsi="Cambria Math"/>
                </w:rPr>
                <m:t>v</m:t>
              </m:r>
            </m:e>
            <m:sub>
              <m:r>
                <m:rPr/>
                <w:rPr>
                  <w:rFonts w:ascii="Cambria Math" w:hAnsi="Cambria Math"/>
                </w:rPr>
                <m:t>it</m:t>
              </m:r>
            </m:sub>
          </m:sSub>
          <m:r>
            <m:rPr/>
            <w:rPr>
              <w:rFonts w:ascii="Cambria Math" w:hAnsi="Cambria Math"/>
            </w:rPr>
            <m:t>+</m:t>
          </m:r>
          <m:sSub>
            <m:sSubPr/>
            <m:e>
              <m:r>
                <m:rPr/>
                <w:rPr>
                  <w:rFonts w:ascii="Cambria Math" w:hAnsi="Cambria Math"/>
                </w:rPr>
                <m:t>η</m:t>
              </m:r>
            </m:e>
            <m:sub>
              <m:r>
                <m:rPr/>
                <w:rPr>
                  <w:rFonts w:ascii="Cambria Math" w:hAnsi="Cambria Math"/>
                </w:rPr>
                <m:t>it</m:t>
              </m:r>
            </m:sub>
          </m:sSub>
          <m:r>
            <m:rPr/>
            <w:rPr>
              <w:rFonts w:ascii="Cambria Math" w:hAnsi="Cambria Math"/>
            </w:rPr>
            <m:t>−</m:t>
          </m:r>
          <m:sSub>
            <m:sSubPr/>
            <m:e>
              <m:r>
                <m:rPr/>
                <w:rPr>
                  <w:rFonts w:ascii="Cambria Math" w:hAnsi="Cambria Math"/>
                </w:rPr>
                <m:t>μ</m:t>
              </m:r>
            </m:e>
            <m:sub>
              <m:r>
                <m:rPr/>
                <w:rPr>
                  <w:rFonts w:ascii="Cambria Math" w:hAnsi="Cambria Math"/>
                </w:rPr>
                <m:t>it</m:t>
              </m:r>
            </m:sub>
          </m:sSub>
        </m:oMath>
      </m:oMathPara>
    </w:p>
    <w:p w14:paraId="113041EF">
      <w:pPr>
        <w:spacing w:before="300" w:after="120" w:line="288" w:lineRule="auto"/>
        <w:ind w:left="0"/>
        <w:jc w:val="left"/>
        <w:outlineLvl w:val="2"/>
      </w:pPr>
      <w:bookmarkStart w:id="16" w:name="heading_16"/>
      <w:r>
        <w:rPr>
          <w:rFonts w:ascii="Arial" w:hAnsi="Arial" w:eastAsia="等线" w:cs="Arial"/>
          <w:b/>
          <w:sz w:val="30"/>
        </w:rPr>
        <w:t>（二）基准双边随机前沿模型与损益、议价指标构建</w:t>
      </w:r>
      <w:bookmarkEnd w:id="16"/>
    </w:p>
    <w:p w14:paraId="6EE10C5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独立分布设定：</w:t>
      </w:r>
    </w:p>
    <w:p w14:paraId="38A0BA39">
      <w:pPr>
        <w:numPr>
          <w:ilvl w:val="0"/>
          <w:numId w:val="1"/>
        </w:numPr>
        <w:spacing w:before="120" w:after="120" w:line="288" w:lineRule="auto"/>
        <w:ind w:left="0"/>
        <w:jc w:val="left"/>
      </w:pPr>
      <m:oMath>
        <m:sSub>
          <m:sSubPr/>
          <m:e>
            <m:r>
              <m:rPr/>
              <w:rPr>
                <w:rFonts w:ascii="Cambria Math" w:hAnsi="Cambria Math"/>
              </w:rPr>
              <m:t>v</m:t>
            </m:r>
          </m:e>
          <m:sub>
            <m:r>
              <m:rPr/>
              <w:rPr>
                <w:rFonts w:ascii="Cambria Math" w:hAnsi="Cambria Math"/>
              </w:rPr>
              <m:t>it</m:t>
            </m:r>
          </m:sub>
        </m:sSub>
        <m:r>
          <m:rPr/>
          <w:rPr>
            <w:rFonts w:ascii="Cambria Math" w:hAnsi="Cambria Math"/>
          </w:rPr>
          <m:t>∼N(0,</m:t>
        </m:r>
        <m:sSubSup>
          <m:sSubSupPr/>
          <m:e>
            <m:r>
              <m:rPr/>
              <w:rPr>
                <w:rFonts w:ascii="Cambria Math" w:hAnsi="Cambria Math"/>
              </w:rPr>
              <m:t>σ</m:t>
            </m:r>
          </m:e>
          <m:sub>
            <m:r>
              <m:rPr/>
              <w:rPr>
                <w:rFonts w:ascii="Cambria Math" w:hAnsi="Cambria Math"/>
              </w:rPr>
              <m:t>v</m:t>
            </m:r>
          </m:sub>
          <m:sup>
            <m:r>
              <m:rPr/>
              <w:rPr>
                <w:rFonts w:ascii="Cambria Math" w:hAnsi="Cambria Math"/>
              </w:rPr>
              <m:t>2</m:t>
            </m:r>
          </m:sup>
        </m:sSubSup>
        <m:r>
          <m:rPr/>
          <w:rPr>
            <w:rFonts w:ascii="Cambria Math" w:hAnsi="Cambria Math"/>
          </w:rPr>
          <m:t>)</m:t>
        </m:r>
      </m:oMath>
      <w:r>
        <w:rPr>
          <w:rFonts w:ascii="Arial" w:hAnsi="Arial" w:eastAsia="等线" w:cs="Arial"/>
          <w:sz w:val="22"/>
        </w:rPr>
        <w:t>：随机噪声，包含中央财政临时调剂、极端水文灾害等外生冲击；</w:t>
      </w:r>
    </w:p>
    <w:p w14:paraId="3E81128A">
      <w:pPr>
        <w:numPr>
          <w:ilvl w:val="0"/>
          <w:numId w:val="2"/>
        </w:numPr>
        <w:spacing w:before="120" w:after="120" w:line="288" w:lineRule="auto"/>
        <w:ind w:left="0"/>
        <w:jc w:val="left"/>
      </w:pPr>
      <m:oMath>
        <m:sSub>
          <m:sSubPr/>
          <m:e>
            <m:r>
              <m:rPr/>
              <w:rPr>
                <w:rFonts w:ascii="Cambria Math" w:hAnsi="Cambria Math"/>
              </w:rPr>
              <m:t>η</m:t>
            </m:r>
          </m:e>
          <m:sub>
            <m:r>
              <m:rPr/>
              <w:rPr>
                <w:rFonts w:ascii="Cambria Math" w:hAnsi="Cambria Math"/>
              </w:rPr>
              <m:t>it</m:t>
            </m:r>
          </m:sub>
        </m:sSub>
        <m:r>
          <m:rPr/>
          <w:rPr>
            <w:rFonts w:ascii="Cambria Math" w:hAnsi="Cambria Math"/>
          </w:rPr>
          <m:t>∼</m:t>
        </m:r>
        <m:sSub>
          <m:sSubPr/>
          <m:e>
            <m:r>
              <m:rPr/>
              <w:rPr>
                <w:rFonts w:ascii="Cambria Math" w:hAnsi="Cambria Math"/>
              </w:rPr>
              <m:t>N</m:t>
            </m:r>
          </m:e>
          <m:sub>
            <m:r>
              <m:rPr/>
              <w:rPr>
                <w:rFonts w:ascii="Cambria Math" w:hAnsi="Cambria Math"/>
              </w:rPr>
              <m:t>+</m:t>
            </m:r>
          </m:sub>
        </m:sSub>
        <m:r>
          <m:rPr/>
          <w:rPr>
            <w:rFonts w:ascii="Cambria Math" w:hAnsi="Cambria Math"/>
          </w:rPr>
          <m:t>(0,</m:t>
        </m:r>
        <m:sSubSup>
          <m:sSubSupPr/>
          <m:e>
            <m:r>
              <m:rPr/>
              <w:rPr>
                <w:rFonts w:ascii="Cambria Math" w:hAnsi="Cambria Math"/>
              </w:rPr>
              <m:t>σ</m:t>
            </m:r>
          </m:e>
          <m:sub>
            <m:r>
              <m:rPr/>
              <w:rPr>
                <w:rFonts w:ascii="Cambria Math" w:hAnsi="Cambria Math"/>
              </w:rPr>
              <m:t>η</m:t>
            </m:r>
          </m:sub>
          <m:sup>
            <m:r>
              <m:rPr/>
              <w:rPr>
                <w:rFonts w:ascii="Cambria Math" w:hAnsi="Cambria Math"/>
              </w:rPr>
              <m:t>2</m:t>
            </m:r>
          </m:sup>
        </m:sSubSup>
        <m:r>
          <m:rPr/>
          <w:rPr>
            <w:rFonts w:ascii="Cambria Math" w:hAnsi="Cambria Math"/>
          </w:rPr>
          <m:t>)</m:t>
        </m:r>
      </m:oMath>
      <w:r>
        <w:rPr>
          <w:rFonts w:ascii="Arial" w:hAnsi="Arial" w:eastAsia="等线" w:cs="Arial"/>
          <w:sz w:val="22"/>
        </w:rPr>
        <w:t>：半正态分布，上游机会成本，表征上游生态损益，单向抬高补偿定价；</w:t>
      </w:r>
    </w:p>
    <w:p w14:paraId="3D0B619A">
      <w:pPr>
        <w:numPr>
          <w:ilvl w:val="0"/>
          <w:numId w:val="3"/>
        </w:numPr>
        <w:spacing w:before="120" w:after="120" w:line="288" w:lineRule="auto"/>
        <w:ind w:left="0"/>
        <w:jc w:val="left"/>
      </w:pPr>
      <m:oMath>
        <m:sSub>
          <m:sSubPr/>
          <m:e>
            <m:r>
              <m:rPr/>
              <w:rPr>
                <w:rFonts w:ascii="Cambria Math" w:hAnsi="Cambria Math"/>
              </w:rPr>
              <m:t>μ</m:t>
            </m:r>
          </m:e>
          <m:sub>
            <m:r>
              <m:rPr/>
              <w:rPr>
                <w:rFonts w:ascii="Cambria Math" w:hAnsi="Cambria Math"/>
              </w:rPr>
              <m:t>it</m:t>
            </m:r>
          </m:sub>
        </m:sSub>
        <m:r>
          <m:rPr/>
          <w:rPr>
            <w:rFonts w:ascii="Cambria Math" w:hAnsi="Cambria Math"/>
          </w:rPr>
          <m:t>∼</m:t>
        </m:r>
        <m:sSub>
          <m:sSubPr/>
          <m:e>
            <m:r>
              <m:rPr/>
              <w:rPr>
                <w:rFonts w:ascii="Cambria Math" w:hAnsi="Cambria Math"/>
              </w:rPr>
              <m:t>N</m:t>
            </m:r>
          </m:e>
          <m:sub>
            <m:r>
              <m:rPr/>
              <w:rPr>
                <w:rFonts w:ascii="Cambria Math" w:hAnsi="Cambria Math"/>
              </w:rPr>
              <m:t>+</m:t>
            </m:r>
          </m:sub>
        </m:sSub>
        <m:r>
          <m:rPr/>
          <w:rPr>
            <w:rFonts w:ascii="Cambria Math" w:hAnsi="Cambria Math"/>
          </w:rPr>
          <m:t>(0,</m:t>
        </m:r>
        <m:sSubSup>
          <m:sSubSupPr/>
          <m:e>
            <m:r>
              <m:rPr/>
              <w:rPr>
                <w:rFonts w:ascii="Cambria Math" w:hAnsi="Cambria Math"/>
              </w:rPr>
              <m:t>σ</m:t>
            </m:r>
          </m:e>
          <m:sub>
            <m:r>
              <m:rPr/>
              <w:rPr>
                <w:rFonts w:ascii="Cambria Math" w:hAnsi="Cambria Math"/>
              </w:rPr>
              <m:t>μ</m:t>
            </m:r>
          </m:sub>
          <m:sup>
            <m:r>
              <m:rPr/>
              <w:rPr>
                <w:rFonts w:ascii="Cambria Math" w:hAnsi="Cambria Math"/>
              </w:rPr>
              <m:t>2</m:t>
            </m:r>
          </m:sup>
        </m:sSubSup>
        <m:r>
          <m:rPr/>
          <w:rPr>
            <w:rFonts w:ascii="Cambria Math" w:hAnsi="Cambria Math"/>
          </w:rPr>
          <m:t>)</m:t>
        </m:r>
      </m:oMath>
      <w:r>
        <w:rPr>
          <w:rFonts w:ascii="Arial" w:hAnsi="Arial" w:eastAsia="等线" w:cs="Arial"/>
          <w:sz w:val="22"/>
        </w:rPr>
        <w:t>：半正态分布，下游生态受益，表征下游生态损益，单向压低实际出资。</w:t>
      </w:r>
    </w:p>
    <w:p w14:paraId="7750567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基于两组方差构建议价失衡衡量指标：</w:t>
      </w:r>
      <w:r>
        <w:rPr>
          <w:rFonts w:ascii="Arial" w:hAnsi="Arial" w:eastAsia="等线" w:cs="Arial"/>
          <w:sz w:val="22"/>
        </w:rPr>
        <w:br w:type="textWrapping"/>
      </w:r>
      <m:oMathPara>
        <m:oMathParaPr>
          <m:jc m:val="left"/>
        </m:oMathParaPr>
        <m:oMath>
          <m:sSub>
            <m:sSubPr/>
            <m:e>
              <m:r>
                <m:rPr/>
                <w:rPr>
                  <w:rFonts w:ascii="Cambria Math" w:hAnsi="Cambria Math"/>
                </w:rPr>
                <m:t>λ</m:t>
              </m:r>
            </m:e>
            <m:sub>
              <m:r>
                <m:rPr/>
                <w:rPr>
                  <w:rFonts w:ascii="Cambria Math" w:hAnsi="Cambria Math"/>
                </w:rPr>
                <m:t>η</m:t>
              </m:r>
            </m:sub>
          </m:sSub>
          <m:r>
            <m:rPr/>
            <w:rPr>
              <w:rFonts w:ascii="Cambria Math" w:hAnsi="Cambria Math"/>
            </w:rPr>
            <m:t>=</m:t>
          </m:r>
          <m:f>
            <m:fPr/>
            <m:num>
              <m:sSub>
                <m:sSubPr/>
                <m:e>
                  <m:r>
                    <m:rPr/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m:rPr/>
                    <w:rPr>
                      <w:rFonts w:ascii="Cambria Math" w:hAnsi="Cambria Math"/>
                    </w:rPr>
                    <m:t>η</m:t>
                  </m:r>
                </m:sub>
              </m:sSub>
            </m:num>
            <m:den>
              <m:sSub>
                <m:sSubPr/>
                <m:e>
                  <m:r>
                    <m:rPr/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m:rPr/>
                    <w:rPr>
                      <w:rFonts w:ascii="Cambria Math" w:hAnsi="Cambria Math"/>
                    </w:rPr>
                    <m:t>η</m:t>
                  </m:r>
                </m:sub>
              </m:sSub>
              <m:r>
                <m:rPr/>
                <w:rPr>
                  <w:rFonts w:ascii="Cambria Math" w:hAnsi="Cambria Math"/>
                </w:rPr>
                <m:t>+</m:t>
              </m:r>
              <m:sSub>
                <m:sSubPr/>
                <m:e>
                  <m:r>
                    <m:rPr/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m:rPr/>
                    <w:rPr>
                      <w:rFonts w:ascii="Cambria Math" w:hAnsi="Cambria Math"/>
                    </w:rPr>
                    <m:t>μ</m:t>
                  </m:r>
                </m:sub>
              </m:sSub>
            </m:den>
          </m:f>
          <m:r>
            <m:rPr/>
            <w:rPr>
              <w:rFonts w:ascii="Cambria Math" w:hAnsi="Cambria Math"/>
            </w:rPr>
            <m:t>,</m:t>
          </m:r>
          <m:sSub>
            <m:sSubPr/>
            <m:e>
              <m:r>
                <m:rPr/>
                <w:rPr>
                  <w:rFonts w:ascii="Cambria Math" w:hAnsi="Cambria Math"/>
                </w:rPr>
                <m:t>λ</m:t>
              </m:r>
            </m:e>
            <m:sub>
              <m:r>
                <m:rPr/>
                <w:rPr>
                  <w:rFonts w:ascii="Cambria Math" w:hAnsi="Cambria Math"/>
                </w:rPr>
                <m:t>μ</m:t>
              </m:r>
            </m:sub>
          </m:sSub>
          <m:r>
            <m:rPr/>
            <w:rPr>
              <w:rFonts w:ascii="Cambria Math" w:hAnsi="Cambria Math"/>
            </w:rPr>
            <m:t>=</m:t>
          </m:r>
          <m:f>
            <m:fPr/>
            <m:num>
              <m:sSub>
                <m:sSubPr/>
                <m:e>
                  <m:r>
                    <m:rPr/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m:rPr/>
                    <w:rPr>
                      <w:rFonts w:ascii="Cambria Math" w:hAnsi="Cambria Math"/>
                    </w:rPr>
                    <m:t>μ</m:t>
                  </m:r>
                </m:sub>
              </m:sSub>
            </m:num>
            <m:den>
              <m:sSub>
                <m:sSubPr/>
                <m:e>
                  <m:r>
                    <m:rPr/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m:rPr/>
                    <w:rPr>
                      <w:rFonts w:ascii="Cambria Math" w:hAnsi="Cambria Math"/>
                    </w:rPr>
                    <m:t>η</m:t>
                  </m:r>
                </m:sub>
              </m:sSub>
              <m:r>
                <m:rPr/>
                <w:rPr>
                  <w:rFonts w:ascii="Cambria Math" w:hAnsi="Cambria Math"/>
                </w:rPr>
                <m:t>+</m:t>
              </m:r>
              <m:sSub>
                <m:sSubPr/>
                <m:e>
                  <m:r>
                    <m:rPr/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m:rPr/>
                    <w:rPr>
                      <w:rFonts w:ascii="Cambria Math" w:hAnsi="Cambria Math"/>
                    </w:rPr>
                    <m:t>μ</m:t>
                  </m:r>
                </m:sub>
              </m:sSub>
            </m:den>
          </m:f>
          <m:r>
            <m:rPr/>
            <w:rPr>
              <w:rFonts w:ascii="Cambria Math" w:hAnsi="Cambria Math"/>
            </w:rPr>
            <m:t>,</m:t>
          </m:r>
          <m:sSub>
            <m:sSubPr/>
            <m:e>
              <m:r>
                <m:rPr/>
                <w:rPr>
                  <w:rFonts w:ascii="Cambria Math" w:hAnsi="Cambria Math"/>
                </w:rPr>
                <m:t>λ</m:t>
              </m:r>
            </m:e>
            <m:sub>
              <m:r>
                <m:rPr/>
                <w:rPr>
                  <w:rFonts w:ascii="Cambria Math" w:hAnsi="Cambria Math"/>
                </w:rPr>
                <m:t>η</m:t>
              </m:r>
            </m:sub>
          </m:sSub>
          <m:r>
            <m:rPr/>
            <w:rPr>
              <w:rFonts w:ascii="Cambria Math" w:hAnsi="Cambria Math"/>
            </w:rPr>
            <m:t>+</m:t>
          </m:r>
          <m:sSub>
            <m:sSubPr/>
            <m:e>
              <m:r>
                <m:rPr/>
                <w:rPr>
                  <w:rFonts w:ascii="Cambria Math" w:hAnsi="Cambria Math"/>
                </w:rPr>
                <m:t>λ</m:t>
              </m:r>
            </m:e>
            <m:sub>
              <m:r>
                <m:rPr/>
                <w:rPr>
                  <w:rFonts w:ascii="Cambria Math" w:hAnsi="Cambria Math"/>
                </w:rPr>
                <m:t>μ</m:t>
              </m:r>
            </m:sub>
          </m:sSub>
          <m:r>
            <m:rPr/>
            <w:rPr>
              <w:rFonts w:ascii="Cambria Math" w:hAnsi="Cambria Math"/>
            </w:rPr>
            <m:t>=1</m:t>
          </m:r>
        </m:oMath>
      </m:oMathPara>
      <w:r>
        <w:rPr>
          <w:rFonts w:ascii="Arial" w:hAnsi="Arial" w:eastAsia="等线" w:cs="Arial"/>
          <w:sz w:val="22"/>
        </w:rPr>
        <w:br w:type="textWrapping"/>
      </w:r>
      <m:oMath>
        <m:sSub>
          <m:sSubPr/>
          <m:e>
            <m:r>
              <m:rPr/>
              <w:rPr>
                <w:rFonts w:ascii="Cambria Math" w:hAnsi="Cambria Math"/>
              </w:rPr>
              <m:t>λ</m:t>
            </m:r>
          </m:e>
          <m:sub>
            <m:r>
              <m:rPr/>
              <w:rPr>
                <w:rFonts w:ascii="Cambria Math" w:hAnsi="Cambria Math"/>
              </w:rPr>
              <m:t>μ</m:t>
            </m:r>
          </m:sub>
        </m:sSub>
        <m:r>
          <m:rPr/>
          <w:rPr>
            <w:rFonts w:ascii="Cambria Math" w:hAnsi="Cambria Math"/>
          </w:rPr>
          <m:t>&gt;</m:t>
        </m:r>
        <m:sSub>
          <m:sSubPr/>
          <m:e>
            <m:r>
              <m:rPr/>
              <w:rPr>
                <w:rFonts w:ascii="Cambria Math" w:hAnsi="Cambria Math"/>
              </w:rPr>
              <m:t>λ</m:t>
            </m:r>
          </m:e>
          <m:sub>
            <m:r>
              <m:rPr/>
              <w:rPr>
                <w:rFonts w:ascii="Cambria Math" w:hAnsi="Cambria Math"/>
              </w:rPr>
              <m:t>η</m:t>
            </m:r>
          </m:sub>
        </m:sSub>
      </m:oMath>
      <w:r>
        <w:rPr>
          <w:rFonts w:ascii="Arial" w:hAnsi="Arial" w:eastAsia="等线" w:cs="Arial"/>
          <w:sz w:val="22"/>
        </w:rPr>
        <w:t>代表下游议价势力更强，议价失衡程度加剧，上下游生态损益无法对等匹配，上游形成持续性补偿亏空；反之则上游占据博弈优势，损益匹配度更高。</w:t>
      </w:r>
    </w:p>
    <w:p w14:paraId="73D523A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成交价条件期望直观反映整体损益差额：</w:t>
      </w:r>
      <w:r>
        <w:rPr>
          <w:rFonts w:ascii="Arial" w:hAnsi="Arial" w:eastAsia="等线" w:cs="Arial"/>
          <w:sz w:val="22"/>
        </w:rPr>
        <w:br w:type="textWrapping"/>
      </w:r>
      <m:oMathPara>
        <m:oMathParaPr>
          <m:jc m:val="left"/>
        </m:oMathParaPr>
        <m:oMath>
          <m:r>
            <m:rPr/>
            <w:rPr>
              <w:rFonts w:ascii="Cambria Math" w:hAnsi="Cambria Math"/>
            </w:rPr>
            <m:t>E[</m:t>
          </m:r>
          <m:sSub>
            <m:sSubPr/>
            <m:e>
              <m:r>
                <m:rPr/>
                <w:rPr>
                  <w:rFonts w:ascii="Cambria Math" w:hAnsi="Cambria Math"/>
                </w:rPr>
                <m:t>T</m:t>
              </m:r>
            </m:e>
            <m:sub>
              <m:r>
                <m:rPr/>
                <w:rPr>
                  <w:rFonts w:ascii="Cambria Math" w:hAnsi="Cambria Math"/>
                </w:rPr>
                <m:t>it</m:t>
              </m:r>
            </m:sub>
          </m:sSub>
          <m:r>
            <m:rPr/>
            <w:rPr>
              <w:rFonts w:ascii="Cambria Math" w:hAnsi="Cambria Math"/>
            </w:rPr>
            <m:t>∣</m:t>
          </m:r>
          <m:sSub>
            <m:sSubPr/>
            <m:e>
              <m:r>
                <m:rPr/>
                <w:rPr>
                  <w:rFonts w:ascii="Cambria Math" w:hAnsi="Cambria Math"/>
                </w:rPr>
                <m:t>X</m:t>
              </m:r>
            </m:e>
            <m:sub>
              <m:r>
                <m:rPr/>
                <w:rPr>
                  <w:rFonts w:ascii="Cambria Math" w:hAnsi="Cambria Math"/>
                </w:rPr>
                <m:t>it</m:t>
              </m:r>
            </m:sub>
          </m:sSub>
          <m:r>
            <m:rPr/>
            <w:rPr>
              <w:rFonts w:ascii="Cambria Math" w:hAnsi="Cambria Math"/>
            </w:rPr>
            <m:t>]=α+</m:t>
          </m:r>
          <m:sSub>
            <m:sSubPr/>
            <m:e>
              <m:r>
                <m:rPr/>
                <w:rPr>
                  <w:rFonts w:ascii="Cambria Math" w:hAnsi="Cambria Math"/>
                </w:rPr>
                <m:t>X</m:t>
              </m:r>
            </m:e>
            <m:sub>
              <m:r>
                <m:rPr/>
                <w:rPr>
                  <w:rFonts w:ascii="Cambria Math" w:hAnsi="Cambria Math"/>
                </w:rPr>
                <m:t>it</m:t>
              </m:r>
            </m:sub>
          </m:sSub>
          <m:r>
            <m:rPr/>
            <w:rPr>
              <w:rFonts w:ascii="Cambria Math" w:hAnsi="Cambria Math"/>
            </w:rPr>
            <m:t>β+</m:t>
          </m:r>
          <m:rad>
            <m:radPr>
              <m:degHide m:val="1"/>
            </m:radPr>
            <m:deg/>
            <m:e>
              <m:f>
                <m:fPr/>
                <m:num>
                  <m:r>
                    <m:rPr/>
                    <w:rPr>
                      <w:rFonts w:ascii="Cambria Math" w:hAnsi="Cambria Math"/>
                    </w:rPr>
                    <m:t>2</m:t>
                  </m:r>
                </m:num>
                <m:den>
                  <m:r>
                    <m:rPr/>
                    <w:rPr>
                      <w:rFonts w:ascii="Cambria Math" w:hAnsi="Cambria Math"/>
                    </w:rPr>
                    <m:t>π</m:t>
                  </m:r>
                </m:den>
              </m:f>
            </m:e>
          </m:rad>
          <m:sSub>
            <m:sSubPr/>
            <m:e>
              <m:r>
                <m:rPr/>
                <w:rPr>
                  <w:rFonts w:ascii="Cambria Math" w:hAnsi="Cambria Math"/>
                </w:rPr>
                <m:t>σ</m:t>
              </m:r>
            </m:e>
            <m:sub>
              <m:r>
                <m:rPr/>
                <w:rPr>
                  <w:rFonts w:ascii="Cambria Math" w:hAnsi="Cambria Math"/>
                </w:rPr>
                <m:t>η</m:t>
              </m:r>
            </m:sub>
          </m:sSub>
          <m:r>
            <m:rPr/>
            <w:rPr>
              <w:rFonts w:ascii="Cambria Math" w:hAnsi="Cambria Math"/>
            </w:rPr>
            <m:t>−</m:t>
          </m:r>
          <m:rad>
            <m:radPr>
              <m:degHide m:val="1"/>
            </m:radPr>
            <m:deg/>
            <m:e>
              <m:f>
                <m:fPr/>
                <m:num>
                  <m:r>
                    <m:rPr/>
                    <w:rPr>
                      <w:rFonts w:ascii="Cambria Math" w:hAnsi="Cambria Math"/>
                    </w:rPr>
                    <m:t>2</m:t>
                  </m:r>
                </m:num>
                <m:den>
                  <m:r>
                    <m:rPr/>
                    <w:rPr>
                      <w:rFonts w:ascii="Cambria Math" w:hAnsi="Cambria Math"/>
                    </w:rPr>
                    <m:t>π</m:t>
                  </m:r>
                </m:den>
              </m:f>
            </m:e>
          </m:rad>
          <m:sSub>
            <m:sSubPr/>
            <m:e>
              <m:r>
                <m:rPr/>
                <w:rPr>
                  <w:rFonts w:ascii="Cambria Math" w:hAnsi="Cambria Math"/>
                </w:rPr>
                <m:t>σ</m:t>
              </m:r>
            </m:e>
            <m:sub>
              <m:r>
                <m:rPr/>
                <w:rPr>
                  <w:rFonts w:ascii="Cambria Math" w:hAnsi="Cambria Math"/>
                </w:rPr>
                <m:t>μ</m:t>
              </m:r>
            </m:sub>
          </m:sSub>
        </m:oMath>
      </m:oMathPara>
    </w:p>
    <w:p w14:paraId="7C49D080">
      <w:pPr>
        <w:spacing w:before="300" w:after="120" w:line="288" w:lineRule="auto"/>
        <w:ind w:left="0"/>
        <w:jc w:val="left"/>
        <w:outlineLvl w:val="2"/>
      </w:pPr>
      <w:bookmarkStart w:id="17" w:name="heading_17"/>
      <w:r>
        <w:rPr>
          <w:rFonts w:ascii="Arial" w:hAnsi="Arial" w:eastAsia="等线" w:cs="Arial"/>
          <w:b/>
          <w:sz w:val="30"/>
        </w:rPr>
        <w:t>核心假设内生性缓释设计</w:t>
      </w:r>
      <w:bookmarkEnd w:id="17"/>
    </w:p>
    <w:p w14:paraId="1407769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模型设定</w:t>
      </w:r>
      <m:oMath>
        <m:sSub>
          <m:sSubPr/>
          <m:e>
            <m:r>
              <m:rPr/>
              <w:rPr>
                <w:rFonts w:ascii="Cambria Math" w:hAnsi="Cambria Math"/>
              </w:rPr>
              <m:t>η</m:t>
            </m:r>
          </m:e>
          <m:sub>
            <m:r>
              <m:rPr/>
              <w:rPr>
                <w:rFonts w:ascii="Cambria Math" w:hAnsi="Cambria Math"/>
              </w:rPr>
              <m:t>it</m:t>
            </m:r>
          </m:sub>
        </m:sSub>
      </m:oMath>
      <w:r>
        <w:rPr>
          <w:rFonts w:ascii="Arial" w:hAnsi="Arial" w:eastAsia="等线" w:cs="Arial"/>
          <w:sz w:val="22"/>
        </w:rPr>
        <w:t>与</w:t>
      </w:r>
      <m:oMath>
        <m:sSub>
          <m:sSubPr/>
          <m:e>
            <m:r>
              <m:rPr/>
              <w:rPr>
                <w:rFonts w:ascii="Cambria Math" w:hAnsi="Cambria Math"/>
              </w:rPr>
              <m:t>μ</m:t>
            </m:r>
          </m:e>
          <m:sub>
            <m:r>
              <m:rPr/>
              <w:rPr>
                <w:rFonts w:ascii="Cambria Math" w:hAnsi="Cambria Math"/>
              </w:rPr>
              <m:t>it</m:t>
            </m:r>
          </m:sub>
        </m:sSub>
      </m:oMath>
      <w:r>
        <w:rPr>
          <w:rFonts w:ascii="Arial" w:hAnsi="Arial" w:eastAsia="等线" w:cs="Arial"/>
          <w:sz w:val="22"/>
        </w:rPr>
        <w:t>相互独立，理论层面上游管控强度提升会同步扩大下游水质收益，双向损益存在潜在正向关联。本文通过两层机制缓释内生偏差：第一，财资环〔2025〕49、50 号文件规定由中央依托断面监测数据统一核算保护成本与水质收益，上下游损益核心变量由上级部门外生测算，弱化省级层面内生关联</w:t>
      </w:r>
      <m:oMath>
        <m:sSup>
          <m:sSupPr/>
          <m:e/>
          <m:sup>
            <m:r>
              <m:rPr/>
              <w:rPr>
                <w:rFonts w:ascii="Cambria Math" w:hAnsi="Cambria Math"/>
              </w:rPr>
              <m:t>[2][3]</m:t>
            </m:r>
          </m:sup>
        </m:sSup>
      </m:oMath>
      <w:r>
        <w:rPr>
          <w:rFonts w:ascii="Arial" w:hAnsi="Arial" w:eastAsia="等线" w:cs="Arial"/>
          <w:sz w:val="22"/>
        </w:rPr>
        <w:t>；第二，若二者存在正向相关，估计结果会小幅高估</w:t>
      </w:r>
      <m:oMath>
        <m:sSub>
          <m:sSubPr/>
          <m:e>
            <m:r>
              <m:rPr/>
              <w:rPr>
                <w:rFonts w:ascii="Cambria Math" w:hAnsi="Cambria Math"/>
              </w:rPr>
              <m:t>σ</m:t>
            </m:r>
          </m:e>
          <m:sub>
            <m:r>
              <m:rPr/>
              <w:rPr>
                <w:rFonts w:ascii="Cambria Math" w:hAnsi="Cambria Math"/>
              </w:rPr>
              <m:t>μ</m:t>
            </m:r>
          </m:sub>
        </m:sSub>
      </m:oMath>
      <w:r>
        <w:rPr>
          <w:rFonts w:ascii="Arial" w:hAnsi="Arial" w:eastAsia="等线" w:cs="Arial"/>
          <w:sz w:val="22"/>
        </w:rPr>
        <w:t>，下游议价占优、损益错配的核心结论属于保守估计，不会发生方向性反转。后续可构建联立双边随机前沿模型进一步优化双向损益识别精度。</w:t>
      </w:r>
    </w:p>
    <w:p w14:paraId="555D1EB5">
      <w:pPr>
        <w:spacing w:before="300" w:after="120" w:line="288" w:lineRule="auto"/>
        <w:ind w:left="0"/>
        <w:jc w:val="left"/>
        <w:outlineLvl w:val="2"/>
      </w:pPr>
      <w:bookmarkStart w:id="18" w:name="heading_18"/>
      <w:r>
        <w:rPr>
          <w:rFonts w:ascii="Arial" w:hAnsi="Arial" w:eastAsia="等线" w:cs="Arial"/>
          <w:b/>
          <w:sz w:val="30"/>
        </w:rPr>
        <w:t>（三）时变拓展模型（动态刻画损益匹配与议价失衡演化）</w:t>
      </w:r>
      <w:bookmarkEnd w:id="18"/>
    </w:p>
    <w:p w14:paraId="0B3289A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借鉴 Kumbhakar 时变无效率设定，构建逐年动态双向损益项，捕捉损益匹配、议价失衡随时间的变化趋势：</w:t>
      </w:r>
      <w:r>
        <w:rPr>
          <w:rFonts w:ascii="Arial" w:hAnsi="Arial" w:eastAsia="等线" w:cs="Arial"/>
          <w:sz w:val="22"/>
        </w:rPr>
        <w:br w:type="textWrapping"/>
      </w:r>
      <m:oMathPara>
        <m:oMathParaPr>
          <m:jc m:val="left"/>
        </m:oMathParaPr>
        <m:oMath>
          <m:sSub>
            <m:sSubPr/>
            <m:e>
              <m:r>
                <m:rPr/>
                <w:rPr>
                  <w:rFonts w:ascii="Cambria Math" w:hAnsi="Cambria Math"/>
                </w:rPr>
                <m:t>η</m:t>
              </m:r>
            </m:e>
            <m:sub>
              <m:r>
                <m:rPr/>
                <w:rPr>
                  <w:rFonts w:ascii="Cambria Math" w:hAnsi="Cambria Math"/>
                </w:rPr>
                <m:t>it</m:t>
              </m:r>
            </m:sub>
          </m:sSub>
          <m:r>
            <m:rPr/>
            <w:rPr>
              <w:rFonts w:ascii="Cambria Math" w:hAnsi="Cambria Math"/>
            </w:rPr>
            <m:t>=</m:t>
          </m:r>
          <m:sSub>
            <m:sSubPr/>
            <m:e>
              <m:r>
                <m:rPr/>
                <w:rPr>
                  <w:rFonts w:ascii="Cambria Math" w:hAnsi="Cambria Math"/>
                </w:rPr>
                <m:t>η</m:t>
              </m:r>
            </m:e>
            <m:sub>
              <m:r>
                <m:rPr/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exp</m:t>
          </m:r>
          <m:r>
            <m:rPr/>
            <w:rPr>
              <w:rFonts w:ascii="Cambria Math" w:hAnsi="Cambria Math"/>
            </w:rPr>
            <m:t>⁡−</m:t>
          </m:r>
          <m:sSub>
            <m:sSubPr/>
            <m:e>
              <m:r>
                <m:rPr/>
                <w:rPr>
                  <w:rFonts w:ascii="Cambria Math" w:hAnsi="Cambria Math"/>
                </w:rPr>
                <m:t>δ</m:t>
              </m:r>
            </m:e>
            <m:sub>
              <m:r>
                <m:rPr/>
                <w:rPr>
                  <w:rFonts w:ascii="Cambria Math" w:hAnsi="Cambria Math"/>
                </w:rPr>
                <m:t>η</m:t>
              </m:r>
            </m:sub>
          </m:sSub>
          <m:r>
            <m:rPr/>
            <w:rPr>
              <w:rFonts w:ascii="Cambria Math" w:hAnsi="Cambria Math"/>
            </w:rPr>
            <m:t>(t−T),</m:t>
          </m:r>
          <m:sSub>
            <m:sSubPr/>
            <m:e>
              <m:r>
                <m:rPr/>
                <w:rPr>
                  <w:rFonts w:ascii="Cambria Math" w:hAnsi="Cambria Math"/>
                </w:rPr>
                <m:t>μ</m:t>
              </m:r>
            </m:e>
            <m:sub>
              <m:r>
                <m:rPr/>
                <w:rPr>
                  <w:rFonts w:ascii="Cambria Math" w:hAnsi="Cambria Math"/>
                </w:rPr>
                <m:t>it</m:t>
              </m:r>
            </m:sub>
          </m:sSub>
          <m:r>
            <m:rPr/>
            <w:rPr>
              <w:rFonts w:ascii="Cambria Math" w:hAnsi="Cambria Math"/>
            </w:rPr>
            <m:t>=</m:t>
          </m:r>
          <m:sSub>
            <m:sSubPr/>
            <m:e>
              <m:r>
                <m:rPr/>
                <w:rPr>
                  <w:rFonts w:ascii="Cambria Math" w:hAnsi="Cambria Math"/>
                </w:rPr>
                <m:t>μ</m:t>
              </m:r>
            </m:e>
            <m:sub>
              <m:r>
                <m:rPr/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exp</m:t>
          </m:r>
          <m:r>
            <m:rPr/>
            <w:rPr>
              <w:rFonts w:ascii="Cambria Math" w:hAnsi="Cambria Math"/>
            </w:rPr>
            <m:t>⁡−</m:t>
          </m:r>
          <m:sSub>
            <m:sSubPr/>
            <m:e>
              <m:r>
                <m:rPr/>
                <w:rPr>
                  <w:rFonts w:ascii="Cambria Math" w:hAnsi="Cambria Math"/>
                </w:rPr>
                <m:t>δ</m:t>
              </m:r>
            </m:e>
            <m:sub>
              <m:r>
                <m:rPr/>
                <w:rPr>
                  <w:rFonts w:ascii="Cambria Math" w:hAnsi="Cambria Math"/>
                </w:rPr>
                <m:t>μ</m:t>
              </m:r>
            </m:sub>
          </m:sSub>
          <m:r>
            <m:rPr/>
            <w:rPr>
              <w:rFonts w:ascii="Cambria Math" w:hAnsi="Cambria Math"/>
            </w:rPr>
            <m:t>(t−T)</m:t>
          </m:r>
        </m:oMath>
      </m:oMathPara>
      <w:r>
        <w:rPr>
          <w:rFonts w:ascii="Arial" w:hAnsi="Arial" w:eastAsia="等线" w:cs="Arial"/>
          <w:sz w:val="22"/>
        </w:rPr>
        <w:br w:type="textWrapping"/>
      </w:r>
      <m:oMath>
        <m:sSub>
          <m:sSubPr/>
          <m:e>
            <m:r>
              <m:rPr/>
              <w:rPr>
                <w:rFonts w:ascii="Cambria Math" w:hAnsi="Cambria Math"/>
              </w:rPr>
              <m:t>δ</m:t>
            </m:r>
          </m:e>
          <m:sub>
            <m:r>
              <m:rPr/>
              <w:rPr>
                <w:rFonts w:ascii="Cambria Math" w:hAnsi="Cambria Math"/>
              </w:rPr>
              <m:t>η</m:t>
            </m:r>
          </m:sub>
        </m:sSub>
        <m:r>
          <m:rPr/>
          <w:rPr>
            <w:rFonts w:ascii="Cambria Math" w:hAnsi="Cambria Math"/>
          </w:rPr>
          <m:t>&gt;0</m:t>
        </m:r>
      </m:oMath>
      <w:r>
        <w:rPr>
          <w:rFonts w:ascii="Arial" w:hAnsi="Arial" w:eastAsia="等线" w:cs="Arial"/>
          <w:sz w:val="22"/>
        </w:rPr>
        <w:t>代表上游生态损益逐年扩大；</w:t>
      </w:r>
      <m:oMath>
        <m:sSub>
          <m:sSubPr/>
          <m:e>
            <m:r>
              <m:rPr/>
              <w:rPr>
                <w:rFonts w:ascii="Cambria Math" w:hAnsi="Cambria Math"/>
              </w:rPr>
              <m:t>δ</m:t>
            </m:r>
          </m:e>
          <m:sub>
            <m:r>
              <m:rPr/>
              <w:rPr>
                <w:rFonts w:ascii="Cambria Math" w:hAnsi="Cambria Math"/>
              </w:rPr>
              <m:t>μ</m:t>
            </m:r>
          </m:sub>
        </m:sSub>
        <m:r>
          <m:rPr/>
          <w:rPr>
            <w:rFonts w:ascii="Cambria Math" w:hAnsi="Cambria Math"/>
          </w:rPr>
          <m:t>&gt;0</m:t>
        </m:r>
      </m:oMath>
      <w:r>
        <w:rPr>
          <w:rFonts w:ascii="Arial" w:hAnsi="Arial" w:eastAsia="等线" w:cs="Arial"/>
          <w:sz w:val="22"/>
        </w:rPr>
        <w:t>代表下游生态损益逐年收窄，二者共同推动损益匹配度持续下降、议价失衡不断加剧，为每三年动态调整补偿标准、修复上下游损益关系提供计量依据。本文采用指数平滑刻画长期渐变特征；针对 2016 年生态红线、2020 年《长江保护法》等间断政策冲击，可在后续研究引入分段虚拟变量拓展非线性时变模型。</w:t>
      </w:r>
    </w:p>
    <w:p w14:paraId="3B85194F">
      <w:pPr>
        <w:spacing w:before="300" w:after="120" w:line="288" w:lineRule="auto"/>
        <w:ind w:left="0"/>
        <w:jc w:val="left"/>
        <w:outlineLvl w:val="2"/>
      </w:pPr>
      <w:bookmarkStart w:id="19" w:name="heading_19"/>
      <w:r>
        <w:rPr>
          <w:rFonts w:ascii="Arial" w:hAnsi="Arial" w:eastAsia="等线" w:cs="Arial"/>
          <w:b/>
          <w:sz w:val="30"/>
        </w:rPr>
        <w:t>（四）识别策略与计量工具</w:t>
      </w:r>
      <w:bookmarkEnd w:id="19"/>
    </w:p>
    <w:p w14:paraId="5D31CC8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采用极大似然估计（ML），参照 Kumbhakar &amp; Parmeter（2009）对数似然函数开展回归；计量工具选用 Stata sfpanel（v2.3 及以上）、R 语言 ssfa 包。针对 224 组样本的小样本约束，补充贝叶斯 MCMC 估计作为稳健性检验，保障损益匹配、议价失衡测算结果稳定可靠。</w:t>
      </w:r>
    </w:p>
    <w:p w14:paraId="54C2970C">
      <w:pPr>
        <w:spacing w:before="320" w:after="120" w:line="288" w:lineRule="auto"/>
        <w:ind w:left="0"/>
        <w:jc w:val="left"/>
        <w:outlineLvl w:val="1"/>
      </w:pPr>
      <w:bookmarkStart w:id="20" w:name="heading_20"/>
      <w:r>
        <w:rPr>
          <w:rFonts w:ascii="Arial" w:hAnsi="Arial" w:eastAsia="等线" w:cs="Arial"/>
          <w:b/>
          <w:sz w:val="32"/>
        </w:rPr>
        <w:t>四、样本、变量与研究设计</w:t>
      </w:r>
      <w:bookmarkEnd w:id="20"/>
    </w:p>
    <w:p w14:paraId="1AF96574">
      <w:pPr>
        <w:spacing w:before="300" w:after="120" w:line="288" w:lineRule="auto"/>
        <w:ind w:left="0"/>
        <w:jc w:val="left"/>
        <w:outlineLvl w:val="2"/>
      </w:pPr>
      <w:bookmarkStart w:id="21" w:name="heading_21"/>
      <w:r>
        <w:rPr>
          <w:rFonts w:ascii="Arial" w:hAnsi="Arial" w:eastAsia="等线" w:cs="Arial"/>
          <w:b/>
          <w:sz w:val="30"/>
        </w:rPr>
        <w:t>（一）配对面板样本构建</w:t>
      </w:r>
      <w:bookmarkEnd w:id="21"/>
    </w:p>
    <w:p w14:paraId="15F1005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突破单一省级面板局限，构建下游出资省 — 上游受偿省配对截面，同步匹配双向损益数据，提升双边随机前沿对损益、议价指标的识别效率。</w:t>
      </w:r>
    </w:p>
    <w:p w14:paraId="1B4B48B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第一，下游出资主体：江苏、上海、安徽。浙江省纳入钱塘江流域补偿体系，不纳入长江干流主出资样本；三省 2022—2024 年先后出台省级横向生态补偿资金管理办法，形成稳定定额出资机制，为配对样本提供政策基础</w:t>
      </w:r>
      <m:oMath>
        <m:sSup>
          <m:sSupPr/>
          <m:e/>
          <m:sup>
            <m:r>
              <m:rPr/>
              <w:rPr>
                <w:rFonts w:ascii="Cambria Math" w:hAnsi="Cambria Math"/>
              </w:rPr>
              <m:t>[14][15][16]</m:t>
            </m:r>
          </m:sup>
        </m:sSup>
      </m:oMath>
      <w:r>
        <w:rPr>
          <w:rFonts w:ascii="Arial" w:hAnsi="Arial" w:eastAsia="等线" w:cs="Arial"/>
          <w:sz w:val="22"/>
        </w:rPr>
        <w:t>。</w:t>
      </w:r>
    </w:p>
    <w:p w14:paraId="630701B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第二，上游受偿主体：青海、西藏、四川、云南、重庆、湖南、江西 7 省份，2021—2024 年全部签署跨省长江干流补偿协议，同步开展上游生态保护机会成本核算</w:t>
      </w:r>
      <m:oMath>
        <m:sSup>
          <m:sSupPr/>
          <m:e/>
          <m:sup>
            <m:r>
              <m:rPr/>
              <w:rPr>
                <w:rFonts w:ascii="Cambria Math" w:hAnsi="Cambria Math"/>
              </w:rPr>
              <m:t>[17][18]</m:t>
            </m:r>
          </m:sup>
        </m:sSup>
      </m:oMath>
      <w:r>
        <w:rPr>
          <w:rFonts w:ascii="Arial" w:hAnsi="Arial" w:eastAsia="等线" w:cs="Arial"/>
          <w:sz w:val="22"/>
        </w:rPr>
        <w:t>。</w:t>
      </w:r>
    </w:p>
    <w:p w14:paraId="0F6D493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第三，配对规则：依据财资环〔2021〕25 号、财资环〔2025〕50 号链式补偿协议框架，形成 28 组有效配对</w:t>
      </w:r>
      <m:oMath>
        <m:sSup>
          <m:sSupPr/>
          <m:e/>
          <m:sup>
            <m:r>
              <m:rPr/>
              <w:rPr>
                <w:rFonts w:ascii="Cambria Math" w:hAnsi="Cambria Math"/>
              </w:rPr>
              <m:t>[2][10]</m:t>
            </m:r>
          </m:sup>
        </m:sSup>
      </m:oMath>
      <w:r>
        <w:rPr>
          <w:rFonts w:ascii="Arial" w:hAnsi="Arial" w:eastAsia="等线" w:cs="Arial"/>
          <w:sz w:val="22"/>
        </w:rPr>
        <w:t>。</w:t>
      </w:r>
    </w:p>
    <w:p w14:paraId="01C5999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第四，时间区间：2018—2025 年，单配对 8 期观测，总样本量</w:t>
      </w:r>
      <m:oMath>
        <m:r>
          <m:rPr/>
          <w:rPr>
            <w:rFonts w:ascii="Cambria Math" w:hAnsi="Cambria Math"/>
          </w:rPr>
          <m:t>28×8=224</m:t>
        </m:r>
      </m:oMath>
      <w:r>
        <w:rPr>
          <w:rFonts w:ascii="Arial" w:hAnsi="Arial" w:eastAsia="等线" w:cs="Arial"/>
          <w:sz w:val="22"/>
        </w:rPr>
        <w:t>组。</w:t>
      </w:r>
    </w:p>
    <w:p w14:paraId="52CDFDD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第五，数据处理说明：2025 年配套协议于下半年落地，完整财政决算公报 2026 年对外披露，本文采用官方框架协议金额、地方财政概算完成损益匹配与议价失衡模拟测算；基准回归使用 2018—2024 稳定观测（196 组）保证实证可信度，2025 年数据仅用于依托国际流域标尺开展政策模拟测算，全文统一标注估算来源。</w:t>
      </w:r>
    </w:p>
    <w:p w14:paraId="4C655EFB">
      <w:pPr>
        <w:spacing w:before="300" w:after="120" w:line="288" w:lineRule="auto"/>
        <w:ind w:left="0"/>
        <w:jc w:val="left"/>
        <w:outlineLvl w:val="2"/>
      </w:pPr>
      <w:bookmarkStart w:id="22" w:name="heading_22"/>
      <w:r>
        <w:rPr>
          <w:rFonts w:ascii="Arial" w:hAnsi="Arial" w:eastAsia="等线" w:cs="Arial"/>
          <w:b/>
          <w:sz w:val="30"/>
        </w:rPr>
        <w:t>（二）变量定义与数据来源</w:t>
      </w:r>
      <w:bookmarkEnd w:id="22"/>
    </w:p>
    <w:tbl>
      <w:tblPr>
        <w:tblStyle w:val="5"/>
        <w:tblW w:w="8521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40"/>
        <w:gridCol w:w="1463"/>
        <w:gridCol w:w="3123"/>
        <w:gridCol w:w="2795"/>
      </w:tblGrid>
      <w:tr w14:paraId="21A9AF84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C55944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变量类型</w:t>
            </w:r>
          </w:p>
        </w:tc>
        <w:tc>
          <w:tcPr>
            <w:tcW w:w="1463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1BDFB85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变量符号</w:t>
            </w:r>
          </w:p>
        </w:tc>
        <w:tc>
          <w:tcPr>
            <w:tcW w:w="3123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E86C3F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指标构造</w:t>
            </w:r>
          </w:p>
        </w:tc>
        <w:tc>
          <w:tcPr>
            <w:tcW w:w="2795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51F918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数据来源</w:t>
            </w:r>
          </w:p>
        </w:tc>
      </w:tr>
      <w:tr w14:paraId="1203A569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60E15C4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被解释变量</w:t>
            </w:r>
          </w:p>
        </w:tc>
        <w:tc>
          <w:tcPr>
            <w:tcW w:w="1463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17CD26D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eastAsia="等线"/>
                        <w:sz w:val="22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eastAsia="等线"/>
                        <w:sz w:val="22"/>
                      </w:rPr>
                      <m:t>T</m:t>
                    </m:r>
                    <m:ctrlPr>
                      <w:rPr>
                        <w:rFonts w:ascii="Cambria Math" w:hAnsi="Cambria Math" w:eastAsia="等线"/>
                        <w:sz w:val="22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eastAsia="等线"/>
                        <w:sz w:val="22"/>
                      </w:rPr>
                      <m:t>ijt</m:t>
                    </m:r>
                    <m:ctrlPr>
                      <w:rPr>
                        <w:rFonts w:ascii="Cambria Math" w:hAnsi="Cambria Math" w:eastAsia="等线"/>
                        <w:sz w:val="22"/>
                      </w:rPr>
                    </m:ctrlPr>
                  </m:sub>
                </m:sSub>
              </m:oMath>
            </m:oMathPara>
          </w:p>
        </w:tc>
        <w:tc>
          <w:tcPr>
            <w:tcW w:w="3123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D57D7F7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下游 i 对上游 j 年度补偿协议金额（万元），反映损益博弈均衡结果</w:t>
            </w:r>
          </w:p>
        </w:tc>
        <w:tc>
          <w:tcPr>
            <w:tcW w:w="2795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AC7BCF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财政部水污染防治资金绩效报告、各省市财政公报手工整理</w:t>
            </w:r>
          </w:p>
        </w:tc>
      </w:tr>
      <w:tr w14:paraId="7D86142E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02D777B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上游生态损益代理</w:t>
            </w:r>
          </w:p>
        </w:tc>
        <w:tc>
          <w:tcPr>
            <w:tcW w:w="146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6719F8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Redline</w:t>
            </w:r>
          </w:p>
        </w:tc>
        <w:tc>
          <w:tcPr>
            <w:tcW w:w="312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2EE0017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生态红线面积占比 × 制造业 FDI 损失率，衡量上游发展损失规模</w:t>
            </w: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F9EFE8D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各省国土空间规划、Wind 工业外资数据库</w:t>
            </w:r>
          </w:p>
        </w:tc>
      </w:tr>
      <w:tr w14:paraId="406FBE7D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6916E03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</w:p>
        </w:tc>
        <w:tc>
          <w:tcPr>
            <w:tcW w:w="146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B06FC3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IndLoss</w:t>
            </w:r>
          </w:p>
        </w:tc>
        <w:tc>
          <w:tcPr>
            <w:tcW w:w="312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9A615F3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生态约束造成工业增加值增速损失，量化上游核心机会成本</w:t>
            </w: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95A874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各省统计年鉴、多期 DID 测算结果</w:t>
            </w:r>
          </w:p>
        </w:tc>
      </w:tr>
      <w:tr w14:paraId="285C0833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3DA333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</w:p>
        </w:tc>
        <w:tc>
          <w:tcPr>
            <w:tcW w:w="146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8DD8B32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EnvReg</w:t>
            </w:r>
          </w:p>
        </w:tc>
        <w:tc>
          <w:tcPr>
            <w:tcW w:w="312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D1527C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环境规制强度逆指标，表征上游生态管控力度与损益水平</w:t>
            </w: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BB41995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全国生态环境统计公报</w:t>
            </w:r>
          </w:p>
        </w:tc>
      </w:tr>
      <w:tr w14:paraId="40FCE5F2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445130A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下游生态损益代理</w:t>
            </w:r>
          </w:p>
        </w:tc>
        <w:tc>
          <w:tcPr>
            <w:tcW w:w="146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A02DE2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GTFP</w:t>
            </w:r>
          </w:p>
        </w:tc>
        <w:tc>
          <w:tcPr>
            <w:tcW w:w="312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9193703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工业 SBM-GML 绿色全要素生产率，衡量下游水质红利规模</w:t>
            </w: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181918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CSMAR 工业库、各省环境年鉴</w:t>
            </w:r>
          </w:p>
        </w:tc>
      </w:tr>
      <w:tr w14:paraId="4FFF1BA4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9F519D5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</w:p>
        </w:tc>
        <w:tc>
          <w:tcPr>
            <w:tcW w:w="146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29F56A9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WaterSec</w:t>
            </w:r>
          </w:p>
        </w:tc>
        <w:tc>
          <w:tcPr>
            <w:tcW w:w="312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6A133D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饮用水安全经济价值，补充下游民生维度生态收益</w:t>
            </w: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E53A7A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住建部水资源价格台账、统计年鉴</w:t>
            </w:r>
          </w:p>
        </w:tc>
      </w:tr>
      <w:tr w14:paraId="6D73D5DD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D7161E3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</w:p>
        </w:tc>
        <w:tc>
          <w:tcPr>
            <w:tcW w:w="146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BBBBE59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HighH2O</w:t>
            </w:r>
          </w:p>
        </w:tc>
        <w:tc>
          <w:tcPr>
            <w:tcW w:w="312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D724B88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化工、造纸、电力等高耗水行业产值占比，反映下游产业受益强度</w:t>
            </w: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E8C3BB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CSMAR 工业数据库</w:t>
            </w:r>
          </w:p>
        </w:tc>
      </w:tr>
      <w:tr w14:paraId="7AD8C831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DA66898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控制变量</w:t>
            </w:r>
          </w:p>
        </w:tc>
        <w:tc>
          <w:tcPr>
            <w:tcW w:w="146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EEB788F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m:oMath>
              <m:r>
                <m:rPr/>
                <w:rPr>
                  <w:rFonts w:ascii="Cambria Math" w:hAnsi="Cambria Math" w:eastAsia="等线"/>
                  <w:sz w:val="22"/>
                </w:rPr>
                <m:t>GDPp</m:t>
              </m:r>
              <m:sSub>
                <m:sSubPr>
                  <m:ctrlPr>
                    <w:rPr>
                      <w:rFonts w:ascii="Cambria Math" w:hAnsi="Cambria Math" w:eastAsia="等线"/>
                      <w:sz w:val="22"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="等线"/>
                      <w:sz w:val="22"/>
                    </w:rPr>
                    <m:t>c</m:t>
                  </m:r>
                  <m:ctrlPr>
                    <w:rPr>
                      <w:rFonts w:ascii="Cambria Math" w:hAnsi="Cambria Math" w:eastAsia="等线"/>
                      <w:sz w:val="22"/>
                    </w:rPr>
                  </m:ctrlPr>
                </m:e>
                <m:sub>
                  <m:r>
                    <m:rPr/>
                    <w:rPr>
                      <w:rFonts w:ascii="Cambria Math" w:hAnsi="Cambria Math" w:eastAsia="等线"/>
                      <w:sz w:val="22"/>
                    </w:rPr>
                    <m:t>i</m:t>
                  </m:r>
                  <m:ctrlPr>
                    <w:rPr>
                      <w:rFonts w:ascii="Cambria Math" w:hAnsi="Cambria Math" w:eastAsia="等线"/>
                      <w:sz w:val="22"/>
                    </w:rPr>
                  </m:ctrlPr>
                </m:sub>
              </m:sSub>
            </m:oMath>
            <w:r>
              <w:rPr>
                <w:rFonts w:ascii="Arial" w:hAnsi="Arial" w:eastAsia="等线" w:cs="Arial"/>
                <w:sz w:val="22"/>
              </w:rPr>
              <w:t>/</w:t>
            </w:r>
            <m:oMath>
              <m:r>
                <m:rPr/>
                <w:rPr>
                  <w:rFonts w:ascii="Cambria Math" w:hAnsi="Cambria Math" w:eastAsia="等线"/>
                  <w:sz w:val="22"/>
                </w:rPr>
                <m:t>GDPp</m:t>
              </m:r>
              <m:sSub>
                <m:sSubPr>
                  <m:ctrlPr>
                    <w:rPr>
                      <w:rFonts w:ascii="Cambria Math" w:hAnsi="Cambria Math" w:eastAsia="等线"/>
                      <w:sz w:val="22"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="等线"/>
                      <w:sz w:val="22"/>
                    </w:rPr>
                    <m:t>c</m:t>
                  </m:r>
                  <m:ctrlPr>
                    <w:rPr>
                      <w:rFonts w:ascii="Cambria Math" w:hAnsi="Cambria Math" w:eastAsia="等线"/>
                      <w:sz w:val="22"/>
                    </w:rPr>
                  </m:ctrlPr>
                </m:e>
                <m:sub>
                  <m:r>
                    <m:rPr/>
                    <w:rPr>
                      <w:rFonts w:ascii="Cambria Math" w:hAnsi="Cambria Math" w:eastAsia="等线"/>
                      <w:sz w:val="22"/>
                    </w:rPr>
                    <m:t>j</m:t>
                  </m:r>
                  <m:ctrlPr>
                    <w:rPr>
                      <w:rFonts w:ascii="Cambria Math" w:hAnsi="Cambria Math" w:eastAsia="等线"/>
                      <w:sz w:val="22"/>
                    </w:rPr>
                  </m:ctrlPr>
                </m:sub>
              </m:sSub>
            </m:oMath>
          </w:p>
        </w:tc>
        <w:tc>
          <w:tcPr>
            <w:tcW w:w="312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BE4540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上下游人均 GDP，控制区域财力对损益分摊的干扰</w:t>
            </w: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A4BEFC6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各省国民经济统计年鉴</w:t>
            </w:r>
          </w:p>
        </w:tc>
      </w:tr>
      <w:tr w14:paraId="723D9A51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DA6818C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</w:p>
        </w:tc>
        <w:tc>
          <w:tcPr>
            <w:tcW w:w="146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F20E852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m:oMathPara>
              <m:oMathParaPr>
                <m:jc m:val="left"/>
              </m:oMathParaPr>
              <m:oMath>
                <m:r>
                  <m:rPr/>
                  <w:rPr>
                    <w:rFonts w:ascii="Cambria Math" w:hAnsi="Cambria Math" w:eastAsia="等线"/>
                    <w:sz w:val="22"/>
                  </w:rPr>
                  <m:t>Fisca</m:t>
                </m:r>
                <m:sSub>
                  <m:sSubPr>
                    <m:ctrlPr>
                      <w:rPr>
                        <w:rFonts w:ascii="Cambria Math" w:hAnsi="Cambria Math" w:eastAsia="等线"/>
                        <w:sz w:val="22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eastAsia="等线"/>
                        <w:sz w:val="22"/>
                      </w:rPr>
                      <m:t>l</m:t>
                    </m:r>
                    <m:ctrlPr>
                      <w:rPr>
                        <w:rFonts w:ascii="Cambria Math" w:hAnsi="Cambria Math" w:eastAsia="等线"/>
                        <w:sz w:val="22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eastAsia="等线"/>
                        <w:sz w:val="22"/>
                      </w:rPr>
                      <m:t>i</m:t>
                    </m:r>
                    <m:ctrlPr>
                      <w:rPr>
                        <w:rFonts w:ascii="Cambria Math" w:hAnsi="Cambria Math" w:eastAsia="等线"/>
                        <w:sz w:val="22"/>
                      </w:rPr>
                    </m:ctrlPr>
                  </m:sub>
                </m:sSub>
              </m:oMath>
            </m:oMathPara>
          </w:p>
        </w:tc>
        <w:tc>
          <w:tcPr>
            <w:tcW w:w="312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D0372DB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下游省级财政自给率，剔除支付能力对议价失衡测算的干扰</w:t>
            </w: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D44C590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地方财政决算公报</w:t>
            </w:r>
          </w:p>
        </w:tc>
      </w:tr>
      <w:tr w14:paraId="0F689DE1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DC1E0FD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国际标尺校准变量</w:t>
            </w:r>
          </w:p>
        </w:tc>
        <w:tc>
          <w:tcPr>
            <w:tcW w:w="146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DBAB75E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BenefShare</w:t>
            </w:r>
          </w:p>
        </w:tc>
        <w:tc>
          <w:tcPr>
            <w:tcW w:w="312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D0463C0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下游工业用水量占比，对标莱茵河受益分摊权重逻辑</w:t>
            </w: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225EFF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全国水资源公报</w:t>
            </w:r>
          </w:p>
        </w:tc>
      </w:tr>
      <w:tr w14:paraId="44133ACA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40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855BC3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</w:p>
        </w:tc>
        <w:tc>
          <w:tcPr>
            <w:tcW w:w="1463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78AA82C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ExitConc</w:t>
            </w:r>
          </w:p>
        </w:tc>
        <w:tc>
          <w:tcPr>
            <w:tcW w:w="3123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18A2B4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省界断面高锰酸盐、氨氮、总磷浓度，对标科罗拉多河水质阈值标尺</w:t>
            </w:r>
          </w:p>
        </w:tc>
        <w:tc>
          <w:tcPr>
            <w:tcW w:w="2795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8DAA5AA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生态环境部地表水考核断面年报</w:t>
            </w:r>
          </w:p>
        </w:tc>
      </w:tr>
    </w:tbl>
    <w:p w14:paraId="71FB1D60">
      <w:pPr>
        <w:spacing w:before="300" w:after="120" w:line="288" w:lineRule="auto"/>
        <w:ind w:left="0"/>
        <w:jc w:val="left"/>
        <w:outlineLvl w:val="2"/>
      </w:pPr>
      <w:bookmarkStart w:id="23" w:name="heading_23"/>
      <w:r>
        <w:rPr>
          <w:rFonts w:ascii="Arial" w:hAnsi="Arial" w:eastAsia="等线" w:cs="Arial"/>
          <w:b/>
          <w:sz w:val="30"/>
        </w:rPr>
        <w:t>（三）稳健性检验方案</w:t>
      </w:r>
      <w:bookmarkEnd w:id="23"/>
    </w:p>
    <w:p w14:paraId="1429D62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设置四类多重稳健性检验，规避小样本、模型设定偏差对损益匹配、议价失衡测算结果的干扰：第一，截面均值双边随机前沿（2022—2024 三年均值）；第二，贝叶斯 MCMC 随机前沿；第三，替换被解释变量为单位干流补偿强度；第四，随机配对安慰剂检验 500 次，充分保障核心测算结论稳健可靠。</w:t>
      </w:r>
    </w:p>
    <w:p w14:paraId="3BEA3D75">
      <w:pPr>
        <w:spacing w:before="320" w:after="120" w:line="288" w:lineRule="auto"/>
        <w:ind w:left="0"/>
        <w:jc w:val="left"/>
        <w:outlineLvl w:val="1"/>
      </w:pPr>
      <w:bookmarkStart w:id="24" w:name="heading_24"/>
      <w:r>
        <w:rPr>
          <w:rFonts w:ascii="Arial" w:hAnsi="Arial" w:eastAsia="等线" w:cs="Arial"/>
          <w:b/>
          <w:sz w:val="32"/>
        </w:rPr>
        <w:t>五、实证结果与国际流域标尺校准测算</w:t>
      </w:r>
      <w:bookmarkEnd w:id="24"/>
    </w:p>
    <w:p w14:paraId="4B2E6503">
      <w:pPr>
        <w:spacing w:before="300" w:after="120" w:line="288" w:lineRule="auto"/>
        <w:ind w:left="0"/>
        <w:jc w:val="left"/>
        <w:outlineLvl w:val="2"/>
      </w:pPr>
      <w:bookmarkStart w:id="25" w:name="heading_25"/>
      <w:r>
        <w:rPr>
          <w:rFonts w:ascii="Arial" w:hAnsi="Arial" w:eastAsia="等线" w:cs="Arial"/>
          <w:b/>
          <w:sz w:val="30"/>
        </w:rPr>
        <w:t>（一）基准双边随机前沿：损益规模与议价失衡基准结果</w:t>
      </w:r>
      <w:bookmarkEnd w:id="25"/>
    </w:p>
    <w:p w14:paraId="1EA6517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基准回归显示</w:t>
      </w:r>
      <m:oMath>
        <m:sSub>
          <m:sSubPr/>
          <m:e>
            <m:r>
              <m:rPr/>
              <w:rPr>
                <w:rFonts w:ascii="Cambria Math" w:hAnsi="Cambria Math"/>
              </w:rPr>
              <m:t>σ</m:t>
            </m:r>
          </m:e>
          <m:sub>
            <m:r>
              <m:rPr/>
              <w:rPr>
                <w:rFonts w:ascii="Cambria Math" w:hAnsi="Cambria Math"/>
              </w:rPr>
              <m:t>μ</m:t>
            </m:r>
          </m:sub>
        </m:sSub>
        <m:r>
          <m:rPr/>
          <w:rPr>
            <w:rFonts w:ascii="Cambria Math" w:hAnsi="Cambria Math"/>
          </w:rPr>
          <m:t>=0.69</m:t>
        </m:r>
      </m:oMath>
      <w:r>
        <w:rPr>
          <w:rFonts w:ascii="Arial" w:hAnsi="Arial" w:eastAsia="等线" w:cs="Arial"/>
          <w:sz w:val="22"/>
        </w:rPr>
        <w:t>显著大于</w:t>
      </w:r>
      <m:oMath>
        <m:sSub>
          <m:sSubPr/>
          <m:e>
            <m:r>
              <m:rPr/>
              <w:rPr>
                <w:rFonts w:ascii="Cambria Math" w:hAnsi="Cambria Math"/>
              </w:rPr>
              <m:t>σ</m:t>
            </m:r>
          </m:e>
          <m:sub>
            <m:r>
              <m:rPr/>
              <w:rPr>
                <w:rFonts w:ascii="Cambria Math" w:hAnsi="Cambria Math"/>
              </w:rPr>
              <m:t>η</m:t>
            </m:r>
          </m:sub>
        </m:sSub>
        <m:r>
          <m:rPr/>
          <w:rPr>
            <w:rFonts w:ascii="Cambria Math" w:hAnsi="Cambria Math"/>
          </w:rPr>
          <m:t>=0.41</m:t>
        </m:r>
      </m:oMath>
      <w:r>
        <w:rPr>
          <w:rFonts w:ascii="Arial" w:hAnsi="Arial" w:eastAsia="等线" w:cs="Arial"/>
          <w:sz w:val="22"/>
        </w:rPr>
        <w:t>，议价失衡指标</w:t>
      </w:r>
      <m:oMath>
        <m:sSub>
          <m:sSubPr/>
          <m:e>
            <m:r>
              <m:rPr/>
              <w:rPr>
                <w:rFonts w:ascii="Cambria Math" w:hAnsi="Cambria Math"/>
              </w:rPr>
              <m:t>λ</m:t>
            </m:r>
          </m:e>
          <m:sub>
            <m:r>
              <m:rPr/>
              <w:rPr>
                <w:rFonts w:ascii="Cambria Math" w:hAnsi="Cambria Math"/>
              </w:rPr>
              <m:t>μ</m:t>
            </m:r>
          </m:sub>
        </m:sSub>
        <m:r>
          <m:rPr/>
          <w:rPr>
            <w:rFonts w:ascii="Cambria Math" w:hAnsi="Cambria Math"/>
          </w:rPr>
          <m:t>=0.63</m:t>
        </m:r>
      </m:oMath>
      <w:r>
        <w:rPr>
          <w:rFonts w:ascii="Arial" w:hAnsi="Arial" w:eastAsia="等线" w:cs="Arial"/>
          <w:sz w:val="22"/>
        </w:rPr>
        <w:t>、</w:t>
      </w:r>
      <m:oMath>
        <m:sSub>
          <m:sSubPr/>
          <m:e>
            <m:r>
              <m:rPr/>
              <w:rPr>
                <w:rFonts w:ascii="Cambria Math" w:hAnsi="Cambria Math"/>
              </w:rPr>
              <m:t>λ</m:t>
            </m:r>
          </m:e>
          <m:sub>
            <m:r>
              <m:rPr/>
              <w:rPr>
                <w:rFonts w:ascii="Cambria Math" w:hAnsi="Cambria Math"/>
              </w:rPr>
              <m:t>η</m:t>
            </m:r>
          </m:sub>
        </m:sSub>
        <m:r>
          <m:rPr/>
          <w:rPr>
            <w:rFonts w:ascii="Cambria Math" w:hAnsi="Cambria Math"/>
          </w:rPr>
          <m:t>=0.37</m:t>
        </m:r>
      </m:oMath>
      <w:r>
        <w:rPr>
          <w:rFonts w:ascii="Arial" w:hAnsi="Arial" w:eastAsia="等线" w:cs="Arial"/>
          <w:sz w:val="22"/>
        </w:rPr>
        <w:t>，下游博弈势力显著占优，流域 63% 议价剩余由下游获取，上下游生态损益形成明显错配，上游生态保护对应的工业发展损失无法通过补偿足额覆盖，形成持续性利益亏空。上游损益代理变量系数全部显著为正，生态管控越强、上游发展损失越大；下游损益代理变量系数显著为负，水质红利越高、下游实际出资越低，双向损益对补偿定价的影响完全契合理论逻辑。人均 GDP、财政自给率控制变量符号符合区域财力对损益分摊、双边议价的影响规律。该实证结果印证当前省级定额协商模式存在固有制度缺陷，与《生态保护补偿条例》“权责对等、损益匹配” 立法目标存在偏差</w:t>
      </w:r>
      <m:oMath>
        <m:sSup>
          <m:sSupPr/>
          <m:e/>
          <m:sup>
            <m:r>
              <m:rPr/>
              <w:rPr>
                <w:rFonts w:ascii="Cambria Math" w:hAnsi="Cambria Math"/>
              </w:rPr>
              <m:t>[12]</m:t>
            </m:r>
          </m:sup>
        </m:sSup>
      </m:oMath>
      <w:r>
        <w:rPr>
          <w:rFonts w:ascii="Arial" w:hAnsi="Arial" w:eastAsia="等线" w:cs="Arial"/>
          <w:sz w:val="22"/>
        </w:rPr>
        <w:t>。</w:t>
      </w:r>
    </w:p>
    <w:p w14:paraId="26FB4BAF">
      <w:pPr>
        <w:spacing w:before="300" w:after="120" w:line="288" w:lineRule="auto"/>
        <w:ind w:left="0"/>
        <w:jc w:val="left"/>
        <w:outlineLvl w:val="2"/>
      </w:pPr>
      <w:bookmarkStart w:id="26" w:name="heading_26"/>
      <w:r>
        <w:rPr>
          <w:rFonts w:ascii="Arial" w:hAnsi="Arial" w:eastAsia="等线" w:cs="Arial"/>
          <w:b/>
          <w:sz w:val="30"/>
        </w:rPr>
        <w:t>（二）时变参数：损益匹配度与议价失衡动态演化</w:t>
      </w:r>
      <w:bookmarkEnd w:id="26"/>
    </w:p>
    <w:p w14:paraId="3558405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时变模型中</w:t>
      </w:r>
      <m:oMath>
        <m:sSub>
          <m:sSubPr/>
          <m:e>
            <m:r>
              <m:rPr/>
              <w:rPr>
                <w:rFonts w:ascii="Cambria Math" w:hAnsi="Cambria Math"/>
              </w:rPr>
              <m:t>δ</m:t>
            </m:r>
          </m:e>
          <m:sub>
            <m:r>
              <m:rPr/>
              <w:rPr>
                <w:rFonts w:ascii="Cambria Math" w:hAnsi="Cambria Math"/>
              </w:rPr>
              <m:t>η</m:t>
            </m:r>
          </m:sub>
        </m:sSub>
        <m:r>
          <m:rPr/>
          <w:rPr>
            <w:rFonts w:ascii="Cambria Math" w:hAnsi="Cambria Math"/>
          </w:rPr>
          <m:t>=0.084</m:t>
        </m:r>
      </m:oMath>
      <w:r>
        <w:rPr>
          <w:rFonts w:ascii="Arial" w:hAnsi="Arial" w:eastAsia="等线" w:cs="Arial"/>
          <w:sz w:val="22"/>
        </w:rPr>
        <w:t>、</w:t>
      </w:r>
      <m:oMath>
        <m:sSub>
          <m:sSubPr/>
          <m:e>
            <m:r>
              <m:rPr/>
              <w:rPr>
                <w:rFonts w:ascii="Cambria Math" w:hAnsi="Cambria Math"/>
              </w:rPr>
              <m:t>δ</m:t>
            </m:r>
          </m:e>
          <m:sub>
            <m:r>
              <m:rPr/>
              <w:rPr>
                <w:rFonts w:ascii="Cambria Math" w:hAnsi="Cambria Math"/>
              </w:rPr>
              <m:t>μ</m:t>
            </m:r>
          </m:sub>
        </m:sSub>
        <m:r>
          <m:rPr/>
          <w:rPr>
            <w:rFonts w:ascii="Cambria Math" w:hAnsi="Cambria Math"/>
          </w:rPr>
          <m:t>=0.061</m:t>
        </m:r>
      </m:oMath>
      <w:r>
        <w:rPr>
          <w:rFonts w:ascii="Arial" w:hAnsi="Arial" w:eastAsia="等线" w:cs="Arial"/>
          <w:sz w:val="22"/>
        </w:rPr>
        <w:t>均通过显著性检验。上游生态损益年均提升 8.4%，多层级生态管控持续扩大上游发展损失；下游生态损益年均衰减 6.1%，产业清洁化、水质稳定达标持续压缩下游新增红利。一增一减之下，流域上下游损益匹配程度逐年走低、议价失衡持续加剧，从动态演化视角验证财资环〔2025〕50 号每三年评估调整补偿标准、逐年修复损益错配的制度科学性</w:t>
      </w:r>
      <m:oMath>
        <m:sSup>
          <m:sSupPr/>
          <m:e/>
          <m:sup>
            <m:r>
              <m:rPr/>
              <w:rPr>
                <w:rFonts w:ascii="Cambria Math" w:hAnsi="Cambria Math"/>
              </w:rPr>
              <m:t>[2]</m:t>
            </m:r>
          </m:sup>
        </m:sSup>
      </m:oMath>
      <w:r>
        <w:rPr>
          <w:rFonts w:ascii="Arial" w:hAnsi="Arial" w:eastAsia="等线" w:cs="Arial"/>
          <w:sz w:val="22"/>
        </w:rPr>
        <w:t>。</w:t>
      </w:r>
    </w:p>
    <w:p w14:paraId="2861BCD7">
      <w:pPr>
        <w:spacing w:before="300" w:after="120" w:line="288" w:lineRule="auto"/>
        <w:ind w:left="0"/>
        <w:jc w:val="left"/>
        <w:outlineLvl w:val="2"/>
      </w:pPr>
      <w:bookmarkStart w:id="27" w:name="heading_27"/>
      <w:r>
        <w:rPr>
          <w:rFonts w:ascii="Arial" w:hAnsi="Arial" w:eastAsia="等线" w:cs="Arial"/>
          <w:b/>
          <w:sz w:val="30"/>
        </w:rPr>
        <w:t>（三）依托国际流域标尺校准分省合理补偿规模</w:t>
      </w:r>
      <w:bookmarkEnd w:id="27"/>
    </w:p>
    <w:p w14:paraId="0A9D8AA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参照莱茵河受益占比分摊标尺测算逻辑，选取工业用水量占比作为下游生态损益权重：江苏 58%、上海 22%、安徽 20%。基于全流域双向损益总和测算理论合理补偿总额 81 亿元 / 年，分省理论出资与现行实际补偿对比见表 1。</w:t>
      </w:r>
    </w:p>
    <w:p w14:paraId="0E8F15D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表 1 2025 年依托国际标尺测算下游理论出资与实际补偿对比（单位：亿元 / 年）</w:t>
      </w:r>
    </w:p>
    <w:tbl>
      <w:tblPr>
        <w:tblStyle w:val="5"/>
        <w:tblW w:w="9060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20"/>
        <w:gridCol w:w="3000"/>
        <w:gridCol w:w="2120"/>
        <w:gridCol w:w="1460"/>
        <w:gridCol w:w="1460"/>
      </w:tblGrid>
      <w:tr w14:paraId="197A9858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020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B1DE98F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出资省份</w:t>
            </w:r>
          </w:p>
        </w:tc>
        <w:tc>
          <w:tcPr>
            <w:tcW w:w="3000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AA6A97B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基于国际标尺的受益分摊比例</w:t>
            </w:r>
          </w:p>
        </w:tc>
        <w:tc>
          <w:tcPr>
            <w:tcW w:w="2120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5D0ED44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hAnsi="Arial" w:eastAsia="等线" w:cs="Arial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理论应出资</w:t>
            </w:r>
          </w:p>
          <w:p w14:paraId="49DC77C2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（匹配上下游损益）</w:t>
            </w:r>
          </w:p>
        </w:tc>
        <w:tc>
          <w:tcPr>
            <w:tcW w:w="1460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78592D2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现行实际出资</w:t>
            </w:r>
          </w:p>
        </w:tc>
        <w:tc>
          <w:tcPr>
            <w:tcW w:w="1460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2DAC55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hAnsi="Arial" w:eastAsia="等线" w:cs="Arial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年度资金缺口</w:t>
            </w:r>
          </w:p>
          <w:p w14:paraId="6571CEF8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（损益差额）</w:t>
            </w:r>
          </w:p>
        </w:tc>
      </w:tr>
      <w:tr w14:paraId="5C8612BB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020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7B926C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江苏</w:t>
            </w:r>
          </w:p>
        </w:tc>
        <w:tc>
          <w:tcPr>
            <w:tcW w:w="3000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07CEA1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58%</w:t>
            </w:r>
          </w:p>
        </w:tc>
        <w:tc>
          <w:tcPr>
            <w:tcW w:w="2120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27D704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righ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47.0</w:t>
            </w:r>
          </w:p>
        </w:tc>
        <w:tc>
          <w:tcPr>
            <w:tcW w:w="1460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0424B6F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righ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9.0</w:t>
            </w:r>
          </w:p>
        </w:tc>
        <w:tc>
          <w:tcPr>
            <w:tcW w:w="1460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1242EAE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righ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-38.0</w:t>
            </w:r>
          </w:p>
        </w:tc>
      </w:tr>
      <w:tr w14:paraId="3DF9DC32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8A62F4E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上海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0DCCC31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22%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8A9CE24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righ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17.8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30D6CB7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righ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6.0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A9CE3F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righ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-11.8</w:t>
            </w:r>
          </w:p>
        </w:tc>
      </w:tr>
      <w:tr w14:paraId="47D2A271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82A318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安徽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B6D4752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20%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AB4523A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righ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16.2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07B0663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righ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17.0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D924D25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righ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+0.8</w:t>
            </w:r>
          </w:p>
        </w:tc>
      </w:tr>
      <w:tr w14:paraId="60FF382E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020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4FDA87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合计</w:t>
            </w:r>
          </w:p>
        </w:tc>
        <w:tc>
          <w:tcPr>
            <w:tcW w:w="3000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71874E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100%</w:t>
            </w:r>
          </w:p>
        </w:tc>
        <w:tc>
          <w:tcPr>
            <w:tcW w:w="2120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6A13E40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right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81.0</w:t>
            </w:r>
          </w:p>
        </w:tc>
        <w:tc>
          <w:tcPr>
            <w:tcW w:w="1460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5B3B9C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right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32.0</w:t>
            </w:r>
          </w:p>
        </w:tc>
        <w:tc>
          <w:tcPr>
            <w:tcW w:w="1460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2427BBF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right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-49.0</w:t>
            </w:r>
          </w:p>
        </w:tc>
      </w:tr>
    </w:tbl>
    <w:p w14:paraId="3EFBF50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全流域补偿资金缺口 49 亿元，整体损益亏空率 60.5%。安徽省兼具下游出资方、上游受偿省双重身份，双向损益相互抵消，净头寸基本平衡，与皖财资环〔2024〕770 号文件双向收支统筹机制实施效果一致</w:t>
      </w:r>
      <m:oMath>
        <m:sSup>
          <m:sSupPr/>
          <m:e/>
          <m:sup>
            <m:r>
              <m:rPr/>
              <w:rPr>
                <w:rFonts w:ascii="Cambria Math" w:hAnsi="Cambria Math"/>
              </w:rPr>
              <m:t>[14]</m:t>
            </m:r>
          </m:sup>
        </m:sSup>
      </m:oMath>
      <w:r>
        <w:rPr>
          <w:rFonts w:ascii="Arial" w:hAnsi="Arial" w:eastAsia="等线" w:cs="Arial"/>
          <w:sz w:val="22"/>
        </w:rPr>
        <w:t>；江苏省为流域工业用水、高耗水产业核心集聚区，下游生态损益规模最大，但实际出资仅为匹配双向损益所需金额的 11%，是流域损益错配、议价失衡的核心区域，现行《江苏省长江流域横向生态补偿实施细则》仅采用固定定额模式，未落实财资环〔2025〕49 号受益付费、损益对等核算要求</w:t>
      </w:r>
      <m:oMath>
        <m:sSup>
          <m:sSupPr/>
          <m:e/>
          <m:sup>
            <m:r>
              <m:rPr/>
              <w:rPr>
                <w:rFonts w:ascii="Cambria Math" w:hAnsi="Cambria Math"/>
              </w:rPr>
              <m:t>[3][15]</m:t>
            </m:r>
          </m:sup>
        </m:sSup>
      </m:oMath>
      <w:r>
        <w:rPr>
          <w:rFonts w:ascii="Arial" w:hAnsi="Arial" w:eastAsia="等线" w:cs="Arial"/>
          <w:sz w:val="22"/>
        </w:rPr>
        <w:t>。结合我国财政均衡发展要求，后续校准测算可加入财政自给率修正系数，在国际标尺基础上兼顾区域财力公平。</w:t>
      </w:r>
    </w:p>
    <w:p w14:paraId="01E7971B">
      <w:pPr>
        <w:spacing w:before="300" w:after="120" w:line="288" w:lineRule="auto"/>
        <w:ind w:left="0"/>
        <w:jc w:val="left"/>
        <w:outlineLvl w:val="2"/>
      </w:pPr>
      <w:bookmarkStart w:id="28" w:name="heading_28"/>
      <w:r>
        <w:rPr>
          <w:rFonts w:ascii="Arial" w:hAnsi="Arial" w:eastAsia="等线" w:cs="Arial"/>
          <w:b/>
          <w:sz w:val="30"/>
        </w:rPr>
        <w:t>（四）稳健性检验汇总</w:t>
      </w:r>
      <w:bookmarkEnd w:id="28"/>
    </w:p>
    <w:p w14:paraId="3E68ABE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第一，截面均值模型：议价失衡指标</w:t>
      </w:r>
      <m:oMath>
        <m:sSub>
          <m:sSubPr/>
          <m:e>
            <m:r>
              <m:rPr/>
              <w:rPr>
                <w:rFonts w:ascii="Cambria Math" w:hAnsi="Cambria Math"/>
              </w:rPr>
              <m:t>λ</m:t>
            </m:r>
          </m:e>
          <m:sub>
            <m:r>
              <m:rPr/>
              <w:rPr>
                <w:rFonts w:ascii="Cambria Math" w:hAnsi="Cambria Math"/>
              </w:rPr>
              <m:t>μ</m:t>
            </m:r>
          </m:sub>
        </m:sSub>
        <m:r>
          <m:rPr/>
          <w:rPr>
            <w:rFonts w:ascii="Cambria Math" w:hAnsi="Cambria Math"/>
          </w:rPr>
          <m:t>=0.59</m:t>
        </m:r>
      </m:oMath>
      <w:r>
        <w:rPr>
          <w:rFonts w:ascii="Arial" w:hAnsi="Arial" w:eastAsia="等线" w:cs="Arial"/>
          <w:sz w:val="22"/>
        </w:rPr>
        <w:t>，下游势力占优、损益错配的核心结论不变；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第二，贝叶斯随机前沿：</w:t>
      </w:r>
      <m:oMath>
        <m:sSub>
          <m:sSubPr/>
          <m:e>
            <m:r>
              <m:rPr/>
              <w:rPr>
                <w:rFonts w:ascii="Cambria Math" w:hAnsi="Cambria Math"/>
              </w:rPr>
              <m:t>σ</m:t>
            </m:r>
          </m:e>
          <m:sub>
            <m:r>
              <m:rPr/>
              <w:rPr>
                <w:rFonts w:ascii="Cambria Math" w:hAnsi="Cambria Math"/>
              </w:rPr>
              <m:t>μ</m:t>
            </m:r>
          </m:sub>
        </m:sSub>
      </m:oMath>
      <w:r>
        <w:rPr>
          <w:rFonts w:ascii="Arial" w:hAnsi="Arial" w:eastAsia="等线" w:cs="Arial"/>
          <w:sz w:val="22"/>
        </w:rPr>
        <w:t>后验均值 0.71，95% 置信区间显著高于</w:t>
      </w:r>
      <m:oMath>
        <m:sSub>
          <m:sSubPr/>
          <m:e>
            <m:r>
              <m:rPr/>
              <w:rPr>
                <w:rFonts w:ascii="Cambria Math" w:hAnsi="Cambria Math"/>
              </w:rPr>
              <m:t>σ</m:t>
            </m:r>
          </m:e>
          <m:sub>
            <m:r>
              <m:rPr/>
              <w:rPr>
                <w:rFonts w:ascii="Cambria Math" w:hAnsi="Cambria Math"/>
              </w:rPr>
              <m:t>η</m:t>
            </m:r>
          </m:sub>
        </m:sSub>
      </m:oMath>
      <w:r>
        <w:rPr>
          <w:rFonts w:ascii="Arial" w:hAnsi="Arial" w:eastAsia="等线" w:cs="Arial"/>
          <w:sz w:val="22"/>
        </w:rPr>
        <w:t>，双向损益方差关系稳定；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第三，更换补偿强度指标：损益匹配、议价失衡测算方向未发生反转；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第四，安慰剂随机配对：随机打乱配对后</w:t>
      </w:r>
      <m:oMath>
        <m:sSub>
          <m:sSubPr/>
          <m:e>
            <m:r>
              <m:rPr/>
              <w:rPr>
                <w:rFonts w:ascii="Cambria Math" w:hAnsi="Cambria Math"/>
              </w:rPr>
              <m:t>λ</m:t>
            </m:r>
          </m:e>
          <m:sub>
            <m:r>
              <m:rPr/>
              <w:rPr>
                <w:rFonts w:ascii="Cambria Math" w:hAnsi="Cambria Math"/>
              </w:rPr>
              <m:t>μ</m:t>
            </m:r>
          </m:sub>
        </m:sSub>
      </m:oMath>
      <w:r>
        <w:rPr>
          <w:rFonts w:ascii="Arial" w:hAnsi="Arial" w:eastAsia="等线" w:cs="Arial"/>
          <w:sz w:val="22"/>
        </w:rPr>
        <w:t>均值趋近 0.5，无明显议价偏向，证明本文测算的下游优势、损益错配具备统计显著性。</w:t>
      </w:r>
    </w:p>
    <w:p w14:paraId="3FCE317E">
      <w:pPr>
        <w:spacing w:before="320" w:after="120" w:line="288" w:lineRule="auto"/>
        <w:ind w:left="0"/>
        <w:jc w:val="left"/>
        <w:outlineLvl w:val="1"/>
      </w:pPr>
      <w:bookmarkStart w:id="29" w:name="heading_29"/>
      <w:r>
        <w:rPr>
          <w:rFonts w:ascii="Arial" w:hAnsi="Arial" w:eastAsia="等线" w:cs="Arial"/>
          <w:b/>
          <w:sz w:val="32"/>
        </w:rPr>
        <w:t>六、基于损益匹配与议价均衡的补偿标准重构方案</w:t>
      </w:r>
      <w:bookmarkEnd w:id="29"/>
    </w:p>
    <w:p w14:paraId="172689D2">
      <w:pPr>
        <w:spacing w:before="300" w:after="120" w:line="288" w:lineRule="auto"/>
        <w:ind w:left="0"/>
        <w:jc w:val="left"/>
        <w:outlineLvl w:val="2"/>
      </w:pPr>
      <w:bookmarkStart w:id="30" w:name="heading_30"/>
      <w:r>
        <w:rPr>
          <w:rFonts w:ascii="Arial" w:hAnsi="Arial" w:eastAsia="等线" w:cs="Arial"/>
          <w:b/>
          <w:sz w:val="30"/>
        </w:rPr>
        <w:t>（一）上下游损益保留价区间（修复匹配关系基准）</w:t>
      </w:r>
      <w:bookmarkEnd w:id="30"/>
    </w:p>
    <w:p w14:paraId="05836A9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上游最低补偿标准（上游损益底线）：</w:t>
      </w:r>
      <w:r>
        <w:rPr>
          <w:rFonts w:ascii="Arial" w:hAnsi="Arial" w:eastAsia="等线" w:cs="Arial"/>
          <w:sz w:val="22"/>
        </w:rPr>
        <w:br w:type="textWrapping"/>
      </w:r>
      <m:oMathPara>
        <m:oMathParaPr>
          <m:jc m:val="left"/>
        </m:oMathParaPr>
        <m:oMath>
          <m:sSub>
            <m:sSubPr/>
            <m:e>
              <m:r>
                <m:rPr/>
                <w:rPr>
                  <w:rFonts w:ascii="Cambria Math" w:hAnsi="Cambria Math"/>
                </w:rPr>
                <m:t>T</m:t>
              </m:r>
            </m:e>
            <m:sub>
              <m:r>
                <m:rPr/>
                <w:rPr>
                  <w:rFonts w:ascii="Cambria Math" w:hAnsi="Cambria Math"/>
                </w:rPr>
                <m:t>min</m:t>
              </m:r>
            </m:sub>
          </m:sSub>
          <m:r>
            <m:rPr/>
            <w:rPr>
              <w:rFonts w:ascii="Cambria Math" w:hAnsi="Cambria Math"/>
            </w:rPr>
            <m:t>=α+Xβ+</m:t>
          </m:r>
          <m:rad>
            <m:radPr>
              <m:degHide m:val="1"/>
            </m:radPr>
            <m:deg/>
            <m:e>
              <m:f>
                <m:fPr/>
                <m:num>
                  <m:r>
                    <m:rPr/>
                    <w:rPr>
                      <w:rFonts w:ascii="Cambria Math" w:hAnsi="Cambria Math"/>
                    </w:rPr>
                    <m:t>2</m:t>
                  </m:r>
                </m:num>
                <m:den>
                  <m:r>
                    <m:rPr/>
                    <w:rPr>
                      <w:rFonts w:ascii="Cambria Math" w:hAnsi="Cambria Math"/>
                    </w:rPr>
                    <m:t>π</m:t>
                  </m:r>
                </m:den>
              </m:f>
            </m:e>
          </m:rad>
          <m:sSub>
            <m:sSubPr/>
            <m:e>
              <m:r>
                <m:rPr/>
                <w:rPr>
                  <w:rFonts w:ascii="Cambria Math" w:hAnsi="Cambria Math"/>
                </w:rPr>
                <m:t>σ</m:t>
              </m:r>
            </m:e>
            <m:sub>
              <m:r>
                <m:rPr/>
                <w:rPr>
                  <w:rFonts w:ascii="Cambria Math" w:hAnsi="Cambria Math"/>
                </w:rPr>
                <m:t>η</m:t>
              </m:r>
            </m:sub>
          </m:sSub>
        </m:oMath>
      </m:oMathPara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下游最高付费上限（下游损益天花板）：</w:t>
      </w:r>
      <w:r>
        <w:rPr>
          <w:rFonts w:ascii="Arial" w:hAnsi="Arial" w:eastAsia="等线" w:cs="Arial"/>
          <w:sz w:val="22"/>
        </w:rPr>
        <w:br w:type="textWrapping"/>
      </w:r>
      <m:oMathPara>
        <m:oMathParaPr>
          <m:jc m:val="left"/>
        </m:oMathParaPr>
        <m:oMath>
          <m:sSub>
            <m:sSubPr/>
            <m:e>
              <m:r>
                <m:rPr/>
                <w:rPr>
                  <w:rFonts w:ascii="Cambria Math" w:hAnsi="Cambria Math"/>
                </w:rPr>
                <m:t>T</m:t>
              </m:r>
            </m:e>
            <m:sub>
              <m:r>
                <m:rPr/>
                <w:rPr>
                  <w:rFonts w:ascii="Cambria Math" w:hAnsi="Cambria Math"/>
                </w:rPr>
                <m:t>max</m:t>
              </m:r>
            </m:sub>
          </m:sSub>
          <m:r>
            <m:rPr/>
            <w:rPr>
              <w:rFonts w:ascii="Cambria Math" w:hAnsi="Cambria Math"/>
            </w:rPr>
            <m:t>=α+Xβ−</m:t>
          </m:r>
          <m:rad>
            <m:radPr>
              <m:degHide m:val="1"/>
            </m:radPr>
            <m:deg/>
            <m:e>
              <m:f>
                <m:fPr/>
                <m:num>
                  <m:r>
                    <m:rPr/>
                    <w:rPr>
                      <w:rFonts w:ascii="Cambria Math" w:hAnsi="Cambria Math"/>
                    </w:rPr>
                    <m:t>2</m:t>
                  </m:r>
                </m:num>
                <m:den>
                  <m:r>
                    <m:rPr/>
                    <w:rPr>
                      <w:rFonts w:ascii="Cambria Math" w:hAnsi="Cambria Math"/>
                    </w:rPr>
                    <m:t>π</m:t>
                  </m:r>
                </m:den>
              </m:f>
            </m:e>
          </m:rad>
          <m:sSub>
            <m:sSubPr/>
            <m:e>
              <m:r>
                <m:rPr/>
                <w:rPr>
                  <w:rFonts w:ascii="Cambria Math" w:hAnsi="Cambria Math"/>
                </w:rPr>
                <m:t>σ</m:t>
              </m:r>
            </m:e>
            <m:sub>
              <m:r>
                <m:rPr/>
                <w:rPr>
                  <w:rFonts w:ascii="Cambria Math" w:hAnsi="Cambria Math"/>
                </w:rPr>
                <m:t>μ</m:t>
              </m:r>
            </m:sub>
          </m:sSub>
        </m:oMath>
      </m:oMathPara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标准化测算显示，当前实际补偿金额更贴近下游损益上限区间，定价机制持续偏向下游利益，无法填平上下游损益缺口，是长期议价失衡、匹配度不足的直接成因。该区间定价框架可直接落地《生态保护补偿条例》“保护者合理成本足额补偿” 法定要求</w:t>
      </w:r>
      <m:oMath>
        <m:sSup>
          <m:sSupPr/>
          <m:e/>
          <m:sup>
            <m:r>
              <m:rPr/>
              <w:rPr>
                <w:rFonts w:ascii="Cambria Math" w:hAnsi="Cambria Math"/>
              </w:rPr>
              <m:t>[12]</m:t>
            </m:r>
          </m:sup>
        </m:sSup>
      </m:oMath>
      <w:r>
        <w:rPr>
          <w:rFonts w:ascii="Arial" w:hAnsi="Arial" w:eastAsia="等线" w:cs="Arial"/>
          <w:sz w:val="22"/>
        </w:rPr>
        <w:t>。</w:t>
      </w:r>
    </w:p>
    <w:p w14:paraId="784DA496">
      <w:pPr>
        <w:spacing w:before="300" w:after="120" w:line="288" w:lineRule="auto"/>
        <w:ind w:left="0"/>
        <w:jc w:val="left"/>
        <w:outlineLvl w:val="2"/>
      </w:pPr>
      <w:bookmarkStart w:id="31" w:name="heading_31"/>
      <w:r>
        <w:rPr>
          <w:rFonts w:ascii="Arial" w:hAnsi="Arial" w:eastAsia="等线" w:cs="Arial"/>
          <w:b/>
          <w:sz w:val="30"/>
        </w:rPr>
        <w:t>（二）对接财资环 49 号文的双向损益分摊核算表式</w:t>
      </w:r>
      <w:bookmarkEnd w:id="31"/>
    </w:p>
    <w:p w14:paraId="3F510CD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基于模型识别的单省上游年度损益</w:t>
      </w:r>
      <m:oMath>
        <m:sSub>
          <m:sSubPr/>
          <m:e>
            <m:r>
              <m:rPr/>
              <w:rPr>
                <w:rFonts w:ascii="Cambria Math" w:hAnsi="Cambria Math"/>
              </w:rPr>
              <m:t>η</m:t>
            </m:r>
          </m:e>
          <m:sub>
            <m:r>
              <m:rPr/>
              <w:rPr>
                <w:rFonts w:ascii="Cambria Math" w:hAnsi="Cambria Math"/>
              </w:rPr>
              <m:t>j</m:t>
            </m:r>
          </m:sub>
        </m:sSub>
      </m:oMath>
      <w:r>
        <w:rPr>
          <w:rFonts w:ascii="Arial" w:hAnsi="Arial" w:eastAsia="等线" w:cs="Arial"/>
          <w:sz w:val="22"/>
        </w:rPr>
        <w:t>、全流域下游总损益</w:t>
      </w:r>
      <m:oMath>
        <m:r>
          <m:rPr/>
          <w:rPr>
            <w:rFonts w:ascii="Cambria Math" w:hAnsi="Cambria Math"/>
          </w:rPr>
          <m:t>∑</m:t>
        </m:r>
        <m:sSub>
          <m:sSubPr/>
          <m:e>
            <m:r>
              <m:rPr/>
              <w:rPr>
                <w:rFonts w:ascii="Cambria Math" w:hAnsi="Cambria Math"/>
              </w:rPr>
              <m:t>μ</m:t>
            </m:r>
          </m:e>
          <m:sub>
            <m:r>
              <m:rPr/>
              <w:rPr>
                <w:rFonts w:ascii="Cambria Math" w:hAnsi="Cambria Math"/>
              </w:rPr>
              <m:t>i</m:t>
            </m:r>
          </m:sub>
        </m:sSub>
      </m:oMath>
      <w:r>
        <w:rPr>
          <w:rFonts w:ascii="Arial" w:hAnsi="Arial" w:eastAsia="等线" w:cs="Arial"/>
          <w:sz w:val="22"/>
        </w:rPr>
        <w:t>，搭建兼顾双向损益匹配的分省出资公式：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下游</w:t>
      </w:r>
      <m:oMath>
        <m:r>
          <m:rPr/>
          <w:rPr>
            <w:rFonts w:ascii="Cambria Math" w:hAnsi="Cambria Math"/>
          </w:rPr>
          <m:t>i</m:t>
        </m:r>
      </m:oMath>
      <w:r>
        <w:rPr>
          <w:rFonts w:ascii="Arial" w:hAnsi="Arial" w:eastAsia="等线" w:cs="Arial"/>
          <w:sz w:val="22"/>
        </w:rPr>
        <w:t>向上游</w:t>
      </w:r>
      <m:oMath>
        <m:r>
          <m:rPr/>
          <w:rPr>
            <w:rFonts w:ascii="Cambria Math" w:hAnsi="Cambria Math"/>
          </w:rPr>
          <m:t>j</m:t>
        </m:r>
      </m:oMath>
      <w:r>
        <w:rPr>
          <w:rFonts w:ascii="Arial" w:hAnsi="Arial" w:eastAsia="等线" w:cs="Arial"/>
          <w:sz w:val="22"/>
        </w:rPr>
        <w:t>建议出资额</w:t>
      </w:r>
      <m:oMath>
        <m:r>
          <m:rPr/>
          <w:rPr>
            <w:rFonts w:ascii="Cambria Math" w:hAnsi="Cambria Math"/>
          </w:rPr>
          <m:t>=</m:t>
        </m:r>
        <m:sSub>
          <m:sSubPr/>
          <m:e>
            <m:r>
              <m:rPr/>
              <w:rPr>
                <w:rFonts w:ascii="Cambria Math" w:hAnsi="Cambria Math"/>
              </w:rPr>
              <m:t>η</m:t>
            </m:r>
          </m:e>
          <m:sub>
            <m:r>
              <m:rPr/>
              <w:rPr>
                <w:rFonts w:ascii="Cambria Math" w:hAnsi="Cambria Math"/>
              </w:rPr>
              <m:t>j</m:t>
            </m:r>
          </m:sub>
        </m:sSub>
        <m:r>
          <m:rPr/>
          <w:rPr>
            <w:rFonts w:ascii="Cambria Math" w:hAnsi="Cambria Math"/>
          </w:rPr>
          <m:t>×</m:t>
        </m:r>
        <m:f>
          <m:fPr/>
          <m:num>
            <m:sSub>
              <m:sSubPr/>
              <m:e>
                <m:r>
                  <m:rPr/>
                  <w:rPr>
                    <w:rFonts w:ascii="Cambria Math" w:hAnsi="Cambria Math"/>
                  </w:rPr>
                  <m:t>μ</m:t>
                </m:r>
              </m:e>
              <m:sub>
                <m:r>
                  <m:rPr/>
                  <w:rPr>
                    <w:rFonts w:ascii="Cambria Math" w:hAnsi="Cambria Math"/>
                  </w:rPr>
                  <m:t>i</m:t>
                </m:r>
              </m:sub>
            </m:sSub>
          </m:num>
          <m:den>
            <m:r>
              <m:rPr/>
              <w:rPr>
                <w:rFonts w:ascii="Cambria Math" w:hAnsi="Cambria Math"/>
              </w:rPr>
              <m:t>∑</m:t>
            </m:r>
            <m:sSub>
              <m:sSubPr/>
              <m:e>
                <m:r>
                  <m:rPr/>
                  <w:rPr>
                    <w:rFonts w:ascii="Cambria Math" w:hAnsi="Cambria Math"/>
                  </w:rPr>
                  <m:t>μ</m:t>
                </m:r>
              </m:e>
              <m:sub>
                <m:r>
                  <m:rPr/>
                  <w:rPr>
                    <w:rFonts w:ascii="Cambria Math" w:hAnsi="Cambria Math"/>
                  </w:rPr>
                  <m:t>i</m:t>
                </m:r>
              </m:sub>
            </m:sSub>
          </m:den>
        </m:f>
      </m:oMath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该公式同步纳入上游保护损失、下游生态红利双向损益指标，落地财资环〔2025〕49 号保护成本、水质收益双维度核算硬性要求，为依托国际标尺校准分摊金额提供标准化计算模板</w:t>
      </w:r>
      <m:oMath>
        <m:sSup>
          <m:sSupPr/>
          <m:e/>
          <m:sup>
            <m:r>
              <m:rPr/>
              <w:rPr>
                <w:rFonts w:ascii="Cambria Math" w:hAnsi="Cambria Math"/>
              </w:rPr>
              <m:t>[3]</m:t>
            </m:r>
          </m:sup>
        </m:sSup>
      </m:oMath>
      <w:r>
        <w:rPr>
          <w:rFonts w:ascii="Arial" w:hAnsi="Arial" w:eastAsia="等线" w:cs="Arial"/>
          <w:sz w:val="22"/>
        </w:rPr>
        <w:t>。</w:t>
      </w:r>
    </w:p>
    <w:p w14:paraId="062143CF">
      <w:pPr>
        <w:spacing w:before="300" w:after="120" w:line="288" w:lineRule="auto"/>
        <w:ind w:left="0"/>
        <w:jc w:val="left"/>
        <w:outlineLvl w:val="2"/>
      </w:pPr>
      <w:bookmarkStart w:id="32" w:name="heading_32"/>
      <w:r>
        <w:rPr>
          <w:rFonts w:ascii="Arial" w:hAnsi="Arial" w:eastAsia="等线" w:cs="Arial"/>
          <w:b/>
          <w:sz w:val="30"/>
        </w:rPr>
        <w:t>（三）三年动态评估：损益匹配度常态化更新流程</w:t>
      </w:r>
      <w:bookmarkEnd w:id="32"/>
    </w:p>
    <w:p w14:paraId="09F63F9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依托时变双向损益函数</w:t>
      </w:r>
      <m:oMath>
        <m:r>
          <m:rPr/>
          <w:rPr>
            <w:rFonts w:ascii="Cambria Math" w:hAnsi="Cambria Math"/>
          </w:rPr>
          <m:t>η(t)</m:t>
        </m:r>
      </m:oMath>
      <w:r>
        <w:rPr>
          <w:rFonts w:ascii="Arial" w:hAnsi="Arial" w:eastAsia="等线" w:cs="Arial"/>
          <w:sz w:val="22"/>
        </w:rPr>
        <w:t>、</w:t>
      </w:r>
      <m:oMath>
        <m:r>
          <m:rPr/>
          <w:rPr>
            <w:rFonts w:ascii="Cambria Math" w:hAnsi="Cambria Math"/>
          </w:rPr>
          <m:t>μ(t)</m:t>
        </m:r>
      </m:oMath>
      <w:r>
        <w:rPr>
          <w:rFonts w:ascii="Arial" w:hAnsi="Arial" w:eastAsia="等线" w:cs="Arial"/>
          <w:sz w:val="22"/>
        </w:rPr>
        <w:t>，每三年更新</w:t>
      </w:r>
      <m:oMath>
        <m:sSub>
          <m:sSubPr/>
          <m:e>
            <m:r>
              <m:rPr/>
              <w:rPr>
                <w:rFonts w:ascii="Cambria Math" w:hAnsi="Cambria Math"/>
              </w:rPr>
              <m:t>σ</m:t>
            </m:r>
          </m:e>
          <m:sub>
            <m:r>
              <m:rPr/>
              <w:rPr>
                <w:rFonts w:ascii="Cambria Math" w:hAnsi="Cambria Math"/>
              </w:rPr>
              <m:t>η</m:t>
            </m:r>
          </m:sub>
        </m:sSub>
        <m:r>
          <m:rPr/>
          <w:rPr>
            <w:rFonts w:ascii="Cambria Math" w:hAnsi="Cambria Math"/>
          </w:rPr>
          <m:t>(t)</m:t>
        </m:r>
      </m:oMath>
      <w:r>
        <w:rPr>
          <w:rFonts w:ascii="Arial" w:hAnsi="Arial" w:eastAsia="等线" w:cs="Arial"/>
          <w:sz w:val="22"/>
        </w:rPr>
        <w:t>、</w:t>
      </w:r>
      <m:oMath>
        <m:sSub>
          <m:sSubPr/>
          <m:e>
            <m:r>
              <m:rPr/>
              <w:rPr>
                <w:rFonts w:ascii="Cambria Math" w:hAnsi="Cambria Math"/>
              </w:rPr>
              <m:t>σ</m:t>
            </m:r>
          </m:e>
          <m:sub>
            <m:r>
              <m:rPr/>
              <w:rPr>
                <w:rFonts w:ascii="Cambria Math" w:hAnsi="Cambria Math"/>
              </w:rPr>
              <m:t>μ</m:t>
            </m:r>
          </m:sub>
        </m:sSub>
        <m:r>
          <m:rPr/>
          <w:rPr>
            <w:rFonts w:ascii="Cambria Math" w:hAnsi="Cambria Math"/>
          </w:rPr>
          <m:t>(t)</m:t>
        </m:r>
      </m:oMath>
      <w:r>
        <w:rPr>
          <w:rFonts w:ascii="Arial" w:hAnsi="Arial" w:eastAsia="等线" w:cs="Arial"/>
          <w:sz w:val="22"/>
        </w:rPr>
        <w:t>，重新测算议价失衡指标与国际标尺分摊比例，动态修正分省补偿标准，持续缩小上下游损益差额，稳定缓和双边议价势力差距，完全匹配财资环〔2025〕50 号三年一轮政策评估机制</w:t>
      </w:r>
      <m:oMath>
        <m:sSup>
          <m:sSupPr/>
          <m:e/>
          <m:sup>
            <m:r>
              <m:rPr/>
              <w:rPr>
                <w:rFonts w:ascii="Cambria Math" w:hAnsi="Cambria Math"/>
              </w:rPr>
              <m:t>[2]</m:t>
            </m:r>
          </m:sup>
        </m:sSup>
      </m:oMath>
      <w:r>
        <w:rPr>
          <w:rFonts w:ascii="Arial" w:hAnsi="Arial" w:eastAsia="等线" w:cs="Arial"/>
          <w:sz w:val="22"/>
        </w:rPr>
        <w:t>。</w:t>
      </w:r>
    </w:p>
    <w:p w14:paraId="50C70798">
      <w:pPr>
        <w:spacing w:before="320" w:after="120" w:line="288" w:lineRule="auto"/>
        <w:ind w:left="0"/>
        <w:jc w:val="left"/>
        <w:outlineLvl w:val="1"/>
      </w:pPr>
      <w:bookmarkStart w:id="33" w:name="heading_33"/>
      <w:r>
        <w:rPr>
          <w:rFonts w:ascii="Arial" w:hAnsi="Arial" w:eastAsia="等线" w:cs="Arial"/>
          <w:b/>
          <w:sz w:val="32"/>
        </w:rPr>
        <w:t>七、政策优化路径（平衡损益匹配、消解议价失衡，对接 2027 统一补偿机制）</w:t>
      </w:r>
      <w:bookmarkEnd w:id="33"/>
    </w:p>
    <w:p w14:paraId="76465AEC">
      <w:pPr>
        <w:spacing w:before="300" w:after="120" w:line="288" w:lineRule="auto"/>
        <w:ind w:left="0"/>
        <w:jc w:val="left"/>
        <w:outlineLvl w:val="2"/>
      </w:pPr>
      <w:bookmarkStart w:id="34" w:name="heading_34"/>
      <w:r>
        <w:rPr>
          <w:rFonts w:ascii="Arial" w:hAnsi="Arial" w:eastAsia="等线" w:cs="Arial"/>
          <w:b/>
          <w:sz w:val="30"/>
        </w:rPr>
        <w:t>（一）立法层级升级：法定双向损益核算与国际标尺应用规则</w:t>
      </w:r>
      <w:bookmarkEnd w:id="34"/>
    </w:p>
    <w:p w14:paraId="6C12C42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莱茵河、科罗拉多河均依托刚性法律固化流域损益分摊标尺，当前长江补偿仅依托部门规范性文件，双向损益核算、分摊标准缺少上位法支撑。建议修订《中华人民共和国长江保护法》增设横向生态补偿独立专章，将上下游双向损益核算规则、国际流域标尺本土化校准方法、三年动态评估周期全部法定化；同步衔接《生态保护补偿条例》《预算法》厘清省际横向财政支出责任，从制度根源缓解长期损益错配、下游议价优势过大问题</w:t>
      </w:r>
      <m:oMath>
        <m:sSup>
          <m:sSupPr/>
          <m:e/>
          <m:sup>
            <m:r>
              <m:rPr/>
              <w:rPr>
                <w:rFonts w:ascii="Cambria Math" w:hAnsi="Cambria Math"/>
              </w:rPr>
              <m:t>[11][12]</m:t>
            </m:r>
          </m:sup>
        </m:sSup>
      </m:oMath>
      <w:r>
        <w:rPr>
          <w:rFonts w:ascii="Arial" w:hAnsi="Arial" w:eastAsia="等线" w:cs="Arial"/>
          <w:sz w:val="22"/>
        </w:rPr>
        <w:t>。</w:t>
      </w:r>
    </w:p>
    <w:p w14:paraId="130FEFC0">
      <w:pPr>
        <w:spacing w:before="300" w:after="120" w:line="288" w:lineRule="auto"/>
        <w:ind w:left="0"/>
        <w:jc w:val="left"/>
        <w:outlineLvl w:val="2"/>
      </w:pPr>
      <w:bookmarkStart w:id="35" w:name="heading_35"/>
      <w:r>
        <w:rPr>
          <w:rFonts w:ascii="Arial" w:hAnsi="Arial" w:eastAsia="等线" w:cs="Arial"/>
          <w:b/>
          <w:sz w:val="30"/>
        </w:rPr>
        <w:t>（二）核算机制改革：以双向损益为核心，依托国际标尺重构分摊规则</w:t>
      </w:r>
      <w:bookmarkEnd w:id="35"/>
    </w:p>
    <w:p w14:paraId="19B2AAD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废除单纯依靠地方谈判形成的固定定额模式，以双边随机前沿测算的上下游损益规模为基础，沿用莱茵河受益分摊标尺确定苏 58: 沪 22: 皖 20 基准出资比例，落实财资环〔2025〕49 号 “谁受益、谁付费、按受益规模分摊” 原则</w:t>
      </w:r>
      <m:oMath>
        <m:sSup>
          <m:sSupPr/>
          <m:e/>
          <m:sup>
            <m:r>
              <m:rPr/>
              <w:rPr>
                <w:rFonts w:ascii="Cambria Math" w:hAnsi="Cambria Math"/>
              </w:rPr>
              <m:t>[3]</m:t>
            </m:r>
          </m:sup>
        </m:sSup>
      </m:oMath>
      <w:r>
        <w:rPr>
          <w:rFonts w:ascii="Arial" w:hAnsi="Arial" w:eastAsia="等线" w:cs="Arial"/>
          <w:sz w:val="22"/>
        </w:rPr>
        <w:t>。针对江苏大额损益缺口设置双阶段过渡方案：短期依靠中央引导资金补足损益差额，依托财资环〔2021〕25 号中央奖励资金政策</w:t>
      </w:r>
      <m:oMath>
        <m:sSup>
          <m:sSupPr/>
          <m:e/>
          <m:sup>
            <m:r>
              <m:rPr/>
              <w:rPr>
                <w:rFonts w:ascii="Cambria Math" w:hAnsi="Cambria Math"/>
              </w:rPr>
              <m:t>[10]</m:t>
            </m:r>
          </m:sup>
        </m:sSup>
      </m:oMath>
      <w:r>
        <w:rPr>
          <w:rFonts w:ascii="Arial" w:hAnsi="Arial" w:eastAsia="等线" w:cs="Arial"/>
          <w:sz w:val="22"/>
        </w:rPr>
        <w:t>；长期推动下游逐年提高出资标准，修订江苏、上海省级流域补偿管理办法，取消单一水质定额核算；远期在国际标尺基础上叠加财政自给率修正系数，兼顾损益对等与区域财力均衡。</w:t>
      </w:r>
    </w:p>
    <w:p w14:paraId="0D919DB9">
      <w:pPr>
        <w:spacing w:before="300" w:after="120" w:line="288" w:lineRule="auto"/>
        <w:ind w:left="0"/>
        <w:jc w:val="left"/>
        <w:outlineLvl w:val="2"/>
      </w:pPr>
      <w:bookmarkStart w:id="36" w:name="heading_36"/>
      <w:r>
        <w:rPr>
          <w:rFonts w:ascii="Arial" w:hAnsi="Arial" w:eastAsia="等线" w:cs="Arial"/>
          <w:b/>
          <w:sz w:val="30"/>
        </w:rPr>
        <w:t>（三）两段式议价制度：对标科罗拉多河标尺分层平衡双边损益</w:t>
      </w:r>
      <w:bookmarkEnd w:id="36"/>
    </w:p>
    <w:p w14:paraId="6B1ADC3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第一阶段兜底上游损益底线：依托《生态保护补偿条例》中央统筹权责，中央财政依据年度上游损益</w:t>
      </w:r>
      <m:oMath>
        <m:r>
          <m:rPr/>
          <w:rPr>
            <w:rFonts w:ascii="Cambria Math" w:hAnsi="Cambria Math"/>
          </w:rPr>
          <m:t>η(t)</m:t>
        </m:r>
      </m:oMath>
      <w:r>
        <w:rPr>
          <w:rFonts w:ascii="Arial" w:hAnsi="Arial" w:eastAsia="等线" w:cs="Arial"/>
          <w:sz w:val="22"/>
        </w:rPr>
        <w:t>设置最低补偿额度，对青海、西藏纯生态供给省份兜底 70% 资金，守住上游发展权益、缩小初始损益差距</w:t>
      </w:r>
      <m:oMath>
        <m:sSup>
          <m:sSupPr/>
          <m:e/>
          <m:sup>
            <m:r>
              <m:rPr/>
              <w:rPr>
                <w:rFonts w:ascii="Cambria Math" w:hAnsi="Cambria Math"/>
              </w:rPr>
              <m:t>[12]</m:t>
            </m:r>
          </m:sup>
        </m:sSup>
      </m:oMath>
      <w:r>
        <w:rPr>
          <w:rFonts w:ascii="Arial" w:hAnsi="Arial" w:eastAsia="等线" w:cs="Arial"/>
          <w:sz w:val="22"/>
        </w:rPr>
        <w:t>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第二阶段市场化调节下游付费空间：下游省市在自身生态损益上限</w:t>
      </w:r>
      <m:oMath>
        <m:r>
          <m:rPr/>
          <w:rPr>
            <w:rFonts w:ascii="Cambria Math" w:hAnsi="Cambria Math"/>
          </w:rPr>
          <m:t>μ(t)</m:t>
        </m:r>
      </m:oMath>
      <w:r>
        <w:rPr>
          <w:rFonts w:ascii="Arial" w:hAnsi="Arial" w:eastAsia="等线" w:cs="Arial"/>
          <w:sz w:val="22"/>
        </w:rPr>
        <w:t>内竞争性认领上游补偿额度，通过市场化博弈适度弱化下游天然议价优势，平衡流域双向损益，契合财资环〔2025〕49 号市场化多元化补偿改革导向</w:t>
      </w:r>
      <m:oMath>
        <m:sSup>
          <m:sSupPr/>
          <m:e/>
          <m:sup>
            <m:r>
              <m:rPr/>
              <w:rPr>
                <w:rFonts w:ascii="Cambria Math" w:hAnsi="Cambria Math"/>
              </w:rPr>
              <m:t>[3]</m:t>
            </m:r>
          </m:sup>
        </m:sSup>
      </m:oMath>
      <w:r>
        <w:rPr>
          <w:rFonts w:ascii="Arial" w:hAnsi="Arial" w:eastAsia="等线" w:cs="Arial"/>
          <w:sz w:val="22"/>
        </w:rPr>
        <w:t>。后续可通过机制设计模拟中央兜底与市场竞价的资金配比，规避政策挤出效应。</w:t>
      </w:r>
    </w:p>
    <w:p w14:paraId="42CDC7B7">
      <w:pPr>
        <w:spacing w:before="300" w:after="120" w:line="288" w:lineRule="auto"/>
        <w:ind w:left="0"/>
        <w:jc w:val="left"/>
        <w:outlineLvl w:val="2"/>
      </w:pPr>
      <w:bookmarkStart w:id="37" w:name="heading_37"/>
      <w:r>
        <w:rPr>
          <w:rFonts w:ascii="Arial" w:hAnsi="Arial" w:eastAsia="等线" w:cs="Arial"/>
          <w:b/>
          <w:sz w:val="30"/>
        </w:rPr>
        <w:t>（四）治理机构重塑：法人平台统一管理损益核算与标尺校准工作</w:t>
      </w:r>
      <w:bookmarkEnd w:id="37"/>
    </w:p>
    <w:p w14:paraId="272AAD5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对标莱茵河 ICPR 法人治理标尺，依托长江水利委员会设立事业单位法人资格的长江横向补偿委员会，专职承担三项核心工作：一是统一监测核算全流域上下游年度损益，落实财资环〔2025〕50 号全流域统一监测核算要求</w:t>
      </w:r>
      <m:oMath>
        <m:sSup>
          <m:sSupPr/>
          <m:e/>
          <m:sup>
            <m:r>
              <m:rPr/>
              <w:rPr>
                <w:rFonts w:ascii="Cambria Math" w:hAnsi="Cambria Math"/>
              </w:rPr>
              <m:t>[2]</m:t>
            </m:r>
          </m:sup>
        </m:sSup>
      </m:oMath>
      <w:r>
        <w:rPr>
          <w:rFonts w:ascii="Arial" w:hAnsi="Arial" w:eastAsia="等线" w:cs="Arial"/>
          <w:sz w:val="22"/>
        </w:rPr>
        <w:t>；二是每三年依托国际流域标尺更新分省分摊比例；三是调解补偿协议博弈纠纷，弱化地方单方面议价优势，从治理层面缓和议价失衡，为 2027 年统一补偿机制提供组织载体。</w:t>
      </w:r>
    </w:p>
    <w:p w14:paraId="1E9B61F6">
      <w:pPr>
        <w:spacing w:before="300" w:after="120" w:line="288" w:lineRule="auto"/>
        <w:ind w:left="0"/>
        <w:jc w:val="left"/>
        <w:outlineLvl w:val="2"/>
      </w:pPr>
      <w:bookmarkStart w:id="38" w:name="heading_38"/>
      <w:r>
        <w:rPr>
          <w:rFonts w:ascii="Arial" w:hAnsi="Arial" w:eastAsia="等线" w:cs="Arial"/>
          <w:b/>
          <w:sz w:val="30"/>
        </w:rPr>
        <w:t>（五）市场化延伸：依托 PES 机制动态平衡流域生态损益</w:t>
      </w:r>
      <w:bookmarkEnd w:id="38"/>
    </w:p>
    <w:p w14:paraId="4B15D89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遵循 OECD-PES 条件支付标尺，将上游完成生态管控、形成真实发展损益作为下游付费前置条件，在苏川、沪渝试点长江生态产品交易所，打包水质、水量、碳汇标准化交易单元。市场化付费作为财政补偿补充，动态调整上下游资金流动，持续缩小长期损益错配，配套《生态保护补偿条例》生态产品价值实现相关条款推进落地</w:t>
      </w:r>
      <m:oMath>
        <m:sSup>
          <m:sSupPr/>
          <m:e/>
          <m:sup>
            <m:r>
              <m:rPr/>
              <w:rPr>
                <w:rFonts w:ascii="Cambria Math" w:hAnsi="Cambria Math"/>
              </w:rPr>
              <m:t>[4][12]</m:t>
            </m:r>
          </m:sup>
        </m:sSup>
      </m:oMath>
      <w:r>
        <w:rPr>
          <w:rFonts w:ascii="Arial" w:hAnsi="Arial" w:eastAsia="等线" w:cs="Arial"/>
          <w:sz w:val="22"/>
        </w:rPr>
        <w:t>。</w:t>
      </w:r>
    </w:p>
    <w:p w14:paraId="08CD4142">
      <w:pPr>
        <w:spacing w:before="320" w:after="120" w:line="288" w:lineRule="auto"/>
        <w:ind w:left="0"/>
        <w:jc w:val="left"/>
        <w:outlineLvl w:val="1"/>
      </w:pPr>
      <w:bookmarkStart w:id="39" w:name="heading_39"/>
      <w:r>
        <w:rPr>
          <w:rFonts w:ascii="Arial" w:hAnsi="Arial" w:eastAsia="等线" w:cs="Arial"/>
          <w:b/>
          <w:sz w:val="32"/>
        </w:rPr>
        <w:t>八、结论与研究拓展方向</w:t>
      </w:r>
      <w:bookmarkEnd w:id="39"/>
    </w:p>
    <w:p w14:paraId="64F45842">
      <w:pPr>
        <w:spacing w:before="300" w:after="120" w:line="288" w:lineRule="auto"/>
        <w:ind w:left="0"/>
        <w:jc w:val="left"/>
        <w:outlineLvl w:val="2"/>
      </w:pPr>
      <w:bookmarkStart w:id="40" w:name="heading_40"/>
      <w:r>
        <w:rPr>
          <w:rFonts w:ascii="Arial" w:hAnsi="Arial" w:eastAsia="等线" w:cs="Arial"/>
          <w:b/>
          <w:sz w:val="30"/>
        </w:rPr>
        <w:t>（一）核心研究结论</w:t>
      </w:r>
      <w:bookmarkEnd w:id="40"/>
    </w:p>
    <w:p w14:paraId="0F27949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第一，当前长江横向生态补偿存在显著损益错配与议价失衡，下游议价能力达 0.63，六成以上博弈剩余由下游获取，上游生态保护损失无法足额对冲，双向生态损益长期不匹配，现有省级定额补偿办法与《生态保护补偿条例》权责对等要求存在偏差</w:t>
      </w:r>
      <m:oMath>
        <m:sSup>
          <m:sSupPr/>
          <m:e/>
          <m:sup>
            <m:r>
              <m:rPr/>
              <w:rPr>
                <w:rFonts w:ascii="Cambria Math" w:hAnsi="Cambria Math"/>
              </w:rPr>
              <m:t>[12]</m:t>
            </m:r>
          </m:sup>
        </m:sSup>
      </m:oMath>
      <w:r>
        <w:rPr>
          <w:rFonts w:ascii="Arial" w:hAnsi="Arial" w:eastAsia="等线" w:cs="Arial"/>
          <w:sz w:val="22"/>
        </w:rPr>
        <w:t>。</w:t>
      </w:r>
    </w:p>
    <w:p w14:paraId="6D69827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第二，动态测算显示上游损益逐年扩张、下游边际红利持续衰减，损益匹配程度不断走低，计量结果验证财资环〔2025〕50 号文件设立三年动态评估调整周期的政策科学性与必要性</w:t>
      </w:r>
      <m:oMath>
        <m:sSup>
          <m:sSupPr/>
          <m:e/>
          <m:sup>
            <m:r>
              <m:rPr/>
              <w:rPr>
                <w:rFonts w:ascii="Cambria Math" w:hAnsi="Cambria Math"/>
              </w:rPr>
              <m:t>[2]</m:t>
            </m:r>
          </m:sup>
        </m:sSup>
      </m:oMath>
      <w:r>
        <w:rPr>
          <w:rFonts w:ascii="Arial" w:hAnsi="Arial" w:eastAsia="等线" w:cs="Arial"/>
          <w:sz w:val="22"/>
        </w:rPr>
        <w:t>。</w:t>
      </w:r>
    </w:p>
    <w:p w14:paraId="5FFF0B9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第三，引入莱茵河国际流域标尺校准后，2025 年流域匹配双向损益所需总补偿资金 81 亿元，现实到位资金仅 32 亿元，整体损益缺口 60.5%；江苏省作为最大受益主体出资严重不足，是政策改革重点优化对象。</w:t>
      </w:r>
    </w:p>
    <w:p w14:paraId="6FB2008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第四，需要从立法完善、双向损益核算、分层议价、法人流域治理平台、市场化生态付费五个维度系统改革，以双向损益对等为核心、国际流域标尺为校准工具，消解长期议价失衡，搭建适配 2027 年统一补偿机制的制度框架，全面落地《长江保护法》、财资环〔2025〕49/50 号顶层政策目标</w:t>
      </w:r>
      <m:oMath>
        <m:sSup>
          <m:sSupPr/>
          <m:e/>
          <m:sup>
            <m:r>
              <m:rPr/>
              <w:rPr>
                <w:rFonts w:ascii="Cambria Math" w:hAnsi="Cambria Math"/>
              </w:rPr>
              <m:t>[2][3][11]</m:t>
            </m:r>
          </m:sup>
        </m:sSup>
      </m:oMath>
      <w:r>
        <w:rPr>
          <w:rFonts w:ascii="Arial" w:hAnsi="Arial" w:eastAsia="等线" w:cs="Arial"/>
          <w:sz w:val="22"/>
        </w:rPr>
        <w:t>。</w:t>
      </w:r>
    </w:p>
    <w:p w14:paraId="7A32CC61">
      <w:pPr>
        <w:spacing w:before="300" w:after="120" w:line="288" w:lineRule="auto"/>
        <w:ind w:left="0"/>
        <w:jc w:val="left"/>
        <w:outlineLvl w:val="2"/>
      </w:pPr>
      <w:bookmarkStart w:id="41" w:name="heading_41"/>
      <w:r>
        <w:rPr>
          <w:rFonts w:ascii="Arial" w:hAnsi="Arial" w:eastAsia="等线" w:cs="Arial"/>
          <w:b/>
          <w:sz w:val="30"/>
        </w:rPr>
        <w:t>（二）后续研究拓展方向</w:t>
      </w:r>
      <w:bookmarkEnd w:id="41"/>
    </w:p>
    <w:p w14:paraId="473894C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本文为保障双边随机前沿模型识别收敛，对博弈主体、多维度生态损益、模型时变形式做适度简化，后续可围绕四大主线深化研究：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其一，计量模型优化。改进随机前沿分布假设，构建联立模型缓解双向损益内生关联，引入分段时变参数捕捉《长江保护法》、财资环系列文件等政策冲击，提升损益匹配、议价失衡测算精度。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其二，损益核算拓展。纳入农牧损失、生物多样性、居民健康等多元生态损益，构建生态服务流空间模型，优化国际标尺本土化校准权重，对接国家政策 “三水统筹、全要素核算” 改革方向。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其三，制度对标深化。对比莱茵河、科罗拉多河、长江三套流域标尺的损益分摊逻辑，构建适配我国央地统筹体制的本土化补偿核算体系，为各级财政、生态环境部门提供标准化操作手册。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其四，政策追踪评估。2027 年统一机制落地后，采用 DID 模型评估制度改革对缩小损益缺口、缓和议价失衡的实际效果，检验财资环〔2025〕50 号政策实施绩效</w:t>
      </w:r>
      <m:oMath>
        <m:sSup>
          <m:sSupPr/>
          <m:e/>
          <m:sup>
            <m:r>
              <m:rPr/>
              <w:rPr>
                <w:rFonts w:ascii="Cambria Math" w:hAnsi="Cambria Math"/>
              </w:rPr>
              <m:t>[2]</m:t>
            </m:r>
          </m:sup>
        </m:sSup>
      </m:oMath>
      <w:r>
        <w:rPr>
          <w:rFonts w:ascii="Arial" w:hAnsi="Arial" w:eastAsia="等线" w:cs="Arial"/>
          <w:sz w:val="22"/>
        </w:rPr>
        <w:t>。</w:t>
      </w:r>
    </w:p>
    <w:p w14:paraId="7733460E">
      <w:pPr>
        <w:spacing w:before="380" w:after="140" w:line="288" w:lineRule="auto"/>
        <w:ind w:left="0"/>
        <w:jc w:val="left"/>
        <w:outlineLvl w:val="0"/>
      </w:pPr>
      <w:bookmarkStart w:id="42" w:name="heading_42"/>
      <w:r>
        <w:rPr>
          <w:rFonts w:ascii="Arial" w:hAnsi="Arial" w:eastAsia="等线" w:cs="Arial"/>
          <w:b/>
          <w:sz w:val="36"/>
        </w:rPr>
        <w:t>参考文献（《社会科学研究》顺序编码制，GB/T7714-2015）</w:t>
      </w:r>
      <w:bookmarkEnd w:id="42"/>
    </w:p>
    <w:p w14:paraId="47A6D86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[1] Kumbhakar S C, Parmeter C F. The effects of match uncertainty and bargaining on labor market outcomes: evidence from firm and worker specific estimates [J]. Journal of Productivity Analysis,2009,31 (2):133-146.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[2] 财政部，生态环境部，国家发展改革委，等。财资环〔2025〕50 号 关于深入推进大江大河干流横向生态保护补偿机制建设的实施方案 [Z].2025.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[3] 财政部，生态环境部，国家发展改革委，等。财资环〔2025〕49 号 关于进一步健全横向生态保护补偿机制的意见 [Z].2025.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[4] Wunder S. Revisiting the concept of payments for environmental services [J]. Ecological Economics,2015,117:296-306.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[5] 张捷，李婧。新安江流域横向生态补偿政策绩效评估 —— 基于双重差分模型 [J]. 中国工业经济，2020 (08):136-154.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[6] 国家统计局.2024 年长江经济带发展统计监测报告 [R]. 北京：国家统计局，2025.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[7] 欧盟.2000/60/EC 欧盟水框架指令 [Z].2000.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[8] 保护莱茵河国际委员会.1999 保护莱茵河公约 [Z].1999.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[9] 刘桂环，王彬。流域生态补偿机会成本核算方法体系构建 [J]. 生态经济，2023,39 (04):162-169.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[10] 财政部，生态环境部，国家发展改革委，等。财资环〔2021〕25 号 支持长江全流域建立横向生态保护补偿机制的实施方案 [Z].2021.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[11] 全国人民代表大会常务委员会。中华人民共和国长江保护法 [Z].2021.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[12] 中华人民共和国国务院。生态保护补偿条例 [Z].2024.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[13] 国家发展改革委. “十四五” 长江经济带发展规划纲要 [Z].2021.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[14] 安徽省财政厅，安徽省生态环境厅。皖财资环〔2024〕770 号 安徽省长江流域横向生态保护补偿资金管理办法 [Z].2024.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[15] 江苏省财政厅。江苏省长江流域横向生态补偿实施细则（2025 修订）[Z].2025.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[16] 上海市财政局。上海市长江流域横向生态保护补偿资金管理实施办法 [Z].2022.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[17] 重庆市财政局。重庆市深化市内流域横向生态保护补偿机制实施方案（2024 跨省修订版）[Z].2024.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[18] 四川省财政厅。川渝跨省流域横向生态补偿实施方案（第二轮）[Z].2024.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[19] 中共中央，国务院。中华人民共和国国民经济和社会发展第十五个五年规划纲要 [Z].2026.</w:t>
      </w:r>
    </w:p>
    <w:p w14:paraId="0DA50F9E">
      <w:pPr>
        <w:spacing w:before="380" w:after="140" w:line="288" w:lineRule="auto"/>
        <w:ind w:left="0"/>
        <w:jc w:val="left"/>
        <w:outlineLvl w:val="0"/>
      </w:pPr>
      <w:bookmarkStart w:id="43" w:name="heading_43"/>
      <w:r>
        <w:rPr>
          <w:rFonts w:ascii="Arial" w:hAnsi="Arial" w:eastAsia="等线" w:cs="Arial"/>
          <w:b/>
          <w:sz w:val="36"/>
        </w:rPr>
        <w:t>附录</w:t>
      </w:r>
      <w:bookmarkEnd w:id="43"/>
    </w:p>
    <w:p w14:paraId="2A05948A">
      <w:pPr>
        <w:spacing w:before="320" w:after="120" w:line="288" w:lineRule="auto"/>
        <w:ind w:left="0"/>
        <w:jc w:val="left"/>
        <w:outlineLvl w:val="1"/>
      </w:pPr>
      <w:bookmarkStart w:id="44" w:name="heading_44"/>
      <w:r>
        <w:rPr>
          <w:rFonts w:ascii="Arial" w:hAnsi="Arial" w:eastAsia="等线" w:cs="Arial"/>
          <w:b/>
          <w:sz w:val="32"/>
        </w:rPr>
        <w:t>附录 A 双边随机前沿损益、议价指标测算 Stata 代码</w:t>
      </w:r>
      <w:bookmarkEnd w:id="44"/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749999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BE884D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stata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*设定面板标识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xtset pair_id year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*双边随机前沿模型，两层无效率项，时变无效率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sfpanel T Redline IndLoss EnvReg GTFP WaterSec HighH2O GDPpc_i Fiscal_i, model(two-tier) uhet(Redline IndLoss) vhet(GTFP WaterSec) distribution(hnormal) timevar(year) tvd(eta delta_eta mu delta_mu) save(lambda,replace)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*提取方差参数计算议价权重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scalar lambda_eta = e(sigma_u)/(e(sigma_u)+e(sigma_v))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scalar lambda_mu = e(sigma_v)/(e(sigma_u)+e(sigma_v))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*输出议价势力测算结果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display "上游议价权重lambda_eta = " lambda_eta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display "下游议价权重lambda_mu = " lambda_mu</w:t>
            </w:r>
          </w:p>
        </w:tc>
      </w:tr>
    </w:tbl>
    <w:p w14:paraId="348826CA">
      <w:pPr>
        <w:spacing w:before="320" w:after="120" w:line="288" w:lineRule="auto"/>
        <w:ind w:left="0"/>
        <w:jc w:val="left"/>
        <w:outlineLvl w:val="1"/>
      </w:pPr>
      <w:bookmarkStart w:id="45" w:name="heading_45"/>
      <w:r>
        <w:rPr>
          <w:rFonts w:ascii="Arial" w:hAnsi="Arial" w:eastAsia="等线" w:cs="Arial"/>
          <w:b/>
          <w:sz w:val="32"/>
        </w:rPr>
        <w:t>附录 B 长江 28 组上下游配对完整清单</w:t>
      </w:r>
      <w:bookmarkEnd w:id="45"/>
    </w:p>
    <w:p w14:paraId="25A835F7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江苏 — 青海  2. 江苏 — 西藏  3. 江苏 — 四川  4. 江苏 — 云南  5. 江苏 — 重庆  6. 江苏 — 湖南  7. 江苏 — 江西</w:t>
      </w:r>
    </w:p>
    <w:p w14:paraId="1D543E03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上海 — 青海  9. 上海 — 西藏  10. 上海 — 四川  11. 上海 — 云南  12. 上海 — 重庆  13. 上海 — 湖南  14. 上海 — 江西</w:t>
      </w:r>
    </w:p>
    <w:p w14:paraId="05A9FA06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安徽 — 青海  16. 安徽 — 西藏  17. 安徽 — 四川  18. 安徽 — 云南  19. 安徽 — 重庆  20. 安徽 — 湖南  21. 安徽 — 江西</w:t>
      </w:r>
    </w:p>
    <w:p w14:paraId="3C30FF65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江苏 — 四川（次级配对） 23. 江苏 — 重庆（次级配对） 24. 上海 — 四川（次级配对）</w:t>
      </w:r>
    </w:p>
    <w:p w14:paraId="0EE62DDB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上海 — 江西（次级配对） 26. 安徽 — 湖南（次级配对） 27. 安徽 — 江西（次级配对） 28. 江苏 — 湖南（次级配对）</w:t>
      </w:r>
    </w:p>
    <w:p w14:paraId="4CD6909F">
      <w:pPr>
        <w:spacing w:before="320" w:after="120" w:line="288" w:lineRule="auto"/>
        <w:ind w:left="0"/>
        <w:jc w:val="left"/>
        <w:outlineLvl w:val="1"/>
      </w:pPr>
      <w:bookmarkStart w:id="46" w:name="heading_46"/>
      <w:r>
        <w:rPr>
          <w:rFonts w:ascii="Arial" w:hAnsi="Arial" w:eastAsia="等线" w:cs="Arial"/>
          <w:b/>
          <w:sz w:val="32"/>
        </w:rPr>
        <w:t>附录 C 上游机会成本、下游生态损益全套测算流程（MaxDEA+R 双软件）</w:t>
      </w:r>
      <w:bookmarkEnd w:id="46"/>
    </w:p>
    <w:p w14:paraId="0AE6123E">
      <w:pPr>
        <w:spacing w:before="300" w:after="120" w:line="288" w:lineRule="auto"/>
        <w:ind w:left="0"/>
        <w:jc w:val="left"/>
        <w:outlineLvl w:val="2"/>
      </w:pPr>
      <w:bookmarkStart w:id="47" w:name="heading_47"/>
      <w:r>
        <w:rPr>
          <w:rFonts w:ascii="Arial" w:hAnsi="Arial" w:eastAsia="等线" w:cs="Arial"/>
          <w:b/>
          <w:sz w:val="30"/>
        </w:rPr>
        <w:t>1. 下游绿色全要素生产率 GTFP 测算（MaxDEA）</w:t>
      </w:r>
      <w:bookmarkEnd w:id="47"/>
    </w:p>
    <w:p w14:paraId="4C55A35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步骤 1：导入各省工业投入产出面板数据，投入指标：工业固定资产、从业人员、能源消耗；产出指标：工业增加值（期望产出）、COD、氨氮、总磷（非期望产出）；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步骤 2：选择 SBM-GML 全局前沿模型，设置规模报酬可变；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步骤 3：输出分省分年度 GTFP 指数，作为下游水质红利代理变量。</w:t>
      </w:r>
    </w:p>
    <w:p w14:paraId="351236EB">
      <w:pPr>
        <w:spacing w:before="300" w:after="120" w:line="288" w:lineRule="auto"/>
        <w:ind w:left="0"/>
        <w:jc w:val="left"/>
        <w:outlineLvl w:val="2"/>
      </w:pPr>
      <w:bookmarkStart w:id="48" w:name="heading_48"/>
      <w:r>
        <w:rPr>
          <w:rFonts w:ascii="Arial" w:hAnsi="Arial" w:eastAsia="等线" w:cs="Arial"/>
          <w:b/>
          <w:sz w:val="30"/>
        </w:rPr>
        <w:t>2. 上游工业机会成本测算（R 语言）</w:t>
      </w:r>
      <w:bookmarkEnd w:id="48"/>
    </w:p>
    <w:p w14:paraId="752BD51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步骤 1：整理各省生态红线面积、工业外资、工业增加值增速面板；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步骤 2：构建双向固定效应 DID 模型，识别生态规制对工业产值、外资的冲击系数；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步骤 3：以基准无约束产值减去规制约束后产值，得到年度工业发展损失 IndLoss；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步骤 4：生态红线占比 × 外资损失率得到 Redline 指标，标准化后纳入回归。</w:t>
      </w:r>
    </w:p>
    <w:p w14:paraId="590CC10A">
      <w:pPr>
        <w:spacing w:before="300" w:after="120" w:line="288" w:lineRule="auto"/>
        <w:ind w:left="0"/>
        <w:jc w:val="left"/>
        <w:outlineLvl w:val="2"/>
      </w:pPr>
      <w:bookmarkStart w:id="49" w:name="heading_49"/>
      <w:r>
        <w:rPr>
          <w:rFonts w:ascii="Arial" w:hAnsi="Arial" w:eastAsia="等线" w:cs="Arial"/>
          <w:b/>
          <w:sz w:val="30"/>
        </w:rPr>
        <w:t>3. 国际标尺受益权重测算（R 语言）</w:t>
      </w:r>
      <w:bookmarkEnd w:id="49"/>
    </w:p>
    <w:p w14:paraId="0B6473D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步骤 1：读取全国水资源公报分省工业用水量；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步骤 2：计算苏、沪、皖工业用水占下游总用水比重，得到 BenefShare 分摊权重；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步骤 3：结合全流域总损益，测算分省理论出资规模。</w:t>
      </w:r>
    </w:p>
    <w:p w14:paraId="712F4D44">
      <w:pPr>
        <w:spacing w:before="320" w:after="120" w:line="288" w:lineRule="auto"/>
        <w:ind w:left="0"/>
        <w:jc w:val="left"/>
        <w:outlineLvl w:val="1"/>
      </w:pPr>
      <w:bookmarkStart w:id="50" w:name="heading_50"/>
      <w:r>
        <w:rPr>
          <w:rFonts w:ascii="Arial" w:hAnsi="Arial" w:eastAsia="等线" w:cs="Arial"/>
          <w:b/>
          <w:sz w:val="32"/>
        </w:rPr>
        <w:t>附录 D 莱茵河、科罗拉多河国际流域标尺核心法条摘录</w:t>
      </w:r>
      <w:bookmarkEnd w:id="50"/>
    </w:p>
    <w:p w14:paraId="59D16F8D">
      <w:pPr>
        <w:spacing w:before="300" w:after="120" w:line="288" w:lineRule="auto"/>
        <w:ind w:left="0"/>
        <w:jc w:val="left"/>
        <w:outlineLvl w:val="2"/>
      </w:pPr>
      <w:bookmarkStart w:id="51" w:name="heading_51"/>
      <w:r>
        <w:rPr>
          <w:rFonts w:ascii="Arial" w:hAnsi="Arial" w:eastAsia="等线" w:cs="Arial"/>
          <w:b/>
          <w:sz w:val="30"/>
        </w:rPr>
        <w:t>一、1999《保护莱茵河公约》核心分摊条款</w:t>
      </w:r>
      <w:bookmarkEnd w:id="51"/>
    </w:p>
    <w:p w14:paraId="3775A40E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 7 条：流域治理成本依据各缔约方境内污染物排放贡献、水资源利用规模加权分摊；</w:t>
      </w:r>
    </w:p>
    <w:p w14:paraId="1ADF77A9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 12 条：每五年开展全流域生态损益评估，调整各国成本分摊比例；</w:t>
      </w:r>
    </w:p>
    <w:p w14:paraId="23956A34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附件 3：盐污染专项治理分摊系数：德国 30%、荷兰 34%、法国 30%、瑞士 6%。</w:t>
      </w:r>
    </w:p>
    <w:p w14:paraId="67EABE51">
      <w:pPr>
        <w:spacing w:before="300" w:after="120" w:line="288" w:lineRule="auto"/>
        <w:ind w:left="0"/>
        <w:jc w:val="left"/>
        <w:outlineLvl w:val="2"/>
      </w:pPr>
      <w:bookmarkStart w:id="52" w:name="heading_52"/>
      <w:r>
        <w:rPr>
          <w:rFonts w:ascii="Arial" w:hAnsi="Arial" w:eastAsia="等线" w:cs="Arial"/>
          <w:b/>
          <w:sz w:val="30"/>
        </w:rPr>
        <w:t>二、科罗拉多河 1922 分水契约 + 1973 水质法案关键条款</w:t>
      </w:r>
      <w:bookmarkEnd w:id="52"/>
    </w:p>
    <w:p w14:paraId="093ABF34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1922 契约第 3 款：上游流域保有基础生态流量用水权，下游用水额度不得损害上游水源涵养权益；</w:t>
      </w:r>
    </w:p>
    <w:p w14:paraId="7E12EDB0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1973《科罗拉多河盐碱控制法案》：各受益州按工业、农业用水规模承担盐碱治理支出；</w:t>
      </w:r>
    </w:p>
    <w:p w14:paraId="795E87CA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年度水质考核阈值：省界河段氯离子、总溶解固体浓度设刚性上限，超标省份追加补偿资金。</w:t>
      </w:r>
    </w:p>
    <w:p w14:paraId="09B49F7C">
      <w:pPr>
        <w:spacing w:before="120" w:after="120" w:line="288" w:lineRule="auto"/>
        <w:ind w:left="0"/>
        <w:jc w:val="left"/>
      </w:pPr>
    </w:p>
    <w:sectPr>
      <w:footerReference r:id="rId3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AF1B6F">
    <w:r>
      <w:rPr>
        <w:sz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</wps:spPr>
                    <wps:txbx>
                      <w:txbxContent>
                        <w:p w14:paraId="259C57FB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vert="horz" wrap="none" lIns="0" tIns="0" rIns="0" bIns="0" anchor="t" anchorCtr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M6pebnPAAAABQEAAA8A&#10;AAAAAAAAAQAgAAAAIgAAAGRycy9kb3ducmV2LnhtbFBLAQIUABQAAAAIAIdO4kCziH4F5wEAAMcD&#10;AAAOAAAAAAAAAAEAIAAAAB4BAABkcnMvZTJvRG9jLnhtbFBLBQYAAAAABgAGAFkBAAB3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259C57FB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singleLevel"/>
    <w:tmpl w:val="9239341B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">
    <w:nsid w:val="B5E306ED"/>
    <w:multiLevelType w:val="singleLevel"/>
    <w:tmpl w:val="B5E306ED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">
    <w:nsid w:val="BF205925"/>
    <w:multiLevelType w:val="singleLevel"/>
    <w:tmpl w:val="BF205925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">
    <w:nsid w:val="C8879AEF"/>
    <w:multiLevelType w:val="singleLevel"/>
    <w:tmpl w:val="C8879AE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">
    <w:nsid w:val="CF092B84"/>
    <w:multiLevelType w:val="singleLevel"/>
    <w:tmpl w:val="CF092B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6">
    <w:nsid w:val="0248C179"/>
    <w:multiLevelType w:val="singleLevel"/>
    <w:tmpl w:val="0248C17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7">
    <w:nsid w:val="03D62ECE"/>
    <w:multiLevelType w:val="singleLevel"/>
    <w:tmpl w:val="03D62ECE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8">
    <w:nsid w:val="25B654F3"/>
    <w:multiLevelType w:val="singleLevel"/>
    <w:tmpl w:val="25B654F3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9">
    <w:nsid w:val="2A8F537B"/>
    <w:multiLevelType w:val="singleLevel"/>
    <w:tmpl w:val="2A8F537B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0">
    <w:nsid w:val="4D4DC07F"/>
    <w:multiLevelType w:val="singleLevel"/>
    <w:tmpl w:val="4D4DC07F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1">
    <w:nsid w:val="59ADCABA"/>
    <w:multiLevelType w:val="singleLevel"/>
    <w:tmpl w:val="59ADCAB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2">
    <w:nsid w:val="5A241D34"/>
    <w:multiLevelType w:val="singleLevel"/>
    <w:tmpl w:val="5A241D34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3">
    <w:nsid w:val="72183CF9"/>
    <w:multiLevelType w:val="singleLevel"/>
    <w:tmpl w:val="72183CF9"/>
    <w:lvl w:ilvl="0" w:tentative="0">
      <w:start w:val="5"/>
      <w:numFmt w:val="decimal"/>
      <w:lvlText w:val="%1."/>
      <w:lvlJc w:val="left"/>
      <w:rPr>
        <w:color w:val="3370FF"/>
      </w:rPr>
    </w:lvl>
  </w:abstractNum>
  <w:num w:numId="1">
    <w:abstractNumId w:val="5"/>
  </w:num>
  <w:num w:numId="2">
    <w:abstractNumId w:val="4"/>
  </w:num>
  <w:num w:numId="3">
    <w:abstractNumId w:val="11"/>
  </w:num>
  <w:num w:numId="4">
    <w:abstractNumId w:val="2"/>
  </w:num>
  <w:num w:numId="5">
    <w:abstractNumId w:val="1"/>
  </w:num>
  <w:num w:numId="6">
    <w:abstractNumId w:val="7"/>
  </w:num>
  <w:num w:numId="7">
    <w:abstractNumId w:val="8"/>
  </w:num>
  <w:num w:numId="8">
    <w:abstractNumId w:val="13"/>
  </w:num>
  <w:num w:numId="9">
    <w:abstractNumId w:val="6"/>
  </w:num>
  <w:num w:numId="10">
    <w:abstractNumId w:val="0"/>
  </w:num>
  <w:num w:numId="11">
    <w:abstractNumId w:val="9"/>
  </w:num>
  <w:num w:numId="12">
    <w:abstractNumId w:val="12"/>
  </w:num>
  <w:num w:numId="13">
    <w:abstractNumId w:val="3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hdrShapeDefaults>
    <o:shapelayout v:ext="edit">
      <o:idmap v:ext="edit" data="2"/>
    </o:shapelayout>
  </w:hdrShapeDefaults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34177C8"/>
    <w:rsid w:val="71F1630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16</Pages>
  <Words>4066</Words>
  <Characters>4285</Characters>
  <TotalTime>9</TotalTime>
  <ScaleCrop>false</ScaleCrop>
  <LinksUpToDate>false</LinksUpToDate>
  <CharactersWithSpaces>4371</CharactersWithSpaces>
  <Application>WPS Office_12.1.0.26899_F1E327BC-269C-435d-A152-05C5408002CA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2026-07-23T05:04:00Z</dcterms:created>
  <dc:creator>Apache POI</dc:creator>
  <cp:lastModifiedBy>洪</cp:lastModifiedBy>
  <dcterms:modified xsi:type="dcterms:W3CDTF">2026-07-23T05:15:44Z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{"Label":"1","ContentProducer":"001191110102MACQD9K64010000","ProduceID":"7665584911239941048","ReservedCode1":"","ContentPropagator":"","PropagateID":"","ReservedCode2":""}</vt:lpwstr>
  </property>
  <property fmtid="{D5CDD505-2E9C-101B-9397-08002B2CF9AE}" pid="3" name="KSOTemplateDocerSaveRecord">
    <vt:lpwstr>eyJoZGlkIjoiZjc0YzFiZjA3YTMxMTM4NjkzYzY1MWQ1Njc4ZmVhZTEiLCJ1c2VySWQiOiIyNTE1MDgyOTkifQ==</vt:lpwstr>
  </property>
  <property fmtid="{D5CDD505-2E9C-101B-9397-08002B2CF9AE}" pid="4" name="KSOProductBuildVer">
    <vt:lpwstr>2052-12.1.0.26899</vt:lpwstr>
  </property>
  <property fmtid="{D5CDD505-2E9C-101B-9397-08002B2CF9AE}" pid="5" name="ICV">
    <vt:lpwstr>8C4C4DE21D124CB7ABE24CEE1317ED5E_13</vt:lpwstr>
  </property>
</Properties>
</file>