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Noto Sans CJK SC" w:hAnsi="Noto Sans CJK SC" w:eastAsia="Noto Sans CJK SC"/>
          <w:b/>
          <w:color w:val="1E3A8A"/>
          <w:sz w:val="52"/>
        </w:rPr>
        <w:t>Multi-cloud Asset Publisher</w:t>
      </w:r>
    </w:p>
    <w:p>
      <w:pPr>
        <w:jc w:val="center"/>
      </w:pPr>
      <w:r>
        <w:rPr>
          <w:rFonts w:ascii="Noto Sans CJK SC" w:hAnsi="Noto Sans CJK SC" w:eastAsia="Noto Sans CJK SC"/>
          <w:b/>
          <w:color w:val="2563EB"/>
          <w:sz w:val="30"/>
        </w:rPr>
        <w:t>多云资源发布工具（项目代号）</w:t>
      </w:r>
    </w:p>
    <w:p/>
    <w:p>
      <w:pPr>
        <w:jc w:val="center"/>
      </w:pPr>
      <w:r>
        <w:rPr>
          <w:rFonts w:ascii="Noto Sans CJK SC" w:hAnsi="Noto Sans CJK SC" w:eastAsia="Noto Sans CJK SC"/>
          <w:b/>
          <w:color w:val="334155"/>
          <w:sz w:val="44"/>
        </w:rPr>
        <w:t>开发设计文档（TDD / Architecture）</w:t>
      </w:r>
    </w:p>
    <w:p>
      <w:pPr>
        <w:jc w:val="center"/>
      </w:pPr>
      <w:r>
        <w:rPr>
          <w:rFonts w:ascii="Noto Sans CJK SC" w:hAnsi="Noto Sans CJK SC" w:eastAsia="Noto Sans CJK SC"/>
          <w:color w:val="64748B"/>
          <w:sz w:val="22"/>
        </w:rPr>
        <w:t>以长期可维护、轻量桌面、多云扩展和真实上传性能为核心的技术基线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989"/>
      </w:tblGrid>
      <w:tr>
        <w:tc>
          <w:tcPr>
            <w:tcW w:type="dxa" w:w="4844"/>
            <w:shd w:fill="EFF6FF"/>
            <w:vAlign w:val="center"/>
            <w:tcBorders>
              <w:bottom w:val="single" w:sz="4" w:color="CBD5E1"/>
            </w:tcBorders>
          </w:tcPr>
          <w:p>
            <w:r>
              <w:rPr>
                <w:rFonts w:ascii="Noto Sans CJK SC" w:hAnsi="Noto Sans CJK SC" w:eastAsia="Noto Sans CJK SC"/>
                <w:b/>
                <w:color w:val="334155"/>
                <w:sz w:val="19"/>
              </w:rPr>
              <w:t>版本</w:t>
            </w:r>
          </w:p>
        </w:tc>
        <w:tc>
          <w:tcPr>
            <w:tcW w:type="dxa" w:w="4844"/>
            <w:vAlign w:val="center"/>
            <w:tcBorders>
              <w:bottom w:val="single" w:sz="4" w:color="CBD5E1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9"/>
              </w:rPr>
              <w:t>V0.1</w:t>
            </w:r>
          </w:p>
        </w:tc>
      </w:tr>
      <w:tr>
        <w:tc>
          <w:tcPr>
            <w:tcW w:type="dxa" w:w="4844"/>
            <w:shd w:fill="EFF6FF"/>
            <w:vAlign w:val="center"/>
            <w:tcBorders>
              <w:bottom w:val="single" w:sz="4" w:color="CBD5E1"/>
            </w:tcBorders>
          </w:tcPr>
          <w:p>
            <w:r>
              <w:rPr>
                <w:rFonts w:ascii="Noto Sans CJK SC" w:hAnsi="Noto Sans CJK SC" w:eastAsia="Noto Sans CJK SC"/>
                <w:b/>
                <w:color w:val="334155"/>
                <w:sz w:val="19"/>
              </w:rPr>
              <w:t>状态</w:t>
            </w:r>
          </w:p>
        </w:tc>
        <w:tc>
          <w:tcPr>
            <w:tcW w:type="dxa" w:w="4844"/>
            <w:vAlign w:val="center"/>
            <w:tcBorders>
              <w:bottom w:val="single" w:sz="4" w:color="CBD5E1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9"/>
              </w:rPr>
              <w:t>需求/架构基线草案</w:t>
            </w:r>
          </w:p>
        </w:tc>
      </w:tr>
      <w:tr>
        <w:tc>
          <w:tcPr>
            <w:tcW w:type="dxa" w:w="4844"/>
            <w:shd w:fill="EFF6FF"/>
            <w:vAlign w:val="center"/>
            <w:tcBorders>
              <w:bottom w:val="single" w:sz="4" w:color="CBD5E1"/>
            </w:tcBorders>
          </w:tcPr>
          <w:p>
            <w:r>
              <w:rPr>
                <w:rFonts w:ascii="Noto Sans CJK SC" w:hAnsi="Noto Sans CJK SC" w:eastAsia="Noto Sans CJK SC"/>
                <w:b/>
                <w:color w:val="334155"/>
                <w:sz w:val="19"/>
              </w:rPr>
              <w:t>核心方向</w:t>
            </w:r>
          </w:p>
        </w:tc>
        <w:tc>
          <w:tcPr>
            <w:tcW w:type="dxa" w:w="4844"/>
            <w:vAlign w:val="center"/>
            <w:tcBorders>
              <w:bottom w:val="single" w:sz="4" w:color="CBD5E1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334155"/>
                <w:sz w:val="19"/>
              </w:rPr>
              <w:t>便捷接入 · 多云协作 · 高速上传 · 可组合工作流 · 优良界面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color w:val="64748B"/>
          <w:sz w:val="18"/>
        </w:rPr>
        <w:t>注：产品正式名称待定；本文档用于锁定产品边界、体验原则与技术基线。</w:t>
      </w:r>
    </w:p>
    <w:p>
      <w:r>
        <w:br w:type="page"/>
      </w:r>
    </w:p>
    <w:p>
      <w:pPr>
        <w:pStyle w:val="Heading1"/>
        <w:keepNext/>
      </w:pPr>
      <w:r>
        <w:t>文档目录</w:t>
      </w:r>
    </w:p>
    <w:p>
      <w:r>
        <w:rPr>
          <w:rFonts w:ascii="Noto Sans CJK SC" w:hAnsi="Noto Sans CJK SC" w:eastAsia="Noto Sans CJK SC"/>
          <w:color w:val="334155"/>
          <w:sz w:val="21"/>
        </w:rPr>
        <w:t>1. 架构目标与约束</w:t>
      </w:r>
    </w:p>
    <w:p>
      <w:r>
        <w:rPr>
          <w:rFonts w:ascii="Noto Sans CJK SC" w:hAnsi="Noto Sans CJK SC" w:eastAsia="Noto Sans CJK SC"/>
          <w:color w:val="334155"/>
          <w:sz w:val="21"/>
        </w:rPr>
        <w:t>2. 技术选型</w:t>
      </w:r>
    </w:p>
    <w:p>
      <w:r>
        <w:rPr>
          <w:rFonts w:ascii="Noto Sans CJK SC" w:hAnsi="Noto Sans CJK SC" w:eastAsia="Noto Sans CJK SC"/>
          <w:color w:val="334155"/>
          <w:sz w:val="21"/>
        </w:rPr>
        <w:t>3. 总体架构</w:t>
      </w:r>
    </w:p>
    <w:p>
      <w:r>
        <w:rPr>
          <w:rFonts w:ascii="Noto Sans CJK SC" w:hAnsi="Noto Sans CJK SC" w:eastAsia="Noto Sans CJK SC"/>
          <w:color w:val="334155"/>
          <w:sz w:val="21"/>
        </w:rPr>
        <w:t>4. Rust Workspace 与模块边界</w:t>
      </w:r>
    </w:p>
    <w:p>
      <w:r>
        <w:rPr>
          <w:rFonts w:ascii="Noto Sans CJK SC" w:hAnsi="Noto Sans CJK SC" w:eastAsia="Noto Sans CJK SC"/>
          <w:color w:val="334155"/>
          <w:sz w:val="21"/>
        </w:rPr>
        <w:t>5. 领域模型</w:t>
      </w:r>
    </w:p>
    <w:p>
      <w:r>
        <w:rPr>
          <w:rFonts w:ascii="Noto Sans CJK SC" w:hAnsi="Noto Sans CJK SC" w:eastAsia="Noto Sans CJK SC"/>
          <w:color w:val="334155"/>
          <w:sz w:val="21"/>
        </w:rPr>
        <w:t>6. Storage Provider 架构</w:t>
      </w:r>
    </w:p>
    <w:p>
      <w:r>
        <w:rPr>
          <w:rFonts w:ascii="Noto Sans CJK SC" w:hAnsi="Noto Sans CJK SC" w:eastAsia="Noto Sans CJK SC"/>
          <w:color w:val="334155"/>
          <w:sz w:val="21"/>
        </w:rPr>
        <w:t>7. Task Engine</w:t>
      </w:r>
    </w:p>
    <w:p>
      <w:r>
        <w:rPr>
          <w:rFonts w:ascii="Noto Sans CJK SC" w:hAnsi="Noto Sans CJK SC" w:eastAsia="Noto Sans CJK SC"/>
          <w:color w:val="334155"/>
          <w:sz w:val="21"/>
        </w:rPr>
        <w:t>8. Workflow Engine</w:t>
      </w:r>
    </w:p>
    <w:p>
      <w:r>
        <w:rPr>
          <w:rFonts w:ascii="Noto Sans CJK SC" w:hAnsi="Noto Sans CJK SC" w:eastAsia="Noto Sans CJK SC"/>
          <w:color w:val="334155"/>
          <w:sz w:val="21"/>
        </w:rPr>
        <w:t>9. 数据库设计</w:t>
      </w:r>
    </w:p>
    <w:p>
      <w:r>
        <w:rPr>
          <w:rFonts w:ascii="Noto Sans CJK SC" w:hAnsi="Noto Sans CJK SC" w:eastAsia="Noto Sans CJK SC"/>
          <w:color w:val="334155"/>
          <w:sz w:val="21"/>
        </w:rPr>
        <w:t>10. Desktop API 与事件</w:t>
      </w:r>
    </w:p>
    <w:p>
      <w:r>
        <w:rPr>
          <w:rFonts w:ascii="Noto Sans CJK SC" w:hAnsi="Noto Sans CJK SC" w:eastAsia="Noto Sans CJK SC"/>
          <w:color w:val="334155"/>
          <w:sz w:val="21"/>
        </w:rPr>
        <w:t>11. 图片处理与上传性能</w:t>
      </w:r>
    </w:p>
    <w:p>
      <w:r>
        <w:rPr>
          <w:rFonts w:ascii="Noto Sans CJK SC" w:hAnsi="Noto Sans CJK SC" w:eastAsia="Noto Sans CJK SC"/>
          <w:color w:val="334155"/>
          <w:sz w:val="21"/>
        </w:rPr>
        <w:t>12. 前端架构与设计系统</w:t>
      </w:r>
    </w:p>
    <w:p>
      <w:r>
        <w:rPr>
          <w:rFonts w:ascii="Noto Sans CJK SC" w:hAnsi="Noto Sans CJK SC" w:eastAsia="Noto Sans CJK SC"/>
          <w:color w:val="334155"/>
          <w:sz w:val="21"/>
        </w:rPr>
        <w:t>13. 教程站技术方案</w:t>
      </w:r>
    </w:p>
    <w:p>
      <w:r>
        <w:rPr>
          <w:rFonts w:ascii="Noto Sans CJK SC" w:hAnsi="Noto Sans CJK SC" w:eastAsia="Noto Sans CJK SC"/>
          <w:color w:val="334155"/>
          <w:sz w:val="21"/>
        </w:rPr>
        <w:t>14. 安全设计</w:t>
      </w:r>
    </w:p>
    <w:p>
      <w:r>
        <w:rPr>
          <w:rFonts w:ascii="Noto Sans CJK SC" w:hAnsi="Noto Sans CJK SC" w:eastAsia="Noto Sans CJK SC"/>
          <w:color w:val="334155"/>
          <w:sz w:val="21"/>
        </w:rPr>
        <w:t>15. 测试策略</w:t>
      </w:r>
    </w:p>
    <w:p>
      <w:r>
        <w:rPr>
          <w:rFonts w:ascii="Noto Sans CJK SC" w:hAnsi="Noto Sans CJK SC" w:eastAsia="Noto Sans CJK SC"/>
          <w:color w:val="334155"/>
          <w:sz w:val="21"/>
        </w:rPr>
        <w:t>16. 构建发布与可观测性</w:t>
      </w:r>
    </w:p>
    <w:p>
      <w:r>
        <w:rPr>
          <w:rFonts w:ascii="Noto Sans CJK SC" w:hAnsi="Noto Sans CJK SC" w:eastAsia="Noto Sans CJK SC"/>
          <w:color w:val="334155"/>
          <w:sz w:val="21"/>
        </w:rPr>
        <w:t>17. 迭代计划</w:t>
      </w:r>
    </w:p>
    <w:p>
      <w:r>
        <w:rPr>
          <w:rFonts w:ascii="Noto Sans CJK SC" w:hAnsi="Noto Sans CJK SC" w:eastAsia="Noto Sans CJK SC"/>
          <w:color w:val="334155"/>
          <w:sz w:val="21"/>
        </w:rPr>
        <w:t>18. 开发约束与编码规范</w:t>
      </w:r>
    </w:p>
    <w:p>
      <w:r>
        <w:br w:type="page"/>
      </w:r>
    </w:p>
    <w:p>
      <w:pPr>
        <w:pStyle w:val="Heading1"/>
        <w:keepNext/>
      </w:pPr>
      <w:r>
        <w:t>1. 架构目标与约束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8"/>
      </w:tblGrid>
      <w:tr>
        <w:tc>
          <w:tcPr>
            <w:tcW w:type="dxa" w:w="9688"/>
            <w:shd w:fill="EFF6FF"/>
            <w:tcBorders>
              <w:top w:val="single" w:sz="5" w:color="1E3A8A"/>
              <w:left w:val="single" w:sz="5" w:color="1E3A8A"/>
              <w:bottom w:val="single" w:sz="5" w:color="1E3A8A"/>
              <w:right w:val="single" w:sz="5" w:color="1E3A8A"/>
            </w:tcBorders>
          </w:tcPr>
          <w:p>
            <w:r>
              <w:rPr>
                <w:rFonts w:ascii="Noto Sans CJK SC" w:hAnsi="Noto Sans CJK SC" w:eastAsia="Noto Sans CJK SC"/>
                <w:b/>
                <w:color w:val="1E3A8A"/>
                <w:sz w:val="21"/>
              </w:rPr>
              <w:t xml:space="preserve">核心技术目标  </w:t>
            </w:r>
            <w:r>
              <w:rPr>
                <w:rFonts w:ascii="Noto Sans CJK SC" w:hAnsi="Noto Sans CJK SC" w:eastAsia="Noto Sans CJK SC"/>
                <w:color w:val="334155"/>
                <w:sz w:val="20"/>
              </w:rPr>
              <w:t>轻量桌面壳 + 独立 Rust Core + 清晰领域模型 + 可替换 Storage Adapter。Tauri 和 React 是客户端技术，不应成为业务核心。</w:t>
            </w:r>
          </w:p>
        </w:tc>
      </w:tr>
    </w:tbl>
    <w:p/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长期可维护：核心业务不依赖具体 UI 框架、具体云厂商 SDK 或某一个存储库。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本地部署轻量：不要求 PostgreSQL、Redis、Node 后台服务等常驻依赖。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多云扩展：新增 Provider 不修改 Asset / Workflow / Task 核心模型。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真实性能：受控并发、流式 IO、后台任务、Hash 去重、批量调度。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安全默认：凭据最小暴露，敏感信息隔离到系统安全存储。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可演进：V1 顺序工作流、有限 Provider；未来再扩展插件、DAG、Server/CLI。</w:t>
      </w:r>
    </w:p>
    <w:p>
      <w:pPr>
        <w:pStyle w:val="Heading1"/>
        <w:keepNext/>
      </w:pPr>
      <w:r>
        <w:t>2. 技术选型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1814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</w:t>
            </w:r>
          </w:p>
        </w:tc>
        <w:tc>
          <w:tcPr>
            <w:tcW w:type="dxa" w:w="2721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选型</w:t>
            </w:r>
          </w:p>
        </w:tc>
        <w:tc>
          <w:tcPr>
            <w:tcW w:type="dxa" w:w="4706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桌面框架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Tauri 2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系统 WebView + Rust Host，适合轻量长期驻留工具</w:t>
            </w:r>
          </w:p>
        </w:tc>
      </w:tr>
      <w:tr>
        <w:tc>
          <w:tcPr>
            <w:tcW w:type="dxa" w:w="1814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前端</w:t>
            </w:r>
          </w:p>
        </w:tc>
        <w:tc>
          <w:tcPr>
            <w:tcW w:type="dxa" w:w="2721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React + TypeScript + Vite</w:t>
            </w:r>
          </w:p>
        </w:tc>
        <w:tc>
          <w:tcPr>
            <w:tcW w:type="dxa" w:w="4706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大型交互、虚拟列表、拖拽、命令面板、节点编辑生态成熟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路由/服务状态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TanStack Router + TanStack Query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类型安全路由、IPC 数据缓存与失效控制</w:t>
            </w:r>
          </w:p>
        </w:tc>
      </w:tr>
      <w:tr>
        <w:tc>
          <w:tcPr>
            <w:tcW w:type="dxa" w:w="1814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轻量 UI 状态</w:t>
            </w:r>
          </w:p>
        </w:tc>
        <w:tc>
          <w:tcPr>
            <w:tcW w:type="dxa" w:w="2721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Zustand</w:t>
            </w:r>
          </w:p>
        </w:tc>
        <w:tc>
          <w:tcPr>
            <w:tcW w:type="dxa" w:w="4706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仅存布局、选择、临时 UI 状态，避免业务状态重复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UI 基础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Radix UI + Tailwind CSS + CSS Variables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Headless Primitive + 自建 Design System</w:t>
            </w:r>
          </w:p>
        </w:tc>
      </w:tr>
      <w:tr>
        <w:tc>
          <w:tcPr>
            <w:tcW w:type="dxa" w:w="1814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图标</w:t>
            </w:r>
          </w:p>
        </w:tc>
        <w:tc>
          <w:tcPr>
            <w:tcW w:type="dxa" w:w="2721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Lucide</w:t>
            </w:r>
          </w:p>
        </w:tc>
        <w:tc>
          <w:tcPr>
            <w:tcW w:type="dxa" w:w="4706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统一线性图标风格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Rust 异步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Tokio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任务并发、网络 IO、后台调度</w:t>
            </w:r>
          </w:p>
        </w:tc>
      </w:tr>
      <w:tr>
        <w:tc>
          <w:tcPr>
            <w:tcW w:type="dxa" w:w="1814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HTTP</w:t>
            </w:r>
          </w:p>
        </w:tc>
        <w:tc>
          <w:tcPr>
            <w:tcW w:type="dxa" w:w="2721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Reqwest</w:t>
            </w:r>
          </w:p>
        </w:tc>
        <w:tc>
          <w:tcPr>
            <w:tcW w:type="dxa" w:w="4706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Provider API、教程/更新检查等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序列化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Serde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IPC、配置、持久化边界对象</w:t>
            </w:r>
          </w:p>
        </w:tc>
      </w:tr>
      <w:tr>
        <w:tc>
          <w:tcPr>
            <w:tcW w:type="dxa" w:w="1814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Storage 统一层</w:t>
            </w:r>
          </w:p>
        </w:tc>
        <w:tc>
          <w:tcPr>
            <w:tcW w:type="dxa" w:w="2721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自有 StoragePort + Apache OpenDAL Adapter</w:t>
            </w:r>
          </w:p>
        </w:tc>
        <w:tc>
          <w:tcPr>
            <w:tcW w:type="dxa" w:w="4706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业务层不依赖 OpenDAL；复用 S3/WebDAV/SFTP 等能力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数据库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SQLite + SQLx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单机零服务、事务、Migration、类型化查询</w:t>
            </w:r>
          </w:p>
        </w:tc>
      </w:tr>
      <w:tr>
        <w:tc>
          <w:tcPr>
            <w:tcW w:type="dxa" w:w="1814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图片处理</w:t>
            </w:r>
          </w:p>
        </w:tc>
        <w:tc>
          <w:tcPr>
            <w:tcW w:type="dxa" w:w="2721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Rust image；后期可引入 libvips</w:t>
            </w:r>
          </w:p>
        </w:tc>
        <w:tc>
          <w:tcPr>
            <w:tcW w:type="dxa" w:w="4706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V1 完成常规处理，重批处理再升级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密钥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OS Credential Store 抽象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Windows Credential Manager / macOS Keychain / Linux Secret Service</w:t>
            </w:r>
          </w:p>
        </w:tc>
      </w:tr>
      <w:tr>
        <w:tc>
          <w:tcPr>
            <w:tcW w:type="dxa" w:w="1814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日志</w:t>
            </w:r>
          </w:p>
        </w:tc>
        <w:tc>
          <w:tcPr>
            <w:tcW w:type="dxa" w:w="2721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tracing + rolling file</w:t>
            </w:r>
          </w:p>
        </w:tc>
        <w:tc>
          <w:tcPr>
            <w:tcW w:type="dxa" w:w="4706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结构化日志、任务关联 ID、可脱敏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文档站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Astro + Starlight + React Islands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静态部署、文档友好、可做交互式步骤组件</w:t>
            </w:r>
          </w:p>
        </w:tc>
      </w:tr>
    </w:tbl>
    <w:p/>
    <w:p>
      <w:pPr>
        <w:pStyle w:val="Heading1"/>
        <w:keepNext/>
      </w:pPr>
      <w:r>
        <w:t>3. 总体架构</w:t>
      </w:r>
    </w:p>
    <w:p>
      <w:pPr>
        <w:pStyle w:val="CodeBlock"/>
        <w:keepLines/>
        <w:shd w:fill="F1F5F9"/>
        <w:pBdr>
          <w:top w:val="single" w:sz="4" w:color="CBD5E1"/>
          <w:bottom w:val="single" w:sz="4" w:color="CBD5E1"/>
          <w:left w:val="single" w:sz="4" w:color="CBD5E1"/>
          <w:right w:val="single" w:sz="4" w:color="CBD5E1"/>
        </w:pBdr>
      </w:pPr>
      <w:r>
        <w:rPr>
          <w:rFonts w:ascii="Noto Sans Mono CJK SC" w:hAnsi="Noto Sans Mono CJK SC" w:eastAsia="Noto Sans Mono CJK SC"/>
          <w:color w:val="334155"/>
          <w:sz w:val="17"/>
        </w:rPr>
        <w:t>┌──────────────────────────────────────────────┐</w:t>
        <w:br/>
        <w:t>│            React Desktop Frontend           │</w:t>
        <w:br/>
        <w:t>│  Resources / Cloud / Tasks / Settings       │</w:t>
        <w:br/>
        <w:t>└──────────────────────┬───────────────────────┘</w:t>
        <w:br/>
        <w:t xml:space="preserve">                       │ Tauri Commands / Events</w:t>
        <w:br/>
        <w:t xml:space="preserve">                       ▼</w:t>
        <w:br/>
        <w:t>┌──────────────────────────────────────────────┐</w:t>
        <w:br/>
        <w:t>│             Desktop API / Application        │</w:t>
        <w:br/>
        <w:t>│  Use Cases · DTO · Validation · Orchestration│</w:t>
        <w:br/>
        <w:t>├──────────────────────────────────────────────┤</w:t>
        <w:br/>
        <w:t>│                 Rust Domain Core             │</w:t>
        <w:br/>
        <w:t>│ Asset · Variant · Deployment · StorageGroup  │</w:t>
        <w:br/>
        <w:t>│ Workflow · Task · PublicEndpoint             │</w:t>
        <w:br/>
        <w:t>├──────────────────────────────────────────────┤</w:t>
        <w:br/>
        <w:t>│             Infrastructure / Adapters        │</w:t>
        <w:br/>
        <w:t>│ SQLite · Credential · Filesystem · Image     │</w:t>
        <w:br/>
        <w:t>│ OpenDAL · GitHub · Gitee · OSS · COS         │</w:t>
        <w:br/>
        <w:t>└──────────────────────────────────────────────┘</w:t>
      </w:r>
    </w:p>
    <w:p>
      <w:pPr>
        <w:pStyle w:val="Heading2"/>
        <w:keepNext/>
      </w:pPr>
      <w:r>
        <w:t>3.1 依赖方向</w:t>
      </w:r>
    </w:p>
    <w:p>
      <w:pPr>
        <w:pStyle w:val="CodeBlock"/>
        <w:keepLines/>
        <w:shd w:fill="F1F5F9"/>
        <w:pBdr>
          <w:top w:val="single" w:sz="4" w:color="CBD5E1"/>
          <w:bottom w:val="single" w:sz="4" w:color="CBD5E1"/>
          <w:left w:val="single" w:sz="4" w:color="CBD5E1"/>
          <w:right w:val="single" w:sz="4" w:color="CBD5E1"/>
        </w:pBdr>
      </w:pPr>
      <w:r>
        <w:rPr>
          <w:rFonts w:ascii="Noto Sans Mono CJK SC" w:hAnsi="Noto Sans Mono CJK SC" w:eastAsia="Noto Sans Mono CJK SC"/>
          <w:color w:val="334155"/>
          <w:sz w:val="17"/>
        </w:rPr>
        <w:t>UI → desktop-api → application → domain</w:t>
        <w:br/>
        <w:t xml:space="preserve">                         ↑</w:t>
        <w:br/>
        <w:t xml:space="preserve">               infrastructure/adapters</w:t>
        <w:br/>
        <w:br/>
        <w:t>规则：domain 不依赖 Tauri、React、OpenDAL、SQLx 或任何具体云 SDK。</w:t>
      </w:r>
    </w:p>
    <w:p>
      <w:pPr>
        <w:pStyle w:val="Heading1"/>
        <w:keepNext/>
      </w:pPr>
      <w:r>
        <w:t>4. Rust Workspace 与模块边界</w:t>
      </w:r>
    </w:p>
    <w:p>
      <w:pPr>
        <w:pStyle w:val="CodeBlock"/>
        <w:keepLines/>
        <w:shd w:fill="F1F5F9"/>
        <w:pBdr>
          <w:top w:val="single" w:sz="4" w:color="CBD5E1"/>
          <w:bottom w:val="single" w:sz="4" w:color="CBD5E1"/>
          <w:left w:val="single" w:sz="4" w:color="CBD5E1"/>
          <w:right w:val="single" w:sz="4" w:color="CBD5E1"/>
        </w:pBdr>
      </w:pPr>
      <w:r>
        <w:rPr>
          <w:rFonts w:ascii="Noto Sans Mono CJK SC" w:hAnsi="Noto Sans Mono CJK SC" w:eastAsia="Noto Sans Mono CJK SC"/>
          <w:color w:val="334155"/>
          <w:sz w:val="17"/>
        </w:rPr>
        <w:t>crates/</w:t>
        <w:br/>
        <w:t>├── domain/                 # 纯领域对象、规则、错误</w:t>
        <w:br/>
        <w:t>├── application/            # Use Case / orchestration</w:t>
        <w:br/>
        <w:t>├── storage-port/           # Storage trait / capability</w:t>
        <w:br/>
        <w:t>├── task-engine/            # 任务状态机、调度、重试</w:t>
        <w:br/>
        <w:t>├── workflow-engine/        # 顺序 Workflow 执行</w:t>
        <w:br/>
        <w:t>├── provider-opendal/       # S3/WebDAV/SFTP 等 Adapter</w:t>
        <w:br/>
        <w:t>├── provider-github/        # GitHub Repository Adapter</w:t>
        <w:br/>
        <w:t>├── provider-gitee/         # Gitee Repository Adapter</w:t>
        <w:br/>
        <w:t>├── provider-aliyun-oss/    # 如 OpenDAL 不足则专用 Adapter</w:t>
        <w:br/>
        <w:t>├── provider-tencent-cos/   # 如 OpenDAL 不足则专用 Adapter</w:t>
        <w:br/>
        <w:t>├── image-processing/       # 图片解码/处理/编码</w:t>
        <w:br/>
        <w:t>├── persistence-sqlite/     # Repository 实现、Migration</w:t>
        <w:br/>
        <w:t>├── credential-store/       # OS 凭据抽象</w:t>
        <w:br/>
        <w:t>├── desktop-api/            # Tauri command/event DTO</w:t>
        <w:br/>
        <w:t>└── src-tauri/              # 窗口、托盘、快捷键、应用生命周期</w:t>
      </w:r>
    </w:p>
    <w:p>
      <w:pPr>
        <w:pStyle w:val="Heading2"/>
        <w:keepNext/>
      </w:pPr>
      <w:r>
        <w:t>4.1 模块规则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domain 中禁止出现 Tauri、SQLx、Reqwest、OpenDAL 类型。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application 只能通过 Port/Repository Trait 访问基础设施。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Provider Adapter 只处理平台 API 差异，不承载业务工作流。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Tauri command 只做 DTO 校验、调用 Use Case、转换结果；禁止堆积业务逻辑。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跨模块通信优先使用明确类型和领域事件，不使用全局可变状态。</w:t>
      </w:r>
    </w:p>
    <w:p>
      <w:pPr>
        <w:pStyle w:val="Heading1"/>
        <w:keepNext/>
      </w:pPr>
      <w:r>
        <w:t>5. 领域模型</w:t>
      </w:r>
    </w:p>
    <w:p>
      <w:pPr>
        <w:pStyle w:val="Heading2"/>
        <w:keepNext/>
      </w:pPr>
      <w:r>
        <w:t>5.1 Asset / Variant / Deployment</w:t>
      </w:r>
    </w:p>
    <w:p>
      <w:pPr>
        <w:pStyle w:val="CodeBlock"/>
        <w:keepLines/>
        <w:shd w:fill="F1F5F9"/>
        <w:pBdr>
          <w:top w:val="single" w:sz="4" w:color="CBD5E1"/>
          <w:bottom w:val="single" w:sz="4" w:color="CBD5E1"/>
          <w:left w:val="single" w:sz="4" w:color="CBD5E1"/>
          <w:right w:val="single" w:sz="4" w:color="CBD5E1"/>
        </w:pBdr>
      </w:pPr>
      <w:r>
        <w:rPr>
          <w:rFonts w:ascii="Noto Sans Mono CJK SC" w:hAnsi="Noto Sans Mono CJK SC" w:eastAsia="Noto Sans Mono CJK SC"/>
          <w:color w:val="334155"/>
          <w:sz w:val="17"/>
        </w:rPr>
        <w:t>Asset</w:t>
        <w:br/>
        <w:t>├── id</w:t>
        <w:br/>
        <w:t>├── display_name</w:t>
        <w:br/>
        <w:t>├── content_hash</w:t>
        <w:br/>
        <w:t>├── metadata</w:t>
        <w:br/>
        <w:t>│</w:t>
        <w:br/>
        <w:t>├── Variant: original/optimized/thumbnail...</w:t>
        <w:br/>
        <w:t>│    ├── mime_type</w:t>
        <w:br/>
        <w:t>│    ├── size</w:t>
        <w:br/>
        <w:t>│    ├── dimensions</w:t>
        <w:br/>
        <w:t>│    └── content_hash</w:t>
        <w:br/>
        <w:t>│</w:t>
        <w:br/>
        <w:t>└── Deployment[]</w:t>
        <w:br/>
        <w:t xml:space="preserve">     ├── storage_id</w:t>
        <w:br/>
        <w:t xml:space="preserve">     ├── variant_id</w:t>
        <w:br/>
        <w:t xml:space="preserve">     ├── remote_path</w:t>
        <w:br/>
        <w:t xml:space="preserve">     ├── remote_identity</w:t>
        <w:br/>
        <w:t xml:space="preserve">     ├── status</w:t>
        <w:br/>
        <w:t xml:space="preserve">     └── public_endpoints[]</w:t>
      </w:r>
    </w:p>
    <w:p>
      <w:pPr>
        <w:spacing w:after="100"/>
      </w:pPr>
      <w:r>
        <w:rPr>
          <w:rFonts w:ascii="Noto Sans CJK SC" w:hAnsi="Noto Sans CJK SC" w:eastAsia="Noto Sans CJK SC"/>
          <w:color w:val="334155"/>
          <w:sz w:val="21"/>
        </w:rPr>
        <w:t>“一张资源”与“一个文件”解耦：同一个 Asset 可有多个 Variant；同一个 Variant 可部署到多个 Storage。</w:t>
      </w:r>
    </w:p>
    <w:p>
      <w:pPr>
        <w:pStyle w:val="Heading2"/>
        <w:keepNext/>
      </w:pPr>
      <w:r>
        <w:t>5.2 Storage 模型</w:t>
      </w:r>
    </w:p>
    <w:p>
      <w:pPr>
        <w:pStyle w:val="CodeBlock"/>
        <w:keepLines/>
        <w:shd w:fill="F1F5F9"/>
        <w:pBdr>
          <w:top w:val="single" w:sz="4" w:color="CBD5E1"/>
          <w:bottom w:val="single" w:sz="4" w:color="CBD5E1"/>
          <w:left w:val="single" w:sz="4" w:color="CBD5E1"/>
          <w:right w:val="single" w:sz="4" w:color="CBD5E1"/>
        </w:pBdr>
      </w:pPr>
      <w:r>
        <w:rPr>
          <w:rFonts w:ascii="Noto Sans Mono CJK SC" w:hAnsi="Noto Sans Mono CJK SC" w:eastAsia="Noto Sans Mono CJK SC"/>
          <w:color w:val="334155"/>
          <w:sz w:val="17"/>
        </w:rPr>
        <w:t>ProviderDefinition   # 平台能力和配置 schema</w:t>
        <w:br/>
        <w:t xml:space="preserve">      ↓</w:t>
        <w:br/>
        <w:t>StorageInstance     # 用户真正配置出的一个账号/仓库/Bucket</w:t>
        <w:br/>
        <w:t xml:space="preserve">      ↓</w:t>
        <w:br/>
        <w:t>StorageGroup        # 多个 Storage 的策略组合</w:t>
      </w:r>
    </w:p>
    <w:p>
      <w:pPr>
        <w:pStyle w:val="Heading2"/>
        <w:keepNext/>
      </w:pPr>
      <w:r>
        <w:t>5.3 PublicEndpoint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origin_url：源站/仓库提供的原始访问地址。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custom_domain_url：用户自定义域名映射。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cdn_url：CDN 或 URL Rewrite 后的地址。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is_default：资源复制时默认使用哪个地址。</w:t>
      </w:r>
    </w:p>
    <w:p>
      <w:pPr>
        <w:pStyle w:val="Heading2"/>
        <w:keepNext/>
      </w:pPr>
      <w:r>
        <w:t>5.4 Task 与 Workflow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2268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3969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3005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边界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Workflow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描述“如何处理和发布”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配置/规则，不负责持久调度</w:t>
            </w:r>
          </w:p>
        </w:tc>
      </w:tr>
      <w:tr>
        <w:tc>
          <w:tcPr>
            <w:tcW w:type="dxa" w:w="2268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Task</w:t>
            </w:r>
          </w:p>
        </w:tc>
        <w:tc>
          <w:tcPr>
            <w:tcW w:type="dxa" w:w="3969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描述“一次实际执行”</w:t>
            </w:r>
          </w:p>
        </w:tc>
        <w:tc>
          <w:tcPr>
            <w:tcW w:type="dxa" w:w="3005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有状态、进度、错误、重试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StorageGroup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描述“发布到哪些云端以及角色”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不包含图片处理规则</w:t>
            </w:r>
          </w:p>
        </w:tc>
      </w:tr>
    </w:tbl>
    <w:p/>
    <w:p>
      <w:pPr>
        <w:pStyle w:val="Heading1"/>
        <w:keepNext/>
      </w:pPr>
      <w:r>
        <w:t>6. Storage Provider 架构</w:t>
      </w:r>
    </w:p>
    <w:p>
      <w:pPr>
        <w:pStyle w:val="Heading2"/>
        <w:keepNext/>
      </w:pPr>
      <w:r>
        <w:t>6.1 Port 设计</w:t>
      </w:r>
    </w:p>
    <w:p>
      <w:pPr>
        <w:pStyle w:val="CodeBlock"/>
        <w:keepLines/>
        <w:shd w:fill="F1F5F9"/>
        <w:pBdr>
          <w:top w:val="single" w:sz="4" w:color="CBD5E1"/>
          <w:bottom w:val="single" w:sz="4" w:color="CBD5E1"/>
          <w:left w:val="single" w:sz="4" w:color="CBD5E1"/>
          <w:right w:val="single" w:sz="4" w:color="CBD5E1"/>
        </w:pBdr>
      </w:pPr>
      <w:r>
        <w:rPr>
          <w:rFonts w:ascii="Noto Sans Mono CJK SC" w:hAnsi="Noto Sans Mono CJK SC" w:eastAsia="Noto Sans Mono CJK SC"/>
          <w:color w:val="334155"/>
          <w:sz w:val="17"/>
        </w:rPr>
        <w:t># 伪代码，仅表达边界</w:t>
        <w:br/>
        <w:t>trait StoragePort {</w:t>
        <w:br/>
        <w:t xml:space="preserve">    async fn put(&amp;self, req: PutRequest) -&gt; Result&lt;PutResult&gt;;</w:t>
        <w:br/>
        <w:t xml:space="preserve">    async fn get(&amp;self, req: GetRequest) -&gt; Result&lt;ByteStream&gt;;</w:t>
        <w:br/>
        <w:t xml:space="preserve">    async fn delete(&amp;self, req: DeleteRequest) -&gt; Result&lt;()&gt;;</w:t>
        <w:br/>
        <w:t xml:space="preserve">    async fn list(&amp;self, req: ListRequest) -&gt; Result&lt;Page&lt;ObjectMeta&gt;&gt;;</w:t>
        <w:br/>
        <w:t xml:space="preserve">    async fn stat(&amp;self, req: StatRequest) -&gt; Result&lt;ObjectMeta&gt;;</w:t>
        <w:br/>
        <w:t xml:space="preserve">    async fn copy(&amp;self, req: CopyRequest) -&gt; Result&lt;CopyResult&gt;;</w:t>
        <w:br/>
        <w:t xml:space="preserve">    async fn public_endpoints(&amp;self, path: &amp;RemotePath) -&gt; Result&lt;Vec&lt;PublicEndpoint&gt;&gt;;</w:t>
        <w:br/>
        <w:t xml:space="preserve">    fn capabilities(&amp;self) -&gt; StorageCapabilities;</w:t>
        <w:br/>
        <w:t>}</w:t>
      </w:r>
    </w:p>
    <w:p>
      <w:pPr>
        <w:pStyle w:val="Heading2"/>
        <w:keepNext/>
      </w:pPr>
      <w:r>
        <w:t>6.2 Capability</w:t>
      </w:r>
    </w:p>
    <w:p>
      <w:pPr>
        <w:pStyle w:val="CodeBlock"/>
        <w:keepLines/>
        <w:shd w:fill="F1F5F9"/>
        <w:pBdr>
          <w:top w:val="single" w:sz="4" w:color="CBD5E1"/>
          <w:bottom w:val="single" w:sz="4" w:color="CBD5E1"/>
          <w:left w:val="single" w:sz="4" w:color="CBD5E1"/>
          <w:right w:val="single" w:sz="4" w:color="CBD5E1"/>
        </w:pBdr>
      </w:pPr>
      <w:r>
        <w:rPr>
          <w:rFonts w:ascii="Noto Sans Mono CJK SC" w:hAnsi="Noto Sans Mono CJK SC" w:eastAsia="Noto Sans Mono CJK SC"/>
          <w:color w:val="334155"/>
          <w:sz w:val="17"/>
        </w:rPr>
        <w:t>StorageCapabilities {</w:t>
        <w:br/>
        <w:t xml:space="preserve">  read, write, delete, list, copy, move,</w:t>
        <w:br/>
        <w:t xml:space="preserve">  public_url, custom_domain, versioning, streaming</w:t>
        <w:br/>
        <w:t>}</w:t>
      </w:r>
    </w:p>
    <w:p>
      <w:pPr>
        <w:spacing w:after="100"/>
      </w:pPr>
      <w:r>
        <w:rPr>
          <w:rFonts w:ascii="Noto Sans CJK SC" w:hAnsi="Noto Sans CJK SC" w:eastAsia="Noto Sans CJK SC"/>
          <w:color w:val="334155"/>
          <w:sz w:val="21"/>
        </w:rPr>
        <w:t>UI 与 Workflow 根据 Capability 决定功能是否可用，避免为每个平台写大量特殊 if/else。</w:t>
      </w:r>
    </w:p>
    <w:p>
      <w:pPr>
        <w:pStyle w:val="Heading2"/>
        <w:keepNext/>
      </w:pPr>
      <w:r>
        <w:t>6.3 Provider 分类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1757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分类</w:t>
            </w:r>
          </w:p>
        </w:tc>
        <w:tc>
          <w:tcPr>
            <w:tcW w:type="dxa" w:w="3005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Provider</w:t>
            </w:r>
          </w:p>
        </w:tc>
        <w:tc>
          <w:tcPr>
            <w:tcW w:type="dxa" w:w="4479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实现策略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S3 兼容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Cloudflare R2、AWS S3、MinIO 等</w:t>
            </w:r>
          </w:p>
        </w:tc>
        <w:tc>
          <w:tcPr>
            <w:tcW w:type="dxa" w:w="447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优先 OpenDAL S3；平台 Preset 负责 endpoint/region 默认值</w:t>
            </w:r>
          </w:p>
        </w:tc>
      </w:tr>
      <w:tr>
        <w:tc>
          <w:tcPr>
            <w:tcW w:type="dxa" w:w="1757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中国对象存储</w:t>
            </w:r>
          </w:p>
        </w:tc>
        <w:tc>
          <w:tcPr>
            <w:tcW w:type="dxa" w:w="3005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阿里 OSS、腾讯 COS</w:t>
            </w:r>
          </w:p>
        </w:tc>
        <w:tc>
          <w:tcPr>
            <w:tcW w:type="dxa" w:w="4479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优先 OpenDAL/native；若功能缺口则独立 Adapter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Repository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GitHub、Gitee、后续 GitLab/Gitea</w:t>
            </w:r>
          </w:p>
        </w:tc>
        <w:tc>
          <w:tcPr>
            <w:tcW w:type="dxa" w:w="447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统一 RepositoryStorage 语义 + 平台 API Adapter</w:t>
            </w:r>
          </w:p>
        </w:tc>
      </w:tr>
      <w:tr>
        <w:tc>
          <w:tcPr>
            <w:tcW w:type="dxa" w:w="1757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协议型</w:t>
            </w:r>
          </w:p>
        </w:tc>
        <w:tc>
          <w:tcPr>
            <w:tcW w:type="dxa" w:w="3005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WebDAV、SFTP</w:t>
            </w:r>
          </w:p>
        </w:tc>
        <w:tc>
          <w:tcPr>
            <w:tcW w:type="dxa" w:w="4479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优先 OpenDAL；公开 URL 映射由用户配置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自定义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HTTP API/插件</w:t>
            </w:r>
          </w:p>
        </w:tc>
        <w:tc>
          <w:tcPr>
            <w:tcW w:type="dxa" w:w="447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V2 通过稳定插件协议扩展</w:t>
            </w:r>
          </w:p>
        </w:tc>
      </w:tr>
    </w:tbl>
    <w:p/>
    <w:p>
      <w:pPr>
        <w:pStyle w:val="Heading2"/>
        <w:keepNext/>
      </w:pPr>
      <w:r>
        <w:t>6.4 GitHub / Gitee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两者共享 RepositoryStorage 上层语义：repo、branch、remote path、commit message、raw/public endpoint。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GitHubAdapter / GiteeAdapter 仅处理 API 路径、鉴权、错误码、Rate Limit、Raw URL 等差异。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仓库存储默认定位为“文档/项目资源/镜像备份”；不在产品中伪装成专业 CDN。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Provider 元数据必须携带适用场景、教程 URL、最小权限说明和限制提示。</w:t>
      </w:r>
    </w:p>
    <w:p>
      <w:pPr>
        <w:pStyle w:val="Heading1"/>
        <w:keepNext/>
      </w:pPr>
      <w:r>
        <w:t>7. Task Engine</w:t>
      </w:r>
    </w:p>
    <w:p>
      <w:pPr>
        <w:pStyle w:val="Heading2"/>
        <w:keepNext/>
      </w:pPr>
      <w:r>
        <w:t>7.1 状态机</w:t>
      </w:r>
    </w:p>
    <w:p>
      <w:pPr>
        <w:pStyle w:val="CodeBlock"/>
        <w:keepLines/>
        <w:shd w:fill="F1F5F9"/>
        <w:pBdr>
          <w:top w:val="single" w:sz="4" w:color="CBD5E1"/>
          <w:bottom w:val="single" w:sz="4" w:color="CBD5E1"/>
          <w:left w:val="single" w:sz="4" w:color="CBD5E1"/>
          <w:right w:val="single" w:sz="4" w:color="CBD5E1"/>
        </w:pBdr>
      </w:pPr>
      <w:r>
        <w:rPr>
          <w:rFonts w:ascii="Noto Sans Mono CJK SC" w:hAnsi="Noto Sans Mono CJK SC" w:eastAsia="Noto Sans Mono CJK SC"/>
          <w:color w:val="334155"/>
          <w:sz w:val="17"/>
        </w:rPr>
        <w:t>Queued → Preparing → Running → Completed</w:t>
        <w:br/>
        <w:t xml:space="preserve">                    │          │</w:t>
        <w:br/>
        <w:t xml:space="preserve">                    │          ├→ Failed → Retry → Queued</w:t>
        <w:br/>
        <w:t xml:space="preserve">                    │          └→ Cancelled</w:t>
        <w:br/>
        <w:t xml:space="preserve">                    └→ Cancelled</w:t>
      </w:r>
    </w:p>
    <w:p>
      <w:pPr>
        <w:pStyle w:val="Heading2"/>
        <w:keepNext/>
      </w:pPr>
      <w:r>
        <w:t>7.2 Task 数据</w:t>
      </w:r>
    </w:p>
    <w:p>
      <w:pPr>
        <w:pStyle w:val="CodeBlock"/>
        <w:keepLines/>
        <w:shd w:fill="F1F5F9"/>
        <w:pBdr>
          <w:top w:val="single" w:sz="4" w:color="CBD5E1"/>
          <w:bottom w:val="single" w:sz="4" w:color="CBD5E1"/>
          <w:left w:val="single" w:sz="4" w:color="CBD5E1"/>
          <w:right w:val="single" w:sz="4" w:color="CBD5E1"/>
        </w:pBdr>
      </w:pPr>
      <w:r>
        <w:rPr>
          <w:rFonts w:ascii="Noto Sans Mono CJK SC" w:hAnsi="Noto Sans Mono CJK SC" w:eastAsia="Noto Sans Mono CJK SC"/>
          <w:color w:val="334155"/>
          <w:sz w:val="17"/>
        </w:rPr>
        <w:t>Task {</w:t>
        <w:br/>
        <w:t xml:space="preserve">  id, kind, status, progress,</w:t>
        <w:br/>
        <w:t xml:space="preserve">  payload_ref, result_ref,</w:t>
        <w:br/>
        <w:t xml:space="preserve">  retry_count, retry_policy,</w:t>
        <w:br/>
        <w:t xml:space="preserve">  error_code, error_message,</w:t>
        <w:br/>
        <w:t xml:space="preserve">  created_at, started_at, finished_at</w:t>
        <w:br/>
        <w:t>}</w:t>
      </w:r>
    </w:p>
    <w:p>
      <w:pPr>
        <w:pStyle w:val="Heading2"/>
        <w:keepNext/>
      </w:pPr>
      <w:r>
        <w:t>7.3 调度原则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默认全局并发为有限值（例如 4），后续按 Provider/带宽动态调节。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同一个 Asset 的破坏性操作需串行或加资源锁，避免 upload/delete/migrate 竞态。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Task 状态持久化，应用异常退出后能够恢复或标记未完成任务。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任务必须可幂等重试；Provider 层尽量返回可判断的远端 identity/etag/hash。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UI 通过事件订阅 TaskProgress，不使用高频轮询。</w:t>
      </w:r>
    </w:p>
    <w:p>
      <w:pPr>
        <w:pStyle w:val="Heading1"/>
        <w:keepNext/>
      </w:pPr>
      <w:r>
        <w:t>8. Workflow Engine</w:t>
      </w:r>
    </w:p>
    <w:p>
      <w:pPr>
        <w:pStyle w:val="Heading2"/>
        <w:keepNext/>
      </w:pPr>
      <w:r>
        <w:t>8.1 V1 模型</w:t>
      </w:r>
    </w:p>
    <w:p>
      <w:pPr>
        <w:pStyle w:val="CodeBlock"/>
        <w:keepLines/>
        <w:shd w:fill="F1F5F9"/>
        <w:pBdr>
          <w:top w:val="single" w:sz="4" w:color="CBD5E1"/>
          <w:bottom w:val="single" w:sz="4" w:color="CBD5E1"/>
          <w:left w:val="single" w:sz="4" w:color="CBD5E1"/>
          <w:right w:val="single" w:sz="4" w:color="CBD5E1"/>
        </w:pBdr>
      </w:pPr>
      <w:r>
        <w:rPr>
          <w:rFonts w:ascii="Noto Sans Mono CJK SC" w:hAnsi="Noto Sans Mono CJK SC" w:eastAsia="Noto Sans Mono CJK SC"/>
          <w:color w:val="334155"/>
          <w:sz w:val="17"/>
        </w:rPr>
        <w:t>Workflow {</w:t>
        <w:br/>
        <w:t xml:space="preserve">  id, name, version,</w:t>
        <w:br/>
        <w:t xml:space="preserve">  steps: Vec&lt;WorkflowStep&gt;</w:t>
        <w:br/>
        <w:t>}</w:t>
        <w:br/>
        <w:br/>
        <w:t>WorkflowStep = Import | Resize | Compress | Convert | Rename | Deploy | UrlRewrite | Output</w:t>
      </w:r>
    </w:p>
    <w:p>
      <w:pPr>
        <w:spacing w:after="100"/>
      </w:pPr>
      <w:r>
        <w:rPr>
          <w:rFonts w:ascii="Noto Sans CJK SC" w:hAnsi="Noto Sans CJK SC" w:eastAsia="Noto Sans CJK SC"/>
          <w:color w:val="334155"/>
          <w:sz w:val="21"/>
        </w:rPr>
        <w:t>V1 明确使用顺序 Step 列表。不要因为“未来可能复杂”而提前上 DAG；业务模型应与当前真实需求保持一致。</w:t>
      </w:r>
    </w:p>
    <w:p>
      <w:pPr>
        <w:pStyle w:val="Heading2"/>
        <w:keepNext/>
      </w:pPr>
      <w:r>
        <w:t>8.2 执行上下文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WorkflowContext 持有 Asset、当前 Variant、临时对象流、目标 Storage/Group 和 Task Context。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每个 Step 输入输出清晰，失败必须产生结构化 Error Code。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Deploy Step 可以面向 StorageGroup，由 Task Engine 拆分为多个子任务或子操作。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Recipe 是 Workflow 的用户友好封装：预设默认值、用途说明、教程链接和可编辑字段。</w:t>
      </w:r>
    </w:p>
    <w:p>
      <w:pPr>
        <w:pStyle w:val="Heading1"/>
        <w:keepNext/>
      </w:pPr>
      <w:r>
        <w:t>9. 数据库设计</w:t>
      </w:r>
    </w:p>
    <w:p>
      <w:pPr>
        <w:pStyle w:val="Heading2"/>
        <w:keepNext/>
      </w:pPr>
      <w:r>
        <w:t>9.1 SQLite 原则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SQLite 只保存结构化索引、配置引用、任务和部署状态；不保存大型图片 BLOB。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敏感 Secret 只保存 credential_ref，实际值在 OS Credential Store。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所有 schema 变化通过 Migration 管理；禁止运行时无版本自动改表。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核心业务写入必须使用事务，尤其是 Asset + Variant + Deployment 状态更新。</w:t>
      </w:r>
    </w:p>
    <w:p>
      <w:pPr>
        <w:pStyle w:val="Heading2"/>
        <w:keepNext/>
      </w:pPr>
      <w:r>
        <w:t>9.2 建议表结构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2324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表</w:t>
            </w:r>
          </w:p>
        </w:tc>
        <w:tc>
          <w:tcPr>
            <w:tcW w:type="dxa" w:w="4139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关键字段</w:t>
            </w:r>
          </w:p>
        </w:tc>
        <w:tc>
          <w:tcPr>
            <w:tcW w:type="dxa" w:w="2778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assets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id, display_name, content_hash, mime, created_at</w:t>
            </w:r>
          </w:p>
        </w:tc>
        <w:tc>
          <w:tcPr>
            <w:tcW w:type="dxa" w:w="277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资源主实体</w:t>
            </w:r>
          </w:p>
        </w:tc>
      </w:tr>
      <w:tr>
        <w:tc>
          <w:tcPr>
            <w:tcW w:type="dxa" w:w="2324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asset_variants</w:t>
            </w:r>
          </w:p>
        </w:tc>
        <w:tc>
          <w:tcPr>
            <w:tcW w:type="dxa" w:w="4139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id, asset_id, kind, hash, size, width, height, temp/cache_ref</w:t>
            </w:r>
          </w:p>
        </w:tc>
        <w:tc>
          <w:tcPr>
            <w:tcW w:type="dxa" w:w="2778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文件变体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deployments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id, variant_id, storage_id, remote_path, remote_id, status</w:t>
            </w:r>
          </w:p>
        </w:tc>
        <w:tc>
          <w:tcPr>
            <w:tcW w:type="dxa" w:w="277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云端部署</w:t>
            </w:r>
          </w:p>
        </w:tc>
      </w:tr>
      <w:tr>
        <w:tc>
          <w:tcPr>
            <w:tcW w:type="dxa" w:w="2324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public_endpoints</w:t>
            </w:r>
          </w:p>
        </w:tc>
        <w:tc>
          <w:tcPr>
            <w:tcW w:type="dxa" w:w="4139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id, deployment_id, kind, url, is_default</w:t>
            </w:r>
          </w:p>
        </w:tc>
        <w:tc>
          <w:tcPr>
            <w:tcW w:type="dxa" w:w="2778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公开地址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storage_instances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id, provider_key, name, config_json, credential_ref</w:t>
            </w:r>
          </w:p>
        </w:tc>
        <w:tc>
          <w:tcPr>
            <w:tcW w:type="dxa" w:w="277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存储实例；config 不含 Secret</w:t>
            </w:r>
          </w:p>
        </w:tc>
      </w:tr>
      <w:tr>
        <w:tc>
          <w:tcPr>
            <w:tcW w:type="dxa" w:w="2324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storage_groups</w:t>
            </w:r>
          </w:p>
        </w:tc>
        <w:tc>
          <w:tcPr>
            <w:tcW w:type="dxa" w:w="4139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id, name, strategy</w:t>
            </w:r>
          </w:p>
        </w:tc>
        <w:tc>
          <w:tcPr>
            <w:tcW w:type="dxa" w:w="2778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多云逻辑目标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storage_group_members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group_id, storage_id, role, order</w:t>
            </w:r>
          </w:p>
        </w:tc>
        <w:tc>
          <w:tcPr>
            <w:tcW w:type="dxa" w:w="277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Primary/Mirror/Backup</w:t>
            </w:r>
          </w:p>
        </w:tc>
      </w:tr>
      <w:tr>
        <w:tc>
          <w:tcPr>
            <w:tcW w:type="dxa" w:w="2324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workflows</w:t>
            </w:r>
          </w:p>
        </w:tc>
        <w:tc>
          <w:tcPr>
            <w:tcW w:type="dxa" w:w="4139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id, name, version, is_default</w:t>
            </w:r>
          </w:p>
        </w:tc>
        <w:tc>
          <w:tcPr>
            <w:tcW w:type="dxa" w:w="2778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工作流头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workflow_steps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workflow_id, seq, type, config_json</w:t>
            </w:r>
          </w:p>
        </w:tc>
        <w:tc>
          <w:tcPr>
            <w:tcW w:type="dxa" w:w="277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顺序步骤</w:t>
            </w:r>
          </w:p>
        </w:tc>
      </w:tr>
      <w:tr>
        <w:tc>
          <w:tcPr>
            <w:tcW w:type="dxa" w:w="2324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tasks</w:t>
            </w:r>
          </w:p>
        </w:tc>
        <w:tc>
          <w:tcPr>
            <w:tcW w:type="dxa" w:w="4139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id, kind, status, progress, payload_json, error_code, timestamps</w:t>
            </w:r>
          </w:p>
        </w:tc>
        <w:tc>
          <w:tcPr>
            <w:tcW w:type="dxa" w:w="2778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任务持久化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task_events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task_id, seq, level, code, message, ts</w:t>
            </w:r>
          </w:p>
        </w:tc>
        <w:tc>
          <w:tcPr>
            <w:tcW w:type="dxa" w:w="277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诊断与审计</w:t>
            </w:r>
          </w:p>
        </w:tc>
      </w:tr>
      <w:tr>
        <w:tc>
          <w:tcPr>
            <w:tcW w:type="dxa" w:w="2324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settings</w:t>
            </w:r>
          </w:p>
        </w:tc>
        <w:tc>
          <w:tcPr>
            <w:tcW w:type="dxa" w:w="4139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key, value_json</w:t>
            </w:r>
          </w:p>
        </w:tc>
        <w:tc>
          <w:tcPr>
            <w:tcW w:type="dxa" w:w="2778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应用级非敏感设置</w:t>
            </w:r>
          </w:p>
        </w:tc>
      </w:tr>
    </w:tbl>
    <w:p/>
    <w:p>
      <w:pPr>
        <w:pStyle w:val="Heading1"/>
        <w:keepNext/>
      </w:pPr>
      <w:r>
        <w:t>10. Desktop API 与事件</w:t>
      </w:r>
    </w:p>
    <w:p>
      <w:pPr>
        <w:pStyle w:val="Heading2"/>
        <w:keepNext/>
      </w:pPr>
      <w:r>
        <w:t>10.1 Command 边界</w:t>
      </w:r>
    </w:p>
    <w:p>
      <w:pPr>
        <w:pStyle w:val="CodeBlock"/>
        <w:keepLines/>
        <w:shd w:fill="F1F5F9"/>
        <w:pBdr>
          <w:top w:val="single" w:sz="4" w:color="CBD5E1"/>
          <w:bottom w:val="single" w:sz="4" w:color="CBD5E1"/>
          <w:left w:val="single" w:sz="4" w:color="CBD5E1"/>
          <w:right w:val="single" w:sz="4" w:color="CBD5E1"/>
        </w:pBdr>
      </w:pPr>
      <w:r>
        <w:rPr>
          <w:rFonts w:ascii="Noto Sans Mono CJK SC" w:hAnsi="Noto Sans Mono CJK SC" w:eastAsia="Noto Sans Mono CJK SC"/>
          <w:color w:val="334155"/>
          <w:sz w:val="17"/>
        </w:rPr>
        <w:t>asset.list / asset.get / asset.import / asset.delete</w:t>
        <w:br/>
        <w:t>storage.list / storage.create / storage.test / storage.update</w:t>
        <w:br/>
        <w:t>storage_group.list / storage_group.create / storage_group.update</w:t>
        <w:br/>
        <w:t>workflow.list / workflow.run / workflow.update</w:t>
        <w:br/>
        <w:t>task.list / task.cancel / task.retry</w:t>
        <w:br/>
        <w:t>settings.get / settings.update</w:t>
      </w:r>
    </w:p>
    <w:p>
      <w:pPr>
        <w:pStyle w:val="Heading2"/>
        <w:keepNext/>
      </w:pPr>
      <w:r>
        <w:t>10.2 Event</w:t>
      </w:r>
    </w:p>
    <w:p>
      <w:pPr>
        <w:pStyle w:val="CodeBlock"/>
        <w:keepLines/>
        <w:shd w:fill="F1F5F9"/>
        <w:pBdr>
          <w:top w:val="single" w:sz="4" w:color="CBD5E1"/>
          <w:bottom w:val="single" w:sz="4" w:color="CBD5E1"/>
          <w:left w:val="single" w:sz="4" w:color="CBD5E1"/>
          <w:right w:val="single" w:sz="4" w:color="CBD5E1"/>
        </w:pBdr>
      </w:pPr>
      <w:r>
        <w:rPr>
          <w:rFonts w:ascii="Noto Sans Mono CJK SC" w:hAnsi="Noto Sans Mono CJK SC" w:eastAsia="Noto Sans Mono CJK SC"/>
          <w:color w:val="334155"/>
          <w:sz w:val="17"/>
        </w:rPr>
        <w:t>task.progress</w:t>
        <w:br/>
        <w:t>task.completed</w:t>
        <w:br/>
        <w:t>task.failed</w:t>
        <w:br/>
        <w:t>deployment.changed</w:t>
        <w:br/>
        <w:t>storage.health.changed</w:t>
        <w:br/>
        <w:t>app.notification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Command = 用户意图/请求；Event = 系统主动通知。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前端不允许直接调用数据库或 Provider SDK。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所有 IPC DTO 版本化；领域对象不直接暴露给 UI，避免前后端强耦合。</w:t>
      </w:r>
    </w:p>
    <w:p>
      <w:pPr>
        <w:pStyle w:val="Heading1"/>
        <w:keepNext/>
      </w:pPr>
      <w:r>
        <w:t>11. 图片处理与上传性能</w:t>
      </w:r>
    </w:p>
    <w:p>
      <w:pPr>
        <w:pStyle w:val="Heading2"/>
        <w:keepNext/>
      </w:pPr>
      <w:r>
        <w:t>11.1 V1 图片处理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PNG/JPEG/WebP 解码与编码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Resize、Rotate、质量压缩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Hash 计算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缩略图生成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必要 EXIF 读取/剥离策略</w:t>
      </w:r>
    </w:p>
    <w:p>
      <w:pPr>
        <w:pStyle w:val="Heading2"/>
        <w:keepNext/>
      </w:pPr>
      <w:r>
        <w:t>11.2 性能流水线</w:t>
      </w:r>
    </w:p>
    <w:p>
      <w:pPr>
        <w:pStyle w:val="CodeBlock"/>
        <w:keepLines/>
        <w:shd w:fill="F1F5F9"/>
        <w:pBdr>
          <w:top w:val="single" w:sz="4" w:color="CBD5E1"/>
          <w:bottom w:val="single" w:sz="4" w:color="CBD5E1"/>
          <w:left w:val="single" w:sz="4" w:color="CBD5E1"/>
          <w:right w:val="single" w:sz="4" w:color="CBD5E1"/>
        </w:pBdr>
      </w:pPr>
      <w:r>
        <w:rPr>
          <w:rFonts w:ascii="Noto Sans Mono CJK SC" w:hAnsi="Noto Sans Mono CJK SC" w:eastAsia="Noto Sans Mono CJK SC"/>
          <w:color w:val="334155"/>
          <w:sz w:val="17"/>
        </w:rPr>
        <w:t>File/Clipboard/URL Input</w:t>
        <w:br/>
        <w:t xml:space="preserve">      ↓</w:t>
        <w:br/>
        <w:t>Async Read → Hash</w:t>
        <w:br/>
        <w:t xml:space="preserve">      ↓</w:t>
        <w:br/>
        <w:t>Decode/Process/Encode (CPU pool)</w:t>
        <w:br/>
        <w:t xml:space="preserve">      ↓</w:t>
        <w:br/>
        <w:t>ByteStream / Temp Object</w:t>
        <w:br/>
        <w:t xml:space="preserve">      ↓</w:t>
        <w:br/>
        <w:t>Task Scheduler</w:t>
        <w:br/>
        <w:t xml:space="preserve">      ├─ Storage A upload</w:t>
        <w:br/>
        <w:t xml:space="preserve">      ├─ Storage B upload</w:t>
        <w:br/>
        <w:t xml:space="preserve">      └─ Storage C upload</w:t>
        <w:br/>
        <w:t xml:space="preserve">      ↓</w:t>
        <w:br/>
        <w:t>PublicEndpoint + Deployment state</w:t>
      </w:r>
    </w:p>
    <w:p>
      <w:pPr>
        <w:pStyle w:val="Heading2"/>
        <w:keepNext/>
      </w:pPr>
      <w:r>
        <w:t>11.3 跨云迁移</w:t>
      </w:r>
    </w:p>
    <w:p>
      <w:pPr>
        <w:spacing w:after="100"/>
      </w:pPr>
      <w:r>
        <w:rPr>
          <w:rFonts w:ascii="Noto Sans CJK SC" w:hAnsi="Noto Sans CJK SC" w:eastAsia="Noto Sans CJK SC"/>
          <w:color w:val="334155"/>
          <w:sz w:val="21"/>
        </w:rPr>
        <w:t>优先实现“Reader Stream → bounded buffer → Writer Stream”。仅当 Provider 不支持流式或需要完整文件处理时落到临时文件。临时文件必须在任务结束/失败清理，并具备崩溃后清理机制。</w:t>
      </w:r>
    </w:p>
    <w:p>
      <w:pPr>
        <w:pStyle w:val="Heading2"/>
        <w:keepNext/>
      </w:pPr>
      <w:r>
        <w:t>11.4 去重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以 SHA-256 等内容 Hash 作为强一致内容标识。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导入时先查本地索引；已有相同内容时根据用户策略复用 Asset/Deployment 或创建新逻辑引用。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远端若提供 ETag/Checksum，仅作为辅助验证；不得默认把所有 ETag 等同于文件 Hash。</w:t>
      </w:r>
    </w:p>
    <w:p>
      <w:pPr>
        <w:pStyle w:val="Heading1"/>
        <w:keepNext/>
      </w:pPr>
      <w:r>
        <w:t>12. 前端架构与设计系统</w:t>
      </w:r>
    </w:p>
    <w:p>
      <w:pPr>
        <w:pStyle w:val="Heading2"/>
        <w:keepNext/>
      </w:pPr>
      <w:r>
        <w:t>12.1 目录建议</w:t>
      </w:r>
    </w:p>
    <w:p>
      <w:pPr>
        <w:pStyle w:val="CodeBlock"/>
        <w:keepLines/>
        <w:shd w:fill="F1F5F9"/>
        <w:pBdr>
          <w:top w:val="single" w:sz="4" w:color="CBD5E1"/>
          <w:bottom w:val="single" w:sz="4" w:color="CBD5E1"/>
          <w:left w:val="single" w:sz="4" w:color="CBD5E1"/>
          <w:right w:val="single" w:sz="4" w:color="CBD5E1"/>
        </w:pBdr>
      </w:pPr>
      <w:r>
        <w:rPr>
          <w:rFonts w:ascii="Noto Sans Mono CJK SC" w:hAnsi="Noto Sans Mono CJK SC" w:eastAsia="Noto Sans Mono CJK SC"/>
          <w:color w:val="334155"/>
          <w:sz w:val="17"/>
        </w:rPr>
        <w:t>src/</w:t>
        <w:br/>
        <w:t>├── app/                 # Router / Query / providers</w:t>
        <w:br/>
        <w:t>├── pages/               # Resources / Cloud / Tasks / Settings</w:t>
        <w:br/>
        <w:t>├── features/            # asset, upload, storage, workflow, task</w:t>
        <w:br/>
        <w:t>├── components/</w:t>
        <w:br/>
        <w:t>│   ├── ui/              # 自建 Design System</w:t>
        <w:br/>
        <w:t>│   └── common/</w:t>
        <w:br/>
        <w:t>├── stores/              # Zustand，仅 UI 状态</w:t>
        <w:br/>
        <w:t>├── services/            # typed Tauri API client</w:t>
        <w:br/>
        <w:t>├── hooks/</w:t>
        <w:br/>
        <w:t>└── types/               # UI DTO types</w:t>
      </w:r>
    </w:p>
    <w:p>
      <w:pPr>
        <w:pStyle w:val="Heading2"/>
        <w:keepNext/>
      </w:pPr>
      <w:r>
        <w:t>12.2 设计系统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Radix UI 只作为可访问性和交互 Primitive；视觉由自有 Token/组件控制。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CSS Variables 统一颜色、圆角、阴影、间距、字体、动效；支持亮/暗主题。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禁止业务页面直接拼装不一致的 Button/Input/Dialog 样式。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资源大列表使用虚拟化；批量选择和上下文菜单必须键盘可操作。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首页组件化采用固定 Grid 和离散尺寸，不允许任意像素级布局。</w:t>
      </w:r>
    </w:p>
    <w:p>
      <w:pPr>
        <w:pStyle w:val="Heading2"/>
        <w:keepNext/>
      </w:pPr>
      <w:r>
        <w:t>12.3 前端状态规则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TanStack Query：负责从 Rust Core 获取的服务器式/异步状态（资源、存储、任务列表）。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Zustand：只保存 UI 状态（选择、面板开关、布局、当前默认 Recipe 等）。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业务真相以 Rust Core/SQLite 为准，避免前端维护第二份长期状态。</w:t>
      </w:r>
    </w:p>
    <w:p>
      <w:pPr>
        <w:pStyle w:val="Heading1"/>
        <w:keepNext/>
      </w:pPr>
      <w:r>
        <w:t>13. 教程站技术方案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Astro + Starlight 生成静态文档站，部署成本低，SEO 和多语言扩展方便。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需要交互的步骤向导、Recipe 预览、Deep Link 按钮使用 React Island。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Provider 文档以结构化 frontmatter 记录 providerKey、appVersion、预计时长、难度、控制台链接、需要字段。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Deep Link 只携带公开 Recipe/非敏感配置；敏感字段必须在桌面应用内录入。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教程站与客户端 Provider Schema 共享版本号，避免教程字段与客户端不一致。</w:t>
      </w:r>
    </w:p>
    <w:p>
      <w:pPr>
        <w:pStyle w:val="Heading1"/>
        <w:keepNext/>
      </w:pPr>
      <w:r>
        <w:t>14. 安全设计</w:t>
      </w:r>
    </w:p>
    <w:p>
      <w:pPr>
        <w:pStyle w:val="Heading2"/>
        <w:keepNext/>
      </w:pPr>
      <w:r>
        <w:t>14.1 凭据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系统凭据库存 Secret；SQLite 仅存 credential_ref。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内存中的 Secret 尽量缩短生命周期，避免进入 Debug/Display 输出。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日志中默认脱敏 Authorization、AccessKey、Secret、Token、Signed URL。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Recipe 导出和诊断包导出必须执行敏感字段扫描。</w:t>
      </w:r>
    </w:p>
    <w:p>
      <w:pPr>
        <w:pStyle w:val="Heading2"/>
        <w:keepNext/>
      </w:pPr>
      <w:r>
        <w:t>14.2 桌面安全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Tauri 权限按最小能力配置，不为前端暴露任意文件系统/命令执行。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外部 URL 打开必须经过 allowlist/验证，Deep Link 参数严格 schema 校验。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远端文件名/路径进行规范化，防止 path traversal、非法路径和覆盖敏感位置。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上传/下载设置大小限制与超时；网络错误采用分类重试，不对认证/权限错误无限重试。</w:t>
      </w:r>
    </w:p>
    <w:p>
      <w:pPr>
        <w:pStyle w:val="Heading1"/>
        <w:keepNext/>
      </w:pPr>
      <w:r>
        <w:t>15. 测试策略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1701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</w:t>
            </w:r>
          </w:p>
        </w:tc>
        <w:tc>
          <w:tcPr>
            <w:tcW w:type="dxa" w:w="2494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测试类型</w:t>
            </w:r>
          </w:p>
        </w:tc>
        <w:tc>
          <w:tcPr>
            <w:tcW w:type="dxa" w:w="5102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重点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Domain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Unit Test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状态机、命名规则、StorageGroup 策略、Workflow validation</w:t>
            </w:r>
          </w:p>
        </w:tc>
      </w:tr>
      <w:tr>
        <w:tc>
          <w:tcPr>
            <w:tcW w:type="dxa" w:w="1701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Application</w:t>
            </w:r>
          </w:p>
        </w:tc>
        <w:tc>
          <w:tcPr>
            <w:tcW w:type="dxa" w:w="2494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Use Case Test</w:t>
            </w:r>
          </w:p>
        </w:tc>
        <w:tc>
          <w:tcPr>
            <w:tcW w:type="dxa" w:w="5102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Mock Port 下的上传/迁移/失败恢复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Provider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Contract Test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put/get/list/delete/stat/public URL/error mapping</w:t>
            </w:r>
          </w:p>
        </w:tc>
      </w:tr>
      <w:tr>
        <w:tc>
          <w:tcPr>
            <w:tcW w:type="dxa" w:w="1701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SQLite</w:t>
            </w:r>
          </w:p>
        </w:tc>
        <w:tc>
          <w:tcPr>
            <w:tcW w:type="dxa" w:w="2494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Integration Test</w:t>
            </w:r>
          </w:p>
        </w:tc>
        <w:tc>
          <w:tcPr>
            <w:tcW w:type="dxa" w:w="5102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Migration、事务、一致性、崩溃恢复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Task Engine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Deterministic Test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并发、取消、重试、幂等、恢复</w:t>
            </w:r>
          </w:p>
        </w:tc>
      </w:tr>
      <w:tr>
        <w:tc>
          <w:tcPr>
            <w:tcW w:type="dxa" w:w="1701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Frontend</w:t>
            </w:r>
          </w:p>
        </w:tc>
        <w:tc>
          <w:tcPr>
            <w:tcW w:type="dxa" w:w="2494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Component + E2E</w:t>
            </w:r>
          </w:p>
        </w:tc>
        <w:tc>
          <w:tcPr>
            <w:tcW w:type="dxa" w:w="5102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关键交互、可访问性、资源批量操作、向导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真实云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Nightly/Manual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7"/>
              </w:rPr>
              <w:t>使用隔离测试 Bucket/Repo 验证 P0 Provider</w:t>
            </w:r>
          </w:p>
        </w:tc>
      </w:tr>
    </w:tbl>
    <w:p/>
    <w:p>
      <w:pPr>
        <w:pStyle w:val="Heading2"/>
        <w:keepNext/>
      </w:pPr>
      <w:r>
        <w:t>15.1 Provider Contract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所有 Provider 至少通过统一契约：测试连接 → 上传 → stat → 读取/列表 → 删除。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支持 public_url 的 Provider 必须验证 URL 生成逻辑；不支持则明确 capability=false。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错误码统一映射为 Authentication / Permission / NotFound / Conflict / RateLimited / Network / ProviderError。</w:t>
      </w:r>
    </w:p>
    <w:p>
      <w:pPr>
        <w:pStyle w:val="Heading1"/>
        <w:keepNext/>
      </w:pPr>
      <w:r>
        <w:t>16. 构建发布与可观测性</w:t>
      </w:r>
    </w:p>
    <w:p>
      <w:pPr>
        <w:pStyle w:val="Heading2"/>
        <w:keepNext/>
      </w:pPr>
      <w:r>
        <w:t>16.1 CI/CD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GitHub Actions（或等价 CI）执行 Rust fmt/clippy/test、前端 lint/test/build、跨平台打包。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Windows/macOS/Linux 分别构建；正式发行引入代码签名和自动更新签名。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Provider 真实云测试使用单独测试账户与最小权限 Secret；PR 默认不访问真实云。</w:t>
      </w:r>
    </w:p>
    <w:p>
      <w:pPr>
        <w:pStyle w:val="Heading2"/>
        <w:keepNext/>
      </w:pPr>
      <w:r>
        <w:t>16.2 日志与诊断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tracing span 关联 task_id / asset_id / storage_id。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日志分级：INFO 业务路径，WARN 可恢复异常，ERROR 失败；默认不记录完整响应体中的敏感信息。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提供“导出诊断包”，包含脱敏日志、版本、Provider capability、失败任务摘要，不包含 Secret。</w:t>
      </w:r>
    </w:p>
    <w:p>
      <w:pPr>
        <w:pStyle w:val="Heading1"/>
        <w:keepNext/>
      </w:pPr>
      <w:r>
        <w:t>17. 迭代计划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1984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4365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范围</w:t>
            </w:r>
          </w:p>
        </w:tc>
        <w:tc>
          <w:tcPr>
            <w:tcW w:type="dxa" w:w="2948"/>
            <w:shd w:fill="1E3A8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退出条件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Phase 0：架构骨架</w:t>
            </w:r>
          </w:p>
        </w:tc>
        <w:tc>
          <w:tcPr>
            <w:tcW w:type="dxa" w:w="436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Workspace、Tauri/React、SQLite Migration、Task Engine skeleton、Design Token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能启动、能持久化 Task、UI 能收到事件</w:t>
            </w:r>
          </w:p>
        </w:tc>
      </w:tr>
      <w:tr>
        <w:tc>
          <w:tcPr>
            <w:tcW w:type="dxa" w:w="1984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Phase 1：单云闭环</w:t>
            </w:r>
          </w:p>
        </w:tc>
        <w:tc>
          <w:tcPr>
            <w:tcW w:type="dxa" w:w="4365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R2/S3 + 文件/拖拽/剪贴板 + 基础图片处理 + URL/Markdown</w:t>
            </w:r>
          </w:p>
        </w:tc>
        <w:tc>
          <w:tcPr>
            <w:tcW w:type="dxa" w:w="2948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从导入到公网 URL 全链路可用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Phase 2：国内/仓库 Provider</w:t>
            </w:r>
          </w:p>
        </w:tc>
        <w:tc>
          <w:tcPr>
            <w:tcW w:type="dxa" w:w="436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OSS、COS、GitHub、Gitee + Provider Onboarding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P0 Provider 通过 Contract Test</w:t>
            </w:r>
          </w:p>
        </w:tc>
      </w:tr>
      <w:tr>
        <w:tc>
          <w:tcPr>
            <w:tcW w:type="dxa" w:w="1984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Phase 3：多云协作</w:t>
            </w:r>
          </w:p>
        </w:tc>
        <w:tc>
          <w:tcPr>
            <w:tcW w:type="dxa" w:w="4365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StorageGroup、镜像/备份、部分失败修复、资源详情</w:t>
            </w:r>
          </w:p>
        </w:tc>
        <w:tc>
          <w:tcPr>
            <w:tcW w:type="dxa" w:w="2948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一张 Asset 可稳定维护多 Deployment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Phase 4：教程与 Recipe</w:t>
            </w:r>
          </w:p>
        </w:tc>
        <w:tc>
          <w:tcPr>
            <w:tcW w:type="dxa" w:w="436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Astro 教程站、Deep Link、官方 Recipe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新用户首次上传目标可测试</w:t>
            </w:r>
          </w:p>
        </w:tc>
      </w:tr>
      <w:tr>
        <w:tc>
          <w:tcPr>
            <w:tcW w:type="dxa" w:w="1984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Phase 5：迁移与高级体验</w:t>
            </w:r>
          </w:p>
        </w:tc>
        <w:tc>
          <w:tcPr>
            <w:tcW w:type="dxa" w:w="4365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跨云迁移、批量、Command Palette、Dashboard 定制</w:t>
            </w:r>
          </w:p>
        </w:tc>
        <w:tc>
          <w:tcPr>
            <w:tcW w:type="dxa" w:w="2948"/>
            <w:shd w:fill="F8FAFC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334155"/>
                <w:sz w:val="16"/>
              </w:rPr>
              <w:t>完成 V1.x 体验增强</w:t>
            </w:r>
          </w:p>
        </w:tc>
      </w:tr>
    </w:tbl>
    <w:p/>
    <w:p>
      <w:pPr>
        <w:pStyle w:val="Heading1"/>
        <w:keepNext/>
      </w:pPr>
      <w:r>
        <w:t>18. 开发约束与编码规范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任何新增 Provider 必须实现统一 StoragePort/Capability，并通过 Provider Contract Test。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任何新增业务操作优先建模为 Use Case + Task，而不是直接在 Tauri Command 或 React 页面中调用 Provider。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任何新增设置先判断归属：Storage 配置属于 Storage；Workflow 配置属于 Workflow；只有真正全局的行为才进入 Settings。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单个页面/组件持续膨胀时必须按 feature/use case 拆分，避免出现数万行“巨型设置页”。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不得在数据库、日志、Deep Link、Recipe 导出文件中保存明文 Secret。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性能优化必须以测量为依据；并发数、缓存、图片线程池需要基准测试，不依靠主观调参。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  <w:color w:val="334155"/>
          <w:sz w:val="20"/>
        </w:rPr>
        <w:t>不为假想需求提前引入复杂 DAG、插件 ABI、分布式服务；架构留接口，但实现保持与当前业务相匹配。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8"/>
      </w:tblGrid>
      <w:tr>
        <w:tc>
          <w:tcPr>
            <w:tcW w:type="dxa" w:w="9688"/>
            <w:shd w:fill="ECFDF5"/>
            <w:tcBorders>
              <w:top w:val="single" w:sz="5" w:color="16A34A"/>
              <w:left w:val="single" w:sz="5" w:color="16A34A"/>
              <w:bottom w:val="single" w:sz="5" w:color="16A34A"/>
              <w:right w:val="single" w:sz="5" w:color="16A34A"/>
            </w:tcBorders>
          </w:tcPr>
          <w:p>
            <w:r>
              <w:rPr>
                <w:rFonts w:ascii="Noto Sans CJK SC" w:hAnsi="Noto Sans CJK SC" w:eastAsia="Noto Sans CJK SC"/>
                <w:b/>
                <w:color w:val="16A34A"/>
                <w:sz w:val="21"/>
              </w:rPr>
              <w:t xml:space="preserve">最终技术基线  </w:t>
            </w:r>
            <w:r>
              <w:rPr>
                <w:rFonts w:ascii="Noto Sans CJK SC" w:hAnsi="Noto Sans CJK SC" w:eastAsia="Noto Sans CJK SC"/>
                <w:color w:val="334155"/>
                <w:sz w:val="20"/>
              </w:rPr>
              <w:t>Tauri 2 + React/TypeScript + Rust Workspace + SQLite/SQLx + Tokio/Reqwest + 自有 StoragePort + OpenDAL/平台 Adapter + OS Credential Store + Astro 教程站。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77" w:right="1276" w:bottom="964" w:left="1276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748B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3" w:color="CBD5E1"/>
      </w:pBdr>
    </w:pPr>
    <w:r>
      <w:rPr>
        <w:rFonts w:ascii="Noto Sans CJK SC" w:hAnsi="Noto Sans CJK SC" w:eastAsia="Noto Sans CJK SC"/>
        <w:color w:val="64748B"/>
        <w:sz w:val="17"/>
      </w:rPr>
      <w:t>多云资源发布工具 · 开发设计文档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3A8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3A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341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E3A8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 w:line="259" w:lineRule="auto"/>
      <w:ind w:left="227" w:right="227"/>
    </w:pPr>
    <w:rPr>
      <w:rFonts w:ascii="Noto Sans Mono CJK SC" w:hAnsi="Noto Sans Mono CJK SC" w:eastAsia="Noto Sans Mono CJK SC"/>
      <w:color w:val="33415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