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A0" w:rsidRDefault="00EB07A0" w:rsidP="009507F9">
      <w:pPr>
        <w:widowControl/>
        <w:spacing w:line="560" w:lineRule="exact"/>
        <w:jc w:val="center"/>
        <w:rPr>
          <w:rFonts w:ascii="方正小标宋_GBK" w:eastAsia="方正小标宋_GBK" w:hAnsi="宋体" w:cs="Arial" w:hint="eastAsia"/>
          <w:color w:val="000000"/>
          <w:kern w:val="0"/>
          <w:sz w:val="44"/>
          <w:szCs w:val="44"/>
        </w:rPr>
      </w:pPr>
    </w:p>
    <w:p w:rsidR="009507F9" w:rsidRPr="007B1C99" w:rsidRDefault="009507F9" w:rsidP="009507F9">
      <w:pPr>
        <w:widowControl/>
        <w:spacing w:line="560" w:lineRule="exact"/>
        <w:jc w:val="center"/>
        <w:rPr>
          <w:rFonts w:ascii="方正小标宋_GBK" w:eastAsia="方正小标宋_GBK" w:hAnsi="宋体" w:cs="Arial"/>
          <w:color w:val="000000"/>
          <w:kern w:val="0"/>
          <w:sz w:val="44"/>
          <w:szCs w:val="44"/>
        </w:rPr>
      </w:pPr>
      <w:r w:rsidRPr="007B1C99">
        <w:rPr>
          <w:rFonts w:ascii="方正小标宋_GBK" w:eastAsia="方正小标宋_GBK" w:hAnsi="宋体" w:cs="Arial" w:hint="eastAsia"/>
          <w:color w:val="000000"/>
          <w:kern w:val="0"/>
          <w:sz w:val="44"/>
          <w:szCs w:val="44"/>
        </w:rPr>
        <w:t>企业</w:t>
      </w:r>
      <w:r w:rsidR="00C47BE9">
        <w:rPr>
          <w:rFonts w:ascii="方正小标宋_GBK" w:eastAsia="方正小标宋_GBK" w:hAnsi="宋体" w:cs="Arial" w:hint="eastAsia"/>
          <w:color w:val="000000"/>
          <w:kern w:val="0"/>
          <w:sz w:val="44"/>
          <w:szCs w:val="44"/>
        </w:rPr>
        <w:t>兼并重组</w:t>
      </w:r>
      <w:r w:rsidRPr="007B1C99">
        <w:rPr>
          <w:rFonts w:ascii="方正小标宋_GBK" w:eastAsia="方正小标宋_GBK" w:hAnsi="宋体" w:cs="Arial" w:hint="eastAsia"/>
          <w:color w:val="000000"/>
          <w:kern w:val="0"/>
          <w:sz w:val="44"/>
          <w:szCs w:val="44"/>
        </w:rPr>
        <w:t>项目申报具体要求</w:t>
      </w:r>
    </w:p>
    <w:p w:rsidR="009507F9" w:rsidRDefault="009507F9" w:rsidP="009507F9">
      <w:pPr>
        <w:widowControl/>
        <w:spacing w:line="560" w:lineRule="exact"/>
        <w:rPr>
          <w:rFonts w:ascii="宋体" w:hAnsi="宋体" w:cs="Arial"/>
          <w:b/>
          <w:color w:val="000000"/>
          <w:kern w:val="0"/>
          <w:sz w:val="32"/>
          <w:szCs w:val="32"/>
        </w:rPr>
      </w:pPr>
    </w:p>
    <w:p w:rsidR="00E4267A" w:rsidRPr="00963BA6" w:rsidRDefault="00963BA6" w:rsidP="00963BA6">
      <w:pPr>
        <w:autoSpaceDE w:val="0"/>
        <w:autoSpaceDN w:val="0"/>
        <w:spacing w:line="560" w:lineRule="exact"/>
        <w:ind w:firstLineChars="150" w:firstLine="480"/>
        <w:rPr>
          <w:rFonts w:ascii="方正黑体_GBK" w:eastAsia="方正黑体_GBK" w:hAnsi="楷体" w:hint="eastAsia"/>
          <w:sz w:val="32"/>
          <w:szCs w:val="32"/>
        </w:rPr>
      </w:pPr>
      <w:r>
        <w:rPr>
          <w:rFonts w:ascii="方正黑体_GBK" w:eastAsia="方正黑体_GBK" w:hAnsi="楷体" w:hint="eastAsia"/>
          <w:sz w:val="32"/>
          <w:szCs w:val="32"/>
        </w:rPr>
        <w:t>一</w:t>
      </w:r>
      <w:r>
        <w:rPr>
          <w:rFonts w:ascii="方正黑体_GBK" w:eastAsia="方正黑体_GBK" w:hAnsi="楷体"/>
          <w:sz w:val="32"/>
          <w:szCs w:val="32"/>
        </w:rPr>
        <w:t>、</w:t>
      </w:r>
      <w:r>
        <w:rPr>
          <w:rFonts w:ascii="方正黑体_GBK" w:eastAsia="方正黑体_GBK" w:hAnsi="楷体" w:hint="eastAsia"/>
          <w:sz w:val="32"/>
          <w:szCs w:val="32"/>
        </w:rPr>
        <w:t>支持重点</w:t>
      </w:r>
    </w:p>
    <w:p w:rsidR="009507F9" w:rsidRPr="003249A7" w:rsidRDefault="009507F9" w:rsidP="009507F9">
      <w:pPr>
        <w:autoSpaceDE w:val="0"/>
        <w:autoSpaceDN w:val="0"/>
        <w:spacing w:line="560" w:lineRule="exact"/>
        <w:ind w:firstLineChars="150" w:firstLine="480"/>
        <w:rPr>
          <w:rFonts w:ascii="仿宋" w:eastAsia="仿宋" w:hAnsi="仿宋"/>
          <w:snapToGrid w:val="0"/>
          <w:color w:val="000000"/>
          <w:sz w:val="32"/>
          <w:szCs w:val="20"/>
        </w:rPr>
      </w:pPr>
      <w:r w:rsidRPr="00E4267A">
        <w:rPr>
          <w:rFonts w:ascii="方正仿宋_GBK" w:eastAsia="方正仿宋_GBK" w:hAnsi="仿宋" w:hint="eastAsia"/>
          <w:snapToGrid w:val="0"/>
          <w:color w:val="000000"/>
          <w:sz w:val="32"/>
          <w:szCs w:val="20"/>
        </w:rPr>
        <w:t>以强化延伸产业链和突破关键核心技术为重点，通过智能制造、绿色制造及综合利用互联网实现生产、管理、服务、商业模式创新和业态创新，提升市场竞争力成效显著的成功并购案例，尤其是实施跨国（境）高端制造企业并购、国外研发机构和品牌收购等。</w:t>
      </w:r>
    </w:p>
    <w:p w:rsidR="009507F9" w:rsidRPr="00963BA6" w:rsidRDefault="00963BA6" w:rsidP="00963BA6">
      <w:pPr>
        <w:autoSpaceDE w:val="0"/>
        <w:autoSpaceDN w:val="0"/>
        <w:spacing w:line="560" w:lineRule="exact"/>
        <w:ind w:firstLineChars="150" w:firstLine="480"/>
        <w:rPr>
          <w:rFonts w:ascii="方正黑体_GBK" w:eastAsia="方正黑体_GBK" w:hAnsi="楷体"/>
          <w:sz w:val="32"/>
          <w:szCs w:val="32"/>
        </w:rPr>
      </w:pPr>
      <w:r w:rsidRPr="00963BA6">
        <w:rPr>
          <w:rFonts w:ascii="方正黑体_GBK" w:eastAsia="方正黑体_GBK" w:hAnsi="楷体" w:hint="eastAsia"/>
          <w:sz w:val="32"/>
          <w:szCs w:val="32"/>
        </w:rPr>
        <w:t>二</w:t>
      </w:r>
      <w:r w:rsidRPr="00963BA6">
        <w:rPr>
          <w:rFonts w:ascii="方正黑体_GBK" w:eastAsia="方正黑体_GBK" w:hAnsi="楷体"/>
          <w:sz w:val="32"/>
          <w:szCs w:val="32"/>
        </w:rPr>
        <w:t>、</w:t>
      </w:r>
      <w:r w:rsidRPr="00963BA6">
        <w:rPr>
          <w:rFonts w:ascii="方正黑体_GBK" w:eastAsia="方正黑体_GBK" w:hAnsi="楷体" w:hint="eastAsia"/>
          <w:sz w:val="32"/>
          <w:szCs w:val="32"/>
        </w:rPr>
        <w:t>申报条件</w:t>
      </w:r>
    </w:p>
    <w:p w:rsidR="009507F9" w:rsidRPr="00F95CB5" w:rsidRDefault="009507F9" w:rsidP="009507F9">
      <w:pPr>
        <w:autoSpaceDE w:val="0"/>
        <w:autoSpaceDN w:val="0"/>
        <w:spacing w:line="580" w:lineRule="exact"/>
        <w:ind w:firstLineChars="196" w:firstLine="627"/>
        <w:rPr>
          <w:rFonts w:eastAsia="方正仿宋_GBK"/>
          <w:sz w:val="32"/>
          <w:szCs w:val="32"/>
        </w:rPr>
      </w:pPr>
      <w:r w:rsidRPr="00F95CB5">
        <w:rPr>
          <w:rFonts w:eastAsia="方正仿宋_GBK"/>
          <w:sz w:val="32"/>
          <w:szCs w:val="32"/>
        </w:rPr>
        <w:t>1</w:t>
      </w:r>
      <w:r w:rsidRPr="00F95CB5">
        <w:rPr>
          <w:rFonts w:eastAsia="方正仿宋_GBK"/>
          <w:sz w:val="32"/>
          <w:szCs w:val="32"/>
        </w:rPr>
        <w:t>、按照自愿申报原则，申报单位应为发起兼并重组，在江苏省境内注册、具有独立法人资格和健全财务管理制度，符合国家产业政策导向，并已报备《</w:t>
      </w:r>
      <w:r w:rsidRPr="00F95CB5">
        <w:rPr>
          <w:rFonts w:eastAsia="方正仿宋_GBK"/>
          <w:sz w:val="32"/>
          <w:szCs w:val="32"/>
        </w:rPr>
        <w:t>2016</w:t>
      </w:r>
      <w:r w:rsidRPr="00F95CB5">
        <w:rPr>
          <w:rFonts w:eastAsia="方正仿宋_GBK"/>
          <w:sz w:val="32"/>
          <w:szCs w:val="32"/>
        </w:rPr>
        <w:t>年度江苏省企业兼并重组项目信息库》的入库企业。</w:t>
      </w:r>
    </w:p>
    <w:p w:rsidR="009507F9" w:rsidRPr="00F95CB5" w:rsidRDefault="009507F9" w:rsidP="009507F9">
      <w:pPr>
        <w:autoSpaceDE w:val="0"/>
        <w:autoSpaceDN w:val="0"/>
        <w:spacing w:line="580" w:lineRule="exact"/>
        <w:ind w:firstLineChars="196" w:firstLine="627"/>
        <w:rPr>
          <w:rFonts w:eastAsia="方正仿宋_GBK"/>
          <w:snapToGrid w:val="0"/>
          <w:kern w:val="0"/>
          <w:sz w:val="32"/>
          <w:szCs w:val="32"/>
        </w:rPr>
      </w:pPr>
      <w:r w:rsidRPr="00F95CB5">
        <w:rPr>
          <w:rFonts w:eastAsia="方正仿宋_GBK"/>
          <w:snapToGrid w:val="0"/>
          <w:kern w:val="0"/>
          <w:sz w:val="32"/>
          <w:szCs w:val="32"/>
        </w:rPr>
        <w:t>2</w:t>
      </w:r>
      <w:r w:rsidRPr="00F95CB5">
        <w:rPr>
          <w:rFonts w:eastAsia="方正仿宋_GBK"/>
          <w:snapToGrid w:val="0"/>
          <w:kern w:val="0"/>
          <w:sz w:val="32"/>
          <w:szCs w:val="32"/>
        </w:rPr>
        <w:t>、</w:t>
      </w:r>
      <w:r w:rsidRPr="00F95CB5">
        <w:rPr>
          <w:rFonts w:eastAsia="方正仿宋_GBK"/>
          <w:snapToGrid w:val="0"/>
          <w:kern w:val="0"/>
          <w:sz w:val="32"/>
          <w:szCs w:val="32"/>
        </w:rPr>
        <w:t>2016</w:t>
      </w:r>
      <w:r w:rsidRPr="00F95CB5">
        <w:rPr>
          <w:rFonts w:eastAsia="方正仿宋_GBK"/>
          <w:snapToGrid w:val="0"/>
          <w:kern w:val="0"/>
          <w:sz w:val="32"/>
          <w:szCs w:val="32"/>
        </w:rPr>
        <w:t>年度成功并购国内外企业且社会影响大、行业带动力强、运行质态良好，经济效益和社会效益显著。</w:t>
      </w:r>
    </w:p>
    <w:p w:rsidR="009507F9" w:rsidRPr="00F95CB5" w:rsidRDefault="009507F9" w:rsidP="009507F9">
      <w:pPr>
        <w:autoSpaceDE w:val="0"/>
        <w:autoSpaceDN w:val="0"/>
        <w:spacing w:line="580" w:lineRule="exact"/>
        <w:ind w:firstLineChars="196" w:firstLine="627"/>
        <w:rPr>
          <w:rFonts w:eastAsia="方正仿宋_GBK"/>
          <w:snapToGrid w:val="0"/>
          <w:kern w:val="0"/>
          <w:sz w:val="32"/>
          <w:szCs w:val="32"/>
        </w:rPr>
      </w:pPr>
      <w:r w:rsidRPr="00F95CB5">
        <w:rPr>
          <w:rFonts w:eastAsia="方正仿宋_GBK"/>
          <w:snapToGrid w:val="0"/>
          <w:kern w:val="0"/>
          <w:sz w:val="32"/>
          <w:szCs w:val="32"/>
        </w:rPr>
        <w:t>3</w:t>
      </w:r>
      <w:r w:rsidRPr="00F95CB5">
        <w:rPr>
          <w:rFonts w:eastAsia="方正仿宋_GBK"/>
          <w:snapToGrid w:val="0"/>
          <w:kern w:val="0"/>
          <w:sz w:val="32"/>
          <w:szCs w:val="32"/>
        </w:rPr>
        <w:t>、兼并重组交易应为符合国家规定并已取得相关核准手续的非关联企业交易；并购完成后，发起方企业须绝对控股。</w:t>
      </w:r>
    </w:p>
    <w:p w:rsidR="009507F9" w:rsidRPr="00F95CB5" w:rsidRDefault="009507F9" w:rsidP="009507F9">
      <w:pPr>
        <w:autoSpaceDE w:val="0"/>
        <w:autoSpaceDN w:val="0"/>
        <w:spacing w:line="580" w:lineRule="exact"/>
        <w:ind w:firstLineChars="195" w:firstLine="624"/>
        <w:rPr>
          <w:rFonts w:eastAsia="方正仿宋_GBK"/>
          <w:snapToGrid w:val="0"/>
          <w:kern w:val="0"/>
          <w:sz w:val="32"/>
          <w:szCs w:val="32"/>
        </w:rPr>
      </w:pPr>
      <w:r w:rsidRPr="00F95CB5">
        <w:rPr>
          <w:rFonts w:eastAsia="方正仿宋_GBK"/>
          <w:snapToGrid w:val="0"/>
          <w:kern w:val="0"/>
          <w:sz w:val="32"/>
          <w:szCs w:val="32"/>
        </w:rPr>
        <w:t>4</w:t>
      </w:r>
      <w:r w:rsidRPr="00F95CB5">
        <w:rPr>
          <w:rFonts w:eastAsia="方正仿宋_GBK"/>
          <w:snapToGrid w:val="0"/>
          <w:kern w:val="0"/>
          <w:sz w:val="32"/>
          <w:szCs w:val="32"/>
        </w:rPr>
        <w:t>、兼并重组协议中并购企业对目标企业的实际出资额折合人民币</w:t>
      </w:r>
      <w:r w:rsidRPr="00F95CB5">
        <w:rPr>
          <w:rFonts w:eastAsia="方正仿宋_GBK"/>
          <w:snapToGrid w:val="0"/>
          <w:kern w:val="0"/>
          <w:sz w:val="32"/>
          <w:szCs w:val="32"/>
        </w:rPr>
        <w:t>1</w:t>
      </w:r>
      <w:r w:rsidRPr="00F95CB5">
        <w:rPr>
          <w:rFonts w:eastAsia="方正仿宋_GBK"/>
          <w:snapToGrid w:val="0"/>
          <w:kern w:val="0"/>
          <w:sz w:val="32"/>
          <w:szCs w:val="32"/>
        </w:rPr>
        <w:t>亿元以上（海外并购、苏北地区企业可放宽至</w:t>
      </w:r>
      <w:r w:rsidRPr="00F95CB5">
        <w:rPr>
          <w:rFonts w:eastAsia="方正仿宋_GBK"/>
          <w:snapToGrid w:val="0"/>
          <w:kern w:val="0"/>
          <w:sz w:val="32"/>
          <w:szCs w:val="32"/>
        </w:rPr>
        <w:t>6000</w:t>
      </w:r>
      <w:r w:rsidRPr="00F95CB5">
        <w:rPr>
          <w:rFonts w:eastAsia="方正仿宋_GBK"/>
          <w:snapToGrid w:val="0"/>
          <w:kern w:val="0"/>
          <w:sz w:val="32"/>
          <w:szCs w:val="32"/>
        </w:rPr>
        <w:t>万元）。</w:t>
      </w:r>
    </w:p>
    <w:p w:rsidR="00963BA6" w:rsidRDefault="00963BA6" w:rsidP="00963BA6">
      <w:pPr>
        <w:widowControl/>
        <w:spacing w:line="560" w:lineRule="exact"/>
        <w:ind w:firstLineChars="197" w:firstLine="630"/>
        <w:rPr>
          <w:rFonts w:ascii="方正黑体_GBK" w:eastAsia="方正黑体_GBK" w:hAnsi="楷体"/>
          <w:sz w:val="32"/>
          <w:szCs w:val="32"/>
        </w:rPr>
      </w:pPr>
      <w:r>
        <w:rPr>
          <w:rFonts w:ascii="方正黑体_GBK" w:eastAsia="方正黑体_GBK" w:hAnsi="楷体" w:hint="eastAsia"/>
          <w:sz w:val="32"/>
          <w:szCs w:val="32"/>
        </w:rPr>
        <w:t>三、支持方式</w:t>
      </w:r>
    </w:p>
    <w:p w:rsidR="009507F9" w:rsidRPr="00E4267A" w:rsidRDefault="009507F9" w:rsidP="00963BA6">
      <w:pPr>
        <w:widowControl/>
        <w:spacing w:line="560" w:lineRule="exact"/>
        <w:ind w:firstLineChars="197" w:firstLine="630"/>
        <w:rPr>
          <w:rFonts w:ascii="方正仿宋_GBK" w:eastAsia="方正仿宋_GBK" w:hAnsi="宋体"/>
          <w:sz w:val="32"/>
          <w:szCs w:val="32"/>
        </w:rPr>
      </w:pPr>
      <w:r w:rsidRPr="00E4267A">
        <w:rPr>
          <w:rFonts w:ascii="方正仿宋_GBK" w:eastAsia="方正仿宋_GBK" w:hAnsi="仿宋" w:hint="eastAsia"/>
          <w:sz w:val="32"/>
          <w:szCs w:val="32"/>
        </w:rPr>
        <w:t>按照</w:t>
      </w:r>
      <w:r w:rsidRPr="00E4267A">
        <w:rPr>
          <w:rFonts w:ascii="方正仿宋_GBK" w:eastAsia="方正仿宋_GBK" w:hAnsi="宋体" w:hint="eastAsia"/>
          <w:sz w:val="32"/>
          <w:szCs w:val="32"/>
        </w:rPr>
        <w:t>并购出资额、并购类型、</w:t>
      </w:r>
      <w:proofErr w:type="gramStart"/>
      <w:r w:rsidRPr="00E4267A">
        <w:rPr>
          <w:rFonts w:ascii="方正仿宋_GBK" w:eastAsia="方正仿宋_GBK" w:hAnsi="宋体" w:hint="eastAsia"/>
          <w:sz w:val="32"/>
          <w:szCs w:val="32"/>
        </w:rPr>
        <w:t>并购成效</w:t>
      </w:r>
      <w:proofErr w:type="gramEnd"/>
      <w:r w:rsidRPr="00E4267A">
        <w:rPr>
          <w:rFonts w:ascii="方正仿宋_GBK" w:eastAsia="方正仿宋_GBK" w:hAnsi="宋体" w:hint="eastAsia"/>
          <w:sz w:val="32"/>
          <w:szCs w:val="32"/>
        </w:rPr>
        <w:t>等对经专家综合评审及优选评定的企业兼并重组项目给予分档奖励。</w:t>
      </w:r>
    </w:p>
    <w:p w:rsidR="009507F9" w:rsidRPr="00E4267A" w:rsidRDefault="00963BA6" w:rsidP="00963BA6">
      <w:pPr>
        <w:widowControl/>
        <w:tabs>
          <w:tab w:val="left" w:pos="3195"/>
        </w:tabs>
        <w:spacing w:line="560" w:lineRule="exact"/>
        <w:ind w:firstLineChars="200" w:firstLine="640"/>
        <w:rPr>
          <w:rFonts w:ascii="方正楷体_GBK" w:eastAsia="方正楷体_GBK" w:hAnsi="楷体"/>
          <w:color w:val="000000"/>
          <w:sz w:val="32"/>
          <w:szCs w:val="32"/>
        </w:rPr>
      </w:pPr>
      <w:r>
        <w:rPr>
          <w:rFonts w:ascii="方正黑体_GBK" w:eastAsia="方正黑体_GBK" w:hAnsi="楷体" w:hint="eastAsia"/>
          <w:sz w:val="32"/>
          <w:szCs w:val="32"/>
        </w:rPr>
        <w:t>四</w:t>
      </w:r>
      <w:r>
        <w:rPr>
          <w:rFonts w:ascii="方正黑体_GBK" w:eastAsia="方正黑体_GBK" w:hAnsi="楷体"/>
          <w:sz w:val="32"/>
          <w:szCs w:val="32"/>
        </w:rPr>
        <w:t>、</w:t>
      </w:r>
      <w:r w:rsidR="009507F9" w:rsidRPr="00963BA6">
        <w:rPr>
          <w:rFonts w:ascii="方正黑体_GBK" w:eastAsia="方正黑体_GBK" w:hAnsi="楷体" w:hint="eastAsia"/>
          <w:sz w:val="32"/>
          <w:szCs w:val="32"/>
        </w:rPr>
        <w:t>申报材料</w:t>
      </w:r>
      <w:r w:rsidR="009507F9" w:rsidRPr="00E4267A">
        <w:rPr>
          <w:rFonts w:ascii="方正楷体_GBK" w:eastAsia="方正楷体_GBK" w:hAnsi="楷体" w:hint="eastAsia"/>
          <w:color w:val="000000"/>
          <w:sz w:val="32"/>
          <w:szCs w:val="32"/>
        </w:rPr>
        <w:t>（按下列顺序，A4纸规格装订成册）</w:t>
      </w:r>
    </w:p>
    <w:p w:rsidR="009507F9" w:rsidRPr="00505DFB" w:rsidRDefault="009507F9" w:rsidP="009507F9">
      <w:pPr>
        <w:widowControl/>
        <w:spacing w:line="560" w:lineRule="exact"/>
        <w:ind w:firstLineChars="200" w:firstLine="640"/>
        <w:jc w:val="left"/>
        <w:rPr>
          <w:rFonts w:eastAsia="方正仿宋_GBK"/>
          <w:color w:val="000000"/>
          <w:sz w:val="32"/>
          <w:szCs w:val="32"/>
        </w:rPr>
      </w:pPr>
      <w:r w:rsidRPr="00505DFB">
        <w:rPr>
          <w:rFonts w:eastAsia="方正仿宋_GBK"/>
          <w:color w:val="000000"/>
          <w:sz w:val="32"/>
          <w:szCs w:val="32"/>
        </w:rPr>
        <w:lastRenderedPageBreak/>
        <w:t>1</w:t>
      </w:r>
      <w:r w:rsidRPr="00505DFB">
        <w:rPr>
          <w:rFonts w:eastAsia="方正仿宋_GBK"/>
          <w:color w:val="000000"/>
          <w:sz w:val="32"/>
          <w:szCs w:val="32"/>
        </w:rPr>
        <w:t>、江苏省省级工业和信息产业转型升级专项资金（企业兼并重组项目）申请表。</w:t>
      </w:r>
    </w:p>
    <w:p w:rsidR="009507F9" w:rsidRPr="00505DFB" w:rsidRDefault="009507F9" w:rsidP="00930360">
      <w:pPr>
        <w:widowControl/>
        <w:spacing w:line="560" w:lineRule="exact"/>
        <w:ind w:firstLineChars="200" w:firstLine="640"/>
        <w:rPr>
          <w:rFonts w:eastAsia="方正仿宋_GBK"/>
          <w:color w:val="000000"/>
          <w:sz w:val="32"/>
          <w:szCs w:val="32"/>
        </w:rPr>
      </w:pPr>
      <w:r w:rsidRPr="00505DFB">
        <w:rPr>
          <w:rFonts w:eastAsia="方正仿宋_GBK"/>
          <w:color w:val="000000"/>
          <w:sz w:val="32"/>
          <w:szCs w:val="32"/>
        </w:rPr>
        <w:t>2</w:t>
      </w:r>
      <w:r w:rsidRPr="00505DFB">
        <w:rPr>
          <w:rFonts w:eastAsia="方正仿宋_GBK"/>
          <w:color w:val="000000"/>
          <w:sz w:val="32"/>
          <w:szCs w:val="32"/>
        </w:rPr>
        <w:t>、兼并重组案例。</w:t>
      </w:r>
      <w:r w:rsidRPr="00505DFB">
        <w:rPr>
          <w:rFonts w:eastAsia="方正仿宋_GBK"/>
          <w:sz w:val="32"/>
          <w:szCs w:val="32"/>
        </w:rPr>
        <w:t>主要</w:t>
      </w:r>
      <w:r w:rsidRPr="00505DFB">
        <w:rPr>
          <w:rFonts w:eastAsia="方正仿宋_GBK"/>
          <w:color w:val="000000"/>
          <w:sz w:val="32"/>
          <w:szCs w:val="32"/>
        </w:rPr>
        <w:t>内容包括企业概况（包括发起方和被兼并方）；兼并重组的战略意图、背景、目的阐述；兼并重组实施路径和具体做法；兼并重组的主要成效（经济效益和社会效益）等。</w:t>
      </w:r>
    </w:p>
    <w:p w:rsidR="009507F9" w:rsidRPr="00505DFB" w:rsidRDefault="009507F9" w:rsidP="00930360">
      <w:pPr>
        <w:widowControl/>
        <w:spacing w:line="560" w:lineRule="exact"/>
        <w:ind w:firstLineChars="200" w:firstLine="640"/>
        <w:rPr>
          <w:rFonts w:eastAsia="方正仿宋_GBK"/>
          <w:color w:val="000000"/>
          <w:sz w:val="32"/>
          <w:szCs w:val="32"/>
        </w:rPr>
      </w:pPr>
      <w:r w:rsidRPr="00505DFB">
        <w:rPr>
          <w:rFonts w:eastAsia="方正仿宋_GBK"/>
          <w:color w:val="000000"/>
          <w:sz w:val="32"/>
          <w:szCs w:val="32"/>
        </w:rPr>
        <w:t>3</w:t>
      </w:r>
      <w:r w:rsidRPr="00505DFB">
        <w:rPr>
          <w:rFonts w:eastAsia="方正仿宋_GBK"/>
          <w:color w:val="000000"/>
          <w:sz w:val="32"/>
          <w:szCs w:val="32"/>
        </w:rPr>
        <w:t>、有资质的会计师事务所出具的并购方企业和被兼并企业</w:t>
      </w:r>
      <w:r w:rsidRPr="00505DFB">
        <w:rPr>
          <w:rFonts w:eastAsia="方正仿宋_GBK"/>
          <w:color w:val="000000"/>
          <w:sz w:val="32"/>
          <w:szCs w:val="32"/>
        </w:rPr>
        <w:t>2016</w:t>
      </w:r>
      <w:r w:rsidRPr="00505DFB">
        <w:rPr>
          <w:rFonts w:eastAsia="方正仿宋_GBK"/>
          <w:color w:val="000000"/>
          <w:sz w:val="32"/>
          <w:szCs w:val="32"/>
        </w:rPr>
        <w:t>年度财务报表、财务审计报告复印件。</w:t>
      </w:r>
      <w:r w:rsidR="00261875" w:rsidRPr="00505DFB">
        <w:rPr>
          <w:rFonts w:eastAsia="方正仿宋_GBK"/>
          <w:color w:val="000000"/>
          <w:sz w:val="32"/>
          <w:szCs w:val="32"/>
        </w:rPr>
        <w:t>（并购方为集团性质的需提供合并报表）</w:t>
      </w:r>
      <w:bookmarkStart w:id="0" w:name="_GoBack"/>
      <w:bookmarkEnd w:id="0"/>
    </w:p>
    <w:p w:rsidR="009507F9" w:rsidRPr="00505DFB" w:rsidRDefault="009507F9" w:rsidP="00930360">
      <w:pPr>
        <w:widowControl/>
        <w:spacing w:line="560" w:lineRule="exact"/>
        <w:ind w:firstLineChars="200" w:firstLine="640"/>
        <w:rPr>
          <w:rFonts w:eastAsia="方正仿宋_GBK"/>
          <w:color w:val="000000"/>
          <w:sz w:val="32"/>
          <w:szCs w:val="32"/>
        </w:rPr>
      </w:pPr>
      <w:r w:rsidRPr="00505DFB">
        <w:rPr>
          <w:rFonts w:eastAsia="方正仿宋_GBK"/>
          <w:color w:val="000000"/>
          <w:sz w:val="32"/>
          <w:szCs w:val="32"/>
        </w:rPr>
        <w:t>4</w:t>
      </w:r>
      <w:r w:rsidRPr="00505DFB">
        <w:rPr>
          <w:rFonts w:eastAsia="方正仿宋_GBK"/>
          <w:color w:val="000000"/>
          <w:sz w:val="32"/>
          <w:szCs w:val="32"/>
        </w:rPr>
        <w:t>、兼并重组协议书（合同）复印件。</w:t>
      </w:r>
    </w:p>
    <w:p w:rsidR="009507F9" w:rsidRPr="00505DFB" w:rsidRDefault="009507F9" w:rsidP="00930360">
      <w:pPr>
        <w:widowControl/>
        <w:spacing w:line="560" w:lineRule="exact"/>
        <w:ind w:firstLineChars="200" w:firstLine="640"/>
        <w:rPr>
          <w:rFonts w:eastAsia="方正仿宋_GBK"/>
          <w:color w:val="000000"/>
          <w:sz w:val="32"/>
          <w:szCs w:val="32"/>
        </w:rPr>
      </w:pPr>
      <w:r w:rsidRPr="00505DFB">
        <w:rPr>
          <w:rFonts w:eastAsia="方正仿宋_GBK"/>
          <w:color w:val="000000"/>
          <w:sz w:val="32"/>
          <w:szCs w:val="32"/>
        </w:rPr>
        <w:t>5</w:t>
      </w:r>
      <w:r w:rsidRPr="00505DFB">
        <w:rPr>
          <w:rFonts w:eastAsia="方正仿宋_GBK"/>
          <w:color w:val="000000"/>
          <w:sz w:val="32"/>
          <w:szCs w:val="32"/>
        </w:rPr>
        <w:t>、兼并重组企业工商变更（备案）通知书、营业执照复印件、税务登记证明。</w:t>
      </w:r>
    </w:p>
    <w:p w:rsidR="009507F9" w:rsidRPr="00505DFB" w:rsidRDefault="009507F9" w:rsidP="00930360">
      <w:pPr>
        <w:widowControl/>
        <w:spacing w:line="560" w:lineRule="exact"/>
        <w:ind w:firstLineChars="200" w:firstLine="640"/>
        <w:rPr>
          <w:rFonts w:eastAsia="方正仿宋_GBK"/>
          <w:color w:val="000000"/>
          <w:sz w:val="32"/>
          <w:szCs w:val="32"/>
        </w:rPr>
      </w:pPr>
      <w:r w:rsidRPr="00505DFB">
        <w:rPr>
          <w:rFonts w:eastAsia="方正仿宋_GBK"/>
          <w:color w:val="000000"/>
          <w:sz w:val="32"/>
          <w:szCs w:val="32"/>
        </w:rPr>
        <w:t>6</w:t>
      </w:r>
      <w:r w:rsidRPr="00505DFB">
        <w:rPr>
          <w:rFonts w:eastAsia="方正仿宋_GBK"/>
          <w:color w:val="000000"/>
          <w:sz w:val="32"/>
          <w:szCs w:val="32"/>
        </w:rPr>
        <w:t>、对申报项目评审有帮助的其他材料及复印件。</w:t>
      </w:r>
    </w:p>
    <w:p w:rsidR="009507F9" w:rsidRPr="00505DFB" w:rsidRDefault="009507F9" w:rsidP="009507F9">
      <w:pPr>
        <w:rPr>
          <w:rFonts w:eastAsia="方正仿宋_GBK"/>
        </w:rPr>
      </w:pPr>
    </w:p>
    <w:p w:rsidR="00DD2C6C" w:rsidRPr="00505DFB" w:rsidRDefault="00DB483C" w:rsidP="00DB483C">
      <w:pPr>
        <w:ind w:firstLineChars="200" w:firstLine="640"/>
        <w:rPr>
          <w:rFonts w:eastAsia="方正仿宋_GBK"/>
          <w:color w:val="000000"/>
          <w:sz w:val="32"/>
          <w:szCs w:val="32"/>
        </w:rPr>
      </w:pPr>
      <w:r w:rsidRPr="00505DFB">
        <w:rPr>
          <w:rFonts w:eastAsia="方正仿宋_GBK"/>
          <w:color w:val="000000"/>
          <w:sz w:val="32"/>
          <w:szCs w:val="32"/>
        </w:rPr>
        <w:t>联系人：企业发展服务处</w:t>
      </w:r>
      <w:r w:rsidRPr="00505DFB">
        <w:rPr>
          <w:rFonts w:eastAsia="方正仿宋_GBK"/>
          <w:color w:val="000000"/>
          <w:sz w:val="32"/>
          <w:szCs w:val="32"/>
        </w:rPr>
        <w:t xml:space="preserve"> </w:t>
      </w:r>
      <w:r w:rsidRPr="00505DFB">
        <w:rPr>
          <w:rFonts w:eastAsia="方正仿宋_GBK"/>
          <w:color w:val="000000"/>
          <w:sz w:val="32"/>
          <w:szCs w:val="32"/>
        </w:rPr>
        <w:t>韩晶</w:t>
      </w:r>
      <w:r w:rsidRPr="00505DFB">
        <w:rPr>
          <w:rFonts w:eastAsia="方正仿宋_GBK"/>
          <w:color w:val="000000"/>
          <w:sz w:val="32"/>
          <w:szCs w:val="32"/>
        </w:rPr>
        <w:t xml:space="preserve"> 025-86634936</w:t>
      </w:r>
    </w:p>
    <w:sectPr w:rsidR="00DD2C6C" w:rsidRPr="00505DFB" w:rsidSect="009507F9">
      <w:pgSz w:w="11906" w:h="16838"/>
      <w:pgMar w:top="993" w:right="17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黑体_GBK">
    <w:panose1 w:val="03000509000000000000"/>
    <w:charset w:val="86"/>
    <w:family w:val="script"/>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方正仿宋_GBK">
    <w:altName w:val="微软雅黑"/>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278AB"/>
    <w:multiLevelType w:val="multilevel"/>
    <w:tmpl w:val="0D560706"/>
    <w:lvl w:ilvl="0">
      <w:start w:val="1"/>
      <w:numFmt w:val="japaneseCounting"/>
      <w:lvlText w:val="%1、"/>
      <w:lvlJc w:val="left"/>
      <w:pPr>
        <w:ind w:left="6249" w:hanging="720"/>
      </w:pPr>
      <w:rPr>
        <w:rFonts w:cs="Times New Roman" w:hint="default"/>
        <w:lang w:val="en-US"/>
      </w:rPr>
    </w:lvl>
    <w:lvl w:ilvl="1" w:tentative="1">
      <w:start w:val="1"/>
      <w:numFmt w:val="lowerLetter"/>
      <w:lvlText w:val="%2)"/>
      <w:lvlJc w:val="left"/>
      <w:pPr>
        <w:ind w:left="6369" w:hanging="420"/>
      </w:pPr>
      <w:rPr>
        <w:rFonts w:cs="Times New Roman"/>
      </w:rPr>
    </w:lvl>
    <w:lvl w:ilvl="2" w:tentative="1">
      <w:start w:val="1"/>
      <w:numFmt w:val="lowerRoman"/>
      <w:lvlText w:val="%3."/>
      <w:lvlJc w:val="right"/>
      <w:pPr>
        <w:ind w:left="6789" w:hanging="420"/>
      </w:pPr>
      <w:rPr>
        <w:rFonts w:cs="Times New Roman"/>
      </w:rPr>
    </w:lvl>
    <w:lvl w:ilvl="3" w:tentative="1">
      <w:start w:val="1"/>
      <w:numFmt w:val="decimal"/>
      <w:lvlText w:val="%4."/>
      <w:lvlJc w:val="left"/>
      <w:pPr>
        <w:ind w:left="7209" w:hanging="420"/>
      </w:pPr>
      <w:rPr>
        <w:rFonts w:cs="Times New Roman"/>
      </w:rPr>
    </w:lvl>
    <w:lvl w:ilvl="4" w:tentative="1">
      <w:start w:val="1"/>
      <w:numFmt w:val="lowerLetter"/>
      <w:lvlText w:val="%5)"/>
      <w:lvlJc w:val="left"/>
      <w:pPr>
        <w:ind w:left="7629" w:hanging="420"/>
      </w:pPr>
      <w:rPr>
        <w:rFonts w:cs="Times New Roman"/>
      </w:rPr>
    </w:lvl>
    <w:lvl w:ilvl="5" w:tentative="1">
      <w:start w:val="1"/>
      <w:numFmt w:val="lowerRoman"/>
      <w:lvlText w:val="%6."/>
      <w:lvlJc w:val="right"/>
      <w:pPr>
        <w:ind w:left="8049" w:hanging="420"/>
      </w:pPr>
      <w:rPr>
        <w:rFonts w:cs="Times New Roman"/>
      </w:rPr>
    </w:lvl>
    <w:lvl w:ilvl="6" w:tentative="1">
      <w:start w:val="1"/>
      <w:numFmt w:val="decimal"/>
      <w:lvlText w:val="%7."/>
      <w:lvlJc w:val="left"/>
      <w:pPr>
        <w:ind w:left="8469" w:hanging="420"/>
      </w:pPr>
      <w:rPr>
        <w:rFonts w:cs="Times New Roman"/>
      </w:rPr>
    </w:lvl>
    <w:lvl w:ilvl="7" w:tentative="1">
      <w:start w:val="1"/>
      <w:numFmt w:val="lowerLetter"/>
      <w:lvlText w:val="%8)"/>
      <w:lvlJc w:val="left"/>
      <w:pPr>
        <w:ind w:left="8889" w:hanging="420"/>
      </w:pPr>
      <w:rPr>
        <w:rFonts w:cs="Times New Roman"/>
      </w:rPr>
    </w:lvl>
    <w:lvl w:ilvl="8" w:tentative="1">
      <w:start w:val="1"/>
      <w:numFmt w:val="lowerRoman"/>
      <w:lvlText w:val="%9."/>
      <w:lvlJc w:val="right"/>
      <w:pPr>
        <w:ind w:left="9309"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F9"/>
    <w:rsid w:val="0002426D"/>
    <w:rsid w:val="00261875"/>
    <w:rsid w:val="00505DFB"/>
    <w:rsid w:val="005361F0"/>
    <w:rsid w:val="006E6BE6"/>
    <w:rsid w:val="007B1C99"/>
    <w:rsid w:val="00930360"/>
    <w:rsid w:val="009507F9"/>
    <w:rsid w:val="00963BA6"/>
    <w:rsid w:val="00C47BE9"/>
    <w:rsid w:val="00DB483C"/>
    <w:rsid w:val="00DD2C6C"/>
    <w:rsid w:val="00E4267A"/>
    <w:rsid w:val="00EB07A0"/>
    <w:rsid w:val="00F9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CA90F-2BAB-4C8C-A000-B03C7C56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7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qFormat/>
    <w:rsid w:val="009507F9"/>
    <w:pPr>
      <w:ind w:firstLineChars="200" w:firstLine="420"/>
    </w:pPr>
  </w:style>
  <w:style w:type="paragraph" w:styleId="a3">
    <w:name w:val="List Paragraph"/>
    <w:basedOn w:val="a"/>
    <w:uiPriority w:val="34"/>
    <w:qFormat/>
    <w:rsid w:val="00E426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hanjing</dc:creator>
  <cp:keywords/>
  <dc:description/>
  <cp:lastModifiedBy>PC</cp:lastModifiedBy>
  <cp:revision>12</cp:revision>
  <dcterms:created xsi:type="dcterms:W3CDTF">2017-06-02T02:41:00Z</dcterms:created>
  <dcterms:modified xsi:type="dcterms:W3CDTF">2017-06-13T23:07:00Z</dcterms:modified>
</cp:coreProperties>
</file>