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25E" w:rsidRPr="001C625E" w:rsidRDefault="001C625E" w:rsidP="001C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Validation result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Overall status: not ready for production loading as-is.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design is a strong normalized foundation, and most of the workbook-to-SQL transformation is accurate. However, there is </w:t>
      </w:r>
      <w:r w:rsidRPr="001C625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one critical compatibility-data issue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several important taxonomy, provenance and integrity gaps that should be corrected before the scripts are run.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310"/>
      </w:tblGrid>
      <w:tr w:rsidR="001C625E" w:rsidRPr="001C625E" w:rsidTr="001C6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625E" w:rsidRPr="001C625E" w:rsidRDefault="001C625E" w:rsidP="001C62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C6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:rsidR="001C625E" w:rsidRPr="001C625E" w:rsidRDefault="001C625E" w:rsidP="001C62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C6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Result</w:t>
            </w:r>
          </w:p>
        </w:tc>
      </w:tr>
      <w:tr w:rsidR="001C625E" w:rsidRPr="001C625E" w:rsidTr="001C62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25E" w:rsidRPr="001C625E" w:rsidRDefault="001C625E" w:rsidP="001C6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C625E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ER diagram</w:t>
            </w:r>
          </w:p>
        </w:tc>
        <w:tc>
          <w:tcPr>
            <w:tcW w:w="0" w:type="auto"/>
            <w:vAlign w:val="center"/>
            <w:hideMark/>
          </w:tcPr>
          <w:p w:rsidR="001C625E" w:rsidRPr="001C625E" w:rsidRDefault="001C625E" w:rsidP="001C6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C6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Conditional pass</w:t>
            </w:r>
            <w:r w:rsidRPr="001C625E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— good conceptual structure, but several relationships and semantics need revision</w:t>
            </w:r>
          </w:p>
        </w:tc>
      </w:tr>
      <w:tr w:rsidR="001C625E" w:rsidRPr="001C625E" w:rsidTr="001C62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25E" w:rsidRPr="001C625E" w:rsidRDefault="001C625E" w:rsidP="001C6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C625E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DDL.sql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625E" w:rsidRPr="001C625E" w:rsidRDefault="001C625E" w:rsidP="001C6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C6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Conditional pass</w:t>
            </w:r>
            <w:r w:rsidRPr="001C625E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— structurally sound, with no obvious PostgreSQL syntax errors in static review</w:t>
            </w:r>
          </w:p>
        </w:tc>
      </w:tr>
      <w:tr w:rsidR="001C625E" w:rsidRPr="001C625E" w:rsidTr="001C62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25E" w:rsidRPr="001C625E" w:rsidRDefault="001C625E" w:rsidP="001C6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C625E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DML_Primary_Insert.sql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625E" w:rsidRPr="001C625E" w:rsidRDefault="001C625E" w:rsidP="001C62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C6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Blocked</w:t>
            </w:r>
            <w:r w:rsidRPr="001C625E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— most data is correct, but compatibility values may have been interpreted in reverse</w:t>
            </w:r>
          </w:p>
        </w:tc>
      </w:tr>
    </w:tbl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 inspected the Top15 Active Database.xlsx, celrevive_er_diagram.png, </w:t>
      </w: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DDL.sql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DML_Primary_Insert.sql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1. Workbook-to-DML reconciliation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The data conversion is generally comprehensive.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I verified the following counts:</w:t>
      </w:r>
    </w:p>
    <w:p w:rsidR="001C625E" w:rsidRPr="001C625E" w:rsidRDefault="001C625E" w:rsidP="001C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15 populated active ingredients </w:t>
      </w:r>
    </w:p>
    <w:p w:rsidR="001C625E" w:rsidRPr="001C625E" w:rsidRDefault="001C625E" w:rsidP="001C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5 bases </w:t>
      </w:r>
    </w:p>
    <w:p w:rsidR="001C625E" w:rsidRPr="001C625E" w:rsidRDefault="001C625E" w:rsidP="001C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32 skin concerns </w:t>
      </w:r>
    </w:p>
    <w:p w:rsidR="001C625E" w:rsidRPr="001C625E" w:rsidRDefault="001C625E" w:rsidP="001C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20 benefit dimensions </w:t>
      </w:r>
    </w:p>
    <w:p w:rsidR="001C625E" w:rsidRPr="001C625E" w:rsidRDefault="001C625E" w:rsidP="001C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300 active-benefit scores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matching all 15 × 20 workbook score cells </w:t>
      </w:r>
    </w:p>
    <w:p w:rsidR="001C625E" w:rsidRPr="001C625E" w:rsidRDefault="001C625E" w:rsidP="001C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94 distinct normalized tags </w:t>
      </w:r>
    </w:p>
    <w:p w:rsidR="001C625E" w:rsidRPr="001C625E" w:rsidRDefault="001C625E" w:rsidP="001C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165 active-tag associations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matching the workbook after merging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AI Tags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AI Tags 2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1C625E" w:rsidRPr="001C625E" w:rsidRDefault="001C625E" w:rsidP="001C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50 source-document filenames </w:t>
      </w:r>
    </w:p>
    <w:p w:rsidR="001C625E" w:rsidRPr="001C625E" w:rsidRDefault="001C625E" w:rsidP="001C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50 active-document associations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1C625E" w:rsidRPr="001C625E" w:rsidRDefault="001C625E" w:rsidP="001C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11 marked Oil/active matrix relationships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benefit scores, source-document associations and normalized tag associations reconcile exactly with the workbook. The DML is wrapped in a single transaction and loads parent data before dependent data, which is good.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Two transformations should be explicitly recorded in an ETL correction log:</w:t>
      </w:r>
    </w:p>
    <w:p w:rsidR="001C625E" w:rsidRPr="001C625E" w:rsidRDefault="001C625E" w:rsidP="001C6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ILUMYS usage-level cell is stored by Excel as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0.005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representing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0.5%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; the DML correctly loads it as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0.5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</w:t>
      </w:r>
    </w:p>
    <w:p w:rsidR="001C625E" w:rsidRPr="001C625E" w:rsidRDefault="001C625E" w:rsidP="001C6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The detailed sheet contains the malformed supplier text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SytheonRosacea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/ Redness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</w:t>
      </w: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Sytenol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® A. The DML correctly uses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Sytheon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apparently based on the cleaner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Actives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sheet. This correction is sensible but currently undocumented.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2. Critical blocker: compatibility appears to be reversed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DML states that every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the compatibility matrix is loaded as: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is_compatible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TRUE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and</w:t>
      </w:r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inserts the 11 marked Oil/active combinations as compatible.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That interpretation is very likely incorrect.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the workbook, the Oil row marks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against ingredients normalized in the DML as water-soluble or water-phase ingredients, including:</w:t>
      </w:r>
    </w:p>
    <w:p w:rsidR="001C625E" w:rsidRPr="001C625E" w:rsidRDefault="001C625E" w:rsidP="001C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Ectoin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® natural </w:t>
      </w:r>
    </w:p>
    <w:p w:rsidR="001C625E" w:rsidRPr="001C625E" w:rsidRDefault="001C625E" w:rsidP="001C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Dermabiotics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HDB1196 GN </w:t>
      </w:r>
    </w:p>
    <w:p w:rsidR="001C625E" w:rsidRPr="001C625E" w:rsidRDefault="001C625E" w:rsidP="001C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AmelioSense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™ </w:t>
      </w:r>
    </w:p>
    <w:p w:rsidR="001C625E" w:rsidRPr="001C625E" w:rsidRDefault="001C625E" w:rsidP="001C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Agefinity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™ </w:t>
      </w:r>
    </w:p>
    <w:p w:rsidR="001C625E" w:rsidRPr="001C625E" w:rsidRDefault="001C625E" w:rsidP="001C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ETERWELL™ YOUTH </w:t>
      </w:r>
    </w:p>
    <w:p w:rsidR="001C625E" w:rsidRPr="001C625E" w:rsidRDefault="001C625E" w:rsidP="001C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SYN®-COLL CB </w:t>
      </w:r>
    </w:p>
    <w:p w:rsidR="001C625E" w:rsidRPr="001C625E" w:rsidRDefault="001C625E" w:rsidP="001C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ENDOTHELYOL® </w:t>
      </w:r>
    </w:p>
    <w:p w:rsidR="001C625E" w:rsidRPr="001C625E" w:rsidRDefault="001C625E" w:rsidP="001C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Glycoin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® natural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Conversely, the Oil row is blank for clearly oil-soluble ingredients such as:</w:t>
      </w:r>
    </w:p>
    <w:p w:rsidR="001C625E" w:rsidRPr="001C625E" w:rsidRDefault="001C625E" w:rsidP="001C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Defensil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® Plus </w:t>
      </w:r>
    </w:p>
    <w:p w:rsidR="001C625E" w:rsidRPr="001C625E" w:rsidRDefault="001C625E" w:rsidP="001C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ILUMYS® </w:t>
      </w:r>
    </w:p>
    <w:p w:rsidR="001C625E" w:rsidRPr="001C625E" w:rsidRDefault="001C625E" w:rsidP="001C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Sytenol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® A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pattern strongly suggests that </w:t>
      </w:r>
      <w:r w:rsidRPr="001C625E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X</w:t>
      </w:r>
      <w:r w:rsidRPr="001C625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means incompatible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, rather than compatible.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Required action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Do not load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base_active_compatibility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until the workbook owner confirms what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gram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means.</w:t>
      </w:r>
      <w:proofErr w:type="gramEnd"/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A safer model would be: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base_active_assessment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base_id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active_id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compatibility_status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compatible</w:t>
      </w:r>
      <w:proofErr w:type="gram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incompatible</w:t>
      </w:r>
      <w:proofErr w:type="gram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conditional</w:t>
      </w:r>
      <w:proofErr w:type="gram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unknown</w:t>
      </w:r>
      <w:proofErr w:type="gram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notes</w:t>
      </w:r>
      <w:proofErr w:type="gram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source_reference</w:t>
      </w:r>
      <w:proofErr w:type="spellEnd"/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A Boolean alone is too restrictive for formulation data because compatibility can depend on pH, temperature, processing phase, emulsifier system or concentration.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 ER diagram validation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The diagram is a good conceptual overview. It correctly:</w:t>
      </w:r>
    </w:p>
    <w:p w:rsidR="001C625E" w:rsidRPr="001C625E" w:rsidRDefault="001C625E" w:rsidP="001C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separates </w:t>
      </w: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catalog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entities from operational entities; </w:t>
      </w:r>
    </w:p>
    <w:p w:rsidR="001C625E" w:rsidRPr="001C625E" w:rsidRDefault="001C625E" w:rsidP="001C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models benefit scores as a many-to-many relationship; </w:t>
      </w:r>
    </w:p>
    <w:p w:rsidR="001C625E" w:rsidRPr="001C625E" w:rsidRDefault="001C625E" w:rsidP="001C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normalizes tags and source documents; </w:t>
      </w:r>
    </w:p>
    <w:p w:rsidR="001C625E" w:rsidRPr="001C625E" w:rsidRDefault="001C625E" w:rsidP="001C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represents formulations with a header/detail structure; </w:t>
      </w:r>
    </w:p>
    <w:p w:rsidR="001C625E" w:rsidRPr="001C625E" w:rsidRDefault="001C625E" w:rsidP="001C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stores unordered active pairs only once; </w:t>
      </w:r>
    </w:p>
    <w:p w:rsidR="001C625E" w:rsidRPr="001C625E" w:rsidRDefault="001C625E" w:rsidP="001C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separates</w:t>
      </w:r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workbook-derived and proposed operational entities visually.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However, it should not yet be treated as the final physical ERD.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Cardinalities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Most displayed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1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..N</w:t>
      </w:r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cardinalities should be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0..N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on the parent side.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For example:</w:t>
      </w:r>
    </w:p>
    <w:p w:rsidR="001C625E" w:rsidRPr="001C625E" w:rsidRDefault="001C625E" w:rsidP="001C6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newly added active may have zero tags or source documents; </w:t>
      </w:r>
    </w:p>
    <w:p w:rsidR="001C625E" w:rsidRPr="001C625E" w:rsidRDefault="001C625E" w:rsidP="001C6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supplier may temporarily have no active records; </w:t>
      </w:r>
    </w:p>
    <w:p w:rsidR="001C625E" w:rsidRPr="001C625E" w:rsidRDefault="001C625E" w:rsidP="001C6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customer session may have zero formulations, audit events or concern scores; </w:t>
      </w:r>
    </w:p>
    <w:p w:rsidR="001C625E" w:rsidRPr="001C625E" w:rsidRDefault="001C625E" w:rsidP="001C6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a</w:t>
      </w:r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benefit dimension may exist before any active is scored against it.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Each bridge-table record has exactly one parent on either side, but each parent may participate in zero or many bridge records.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Active incompatibility relationship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active_incompatibility</w:t>
      </w:r>
      <w:proofErr w:type="spellEnd"/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has two foreign keys to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, but the diagram does not clearly display the two roles. The relationship should show:</w:t>
      </w:r>
    </w:p>
    <w:p w:rsidR="001C625E" w:rsidRPr="001C625E" w:rsidRDefault="001C625E" w:rsidP="001C6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active_id_low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→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active.active_id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1C625E" w:rsidRPr="001C625E" w:rsidRDefault="001C625E" w:rsidP="001C6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active_id_high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→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active.active_id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current table name and its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is_compatible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column also conflict semantically. Either:</w:t>
      </w:r>
    </w:p>
    <w:p w:rsidR="001C625E" w:rsidRPr="001C625E" w:rsidRDefault="001C625E" w:rsidP="001C6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rename it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active_pair_compatibility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retain a status field; or </w:t>
      </w:r>
    </w:p>
    <w:p w:rsidR="001C625E" w:rsidRPr="001C625E" w:rsidRDefault="001C625E" w:rsidP="001C6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keep</w:t>
      </w:r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active_incompatibility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remove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is_compatible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because every row would inherently describe an incompatibility.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Missing core relationship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model has a canonical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skin_concern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table but stores “Primary Skin Concerns Covered” only as generic tags.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That creates duplicate concepts:</w:t>
      </w:r>
    </w:p>
    <w:p w:rsidR="001C625E" w:rsidRPr="001C625E" w:rsidRDefault="001C625E" w:rsidP="001C6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skin_concern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Redness, Rosacea, Dry Skin, Sensitive Skin, etc. </w:t>
      </w:r>
    </w:p>
    <w:p w:rsidR="001C625E" w:rsidRPr="001C625E" w:rsidRDefault="001C625E" w:rsidP="001C6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tag</w:t>
      </w:r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Redness, Rosacea, Dry Skin, Sensitive Skin, etc.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Add a direct relationship: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active_skin_concern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active_id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skin_concern_id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relevance_score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, optional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relationship_type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, optional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notes</w:t>
      </w:r>
      <w:proofErr w:type="gramEnd"/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Generic tags should remain available for synonyms and search terms, but the formulation engine should use canonical skin-concern IDs.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4. DDL validation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DDL is well organized and uses appropriate primary keys, foreign keys, uniqueness constraints and normalized junction tables. The benefit-score, tag and document normalization decisions are sound.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No obvious fatal PostgreSQL syntax errors were found during static inspection. I could not execute the scripts against a live PostgreSQL server in this environment, so this is not a runtime certification.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A. AI Taxonomy data is not preserved </w:t>
      </w:r>
      <w:proofErr w:type="spellStart"/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losslessly</w:t>
      </w:r>
      <w:proofErr w:type="spellEnd"/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The workbook contains five AI Taxonomy columns:</w:t>
      </w:r>
    </w:p>
    <w:p w:rsidR="001C625E" w:rsidRPr="001C625E" w:rsidRDefault="001C625E" w:rsidP="001C6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Primary Category </w:t>
      </w:r>
    </w:p>
    <w:p w:rsidR="001C625E" w:rsidRPr="001C625E" w:rsidRDefault="001C625E" w:rsidP="001C6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When to use in AI matching </w:t>
      </w:r>
    </w:p>
    <w:p w:rsidR="001C625E" w:rsidRPr="001C625E" w:rsidRDefault="001C625E" w:rsidP="001C6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Severity </w:t>
      </w:r>
    </w:p>
    <w:p w:rsidR="001C625E" w:rsidRPr="001C625E" w:rsidRDefault="001C625E" w:rsidP="001C6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Identified by </w:t>
      </w:r>
    </w:p>
    <w:p w:rsidR="001C625E" w:rsidRPr="001C625E" w:rsidRDefault="001C625E" w:rsidP="001C6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Notes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DDL stores matching notes, identified-by and a field called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severity_notes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but it has no separate taxonomy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notes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field. Consequently, several important workbook instructions are discarded, including statements concerning:</w:t>
      </w:r>
    </w:p>
    <w:p w:rsidR="001C625E" w:rsidRPr="001C625E" w:rsidRDefault="001C625E" w:rsidP="001C6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capturing skin type in the photo; </w:t>
      </w:r>
    </w:p>
    <w:p w:rsidR="001C625E" w:rsidRPr="001C625E" w:rsidRDefault="001C625E" w:rsidP="001C6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considering skin type and sensory preference when choosing a base; </w:t>
      </w:r>
    </w:p>
    <w:p w:rsidR="001C625E" w:rsidRPr="001C625E" w:rsidRDefault="001C625E" w:rsidP="001C6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questionnaire allergy information; </w:t>
      </w:r>
    </w:p>
    <w:p w:rsidR="001C625E" w:rsidRPr="001C625E" w:rsidRDefault="001C625E" w:rsidP="001C6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AI-calculated severity; </w:t>
      </w:r>
    </w:p>
    <w:p w:rsidR="001C625E" w:rsidRPr="001C625E" w:rsidRDefault="001C625E" w:rsidP="001C6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future use of grams per 100 grams; </w:t>
      </w:r>
    </w:p>
    <w:p w:rsidR="001C625E" w:rsidRPr="001C625E" w:rsidRDefault="001C625E" w:rsidP="001C6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selecting</w:t>
      </w:r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actives based on the top three skin issues.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Add distinct columns such as: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severity_definition</w:t>
      </w:r>
      <w:proofErr w:type="spellEnd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TEXT,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taxonomy_notes</w:t>
      </w:r>
      <w:proofErr w:type="spellEnd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B. Active category and AI taxonomy are being conflated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The DML implicitly maps abbreviated active categories to longer AI taxonomy categories, for example:</w:t>
      </w:r>
    </w:p>
    <w:p w:rsidR="001C625E" w:rsidRPr="001C625E" w:rsidRDefault="001C625E" w:rsidP="001C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Barrier Repair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Barrier Repair / Ceramide System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1C625E" w:rsidRPr="001C625E" w:rsidRDefault="001C625E" w:rsidP="001C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Microbiome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Microbiome / Barrier Repair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1C625E" w:rsidRPr="001C625E" w:rsidRDefault="001C625E" w:rsidP="001C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Skin Longevity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Skin Longevity / Autophagy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1C625E" w:rsidRPr="001C625E" w:rsidRDefault="001C625E" w:rsidP="001C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Senescence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Senescence (Questionnaire) /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Inflammaging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(Image)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1C625E" w:rsidRPr="001C625E" w:rsidRDefault="001C625E" w:rsidP="001C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Pigmentation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Pigmentation / Age Spots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1C625E" w:rsidRPr="001C625E" w:rsidRDefault="001C625E" w:rsidP="001C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Rosacea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Rosacea / Redness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1C625E" w:rsidRPr="001C625E" w:rsidRDefault="001C625E" w:rsidP="001C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Retinol Alternative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Retinol Alternative / Acne &amp; Ageing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These are plausible mappings, but they are not exact source matches and should not be hidden inside a single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primary_category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record.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Use separate entities: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active_category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ai_taxonomy_category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active_category_taxonomy_mapping</w:t>
      </w:r>
      <w:proofErr w:type="spellEnd"/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mapping table can carry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mapping_status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approved_by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approved_at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notes.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C. Raw technical text is being lost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usage_level_text</w:t>
      </w:r>
      <w:proofErr w:type="spellEnd"/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preserves the raw usage information, but there is no equivalent raw field for recommended pH or solubility.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matters because values such as these cannot be represented fully by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ph_min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ph_max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1C625E" w:rsidRPr="001C625E" w:rsidRDefault="001C625E" w:rsidP="001C6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“6.5 and lower” </w:t>
      </w:r>
    </w:p>
    <w:p w:rsidR="001C625E" w:rsidRPr="001C625E" w:rsidRDefault="001C625E" w:rsidP="001C6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different maximum pH when particular preservatives are used; </w:t>
      </w:r>
    </w:p>
    <w:p w:rsidR="001C625E" w:rsidRPr="001C625E" w:rsidRDefault="001C625E" w:rsidP="001C6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“4.5–7.5 for a 10% solution”; </w:t>
      </w:r>
    </w:p>
    <w:p w:rsidR="001C625E" w:rsidRPr="001C625E" w:rsidRDefault="001C625E" w:rsidP="001C6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stable</w:t>
      </w:r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at one range but recommended for formulation at another range.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Add: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recommended_ph_text</w:t>
      </w:r>
      <w:proofErr w:type="spellEnd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TEXT,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solubility_text</w:t>
      </w:r>
      <w:proofErr w:type="spellEnd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Retain the numeric and normalized fields for filtering, but keep the source wording for formulation decisions and RAG.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D. Missing integrity checks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Recommended checks include: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cost_per_gram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&gt;= 0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age_min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&gt;= 0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age_max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&gt;=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age_min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ph_min</w:t>
      </w:r>
      <w:proofErr w:type="spellEnd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between 0 and 14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ph_max</w:t>
      </w:r>
      <w:proofErr w:type="spellEnd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between 0 and 14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ph_max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&gt;=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ph_min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usage_level_min_pct</w:t>
      </w:r>
      <w:proofErr w:type="spellEnd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between 0 and 100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usage_level_max_pct</w:t>
      </w:r>
      <w:proofErr w:type="spellEnd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between 0 and 100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usage_level_max_pct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&gt;=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usage_level_min_pct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grams_per_100g</w:t>
      </w:r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between 0 and 100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formulation_active.grams_per_100g</w:t>
      </w:r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 0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PostgreSQL permits row-level comparisons such as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ph_max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&gt;=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ph_min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; note that </w:t>
      </w: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nullable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values need explicit handling because a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CHECK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that evaluates to null is considered satisfied.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E. </w:t>
      </w:r>
      <w:proofErr w:type="spellStart"/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Nullable</w:t>
      </w:r>
      <w:proofErr w:type="spellEnd"/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mandatory references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following active columns are currently </w:t>
      </w: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nullable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supplier_id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category_id</w:t>
      </w:r>
      <w:proofErr w:type="spellEnd"/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All 15 loaded active records have values. Making these fields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NOT NULL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would prevent a failed lookup from silently inserting an active with missing master data.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Alternatively, introduce a deliberate lifecycle field such as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record_status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'draft' | 'approved'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, permitting null references only for draft placeholders.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F. Source provenance is too limited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source_document</w:t>
      </w:r>
      <w:proofErr w:type="spellEnd"/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currently contains only a unique filename. Filename alone is not a reliable document identity because separate folders or versions can use the same name.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Recommended metadata: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storage_uri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file_hash_sha256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document_version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document_type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supplier_id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publication_date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uploaded_at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mime_type</w:t>
      </w:r>
      <w:proofErr w:type="spellEnd"/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For explainability, add evidence-level relationships such as: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active_claim_evidence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active_benefit_score_evidence</w:t>
      </w:r>
      <w:proofErr w:type="spellEnd"/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These should link a particular claim or score to a document and, when known, page or section references.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G. PostgreSQL key generation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gen_random_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uuid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available as a core PostgreSQL UUID function in PostgreSQL 13 and later, including current PostgreSQL versions. Therefore the session definition is valid provided the project pins an appropriate supported PostgreSQL version.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SERIAL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remains usable, but identity columns are clearer for a new schema: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BIGINT GENERATED BY DEFAULT AS IDENTITY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PostgreSQL documents identity columns as the native automatically generated sequence-backed column mechanism.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H. Indexes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Some indexes are correctly included, but several reverse foreign-key indexes are missing: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active(</w:t>
      </w:r>
      <w:proofErr w:type="spellStart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supplier_id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active(</w:t>
      </w:r>
      <w:proofErr w:type="spellStart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category_id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active_source_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document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doc_id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base_active_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compatibility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active_id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incompatibility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active_id_high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formulation(</w:t>
      </w:r>
      <w:proofErr w:type="spellStart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base_id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formulation_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active_id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session_skin_concern_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score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skin_concern_id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PostgreSQL does not automatically create indexes on referencing foreign-key columns, so these should be added based on the expected query and delete patterns.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The explicit index on: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session_skin_concern_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score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session_id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is</w:t>
      </w:r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redundant because the primary-key index already begins with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session_id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5. DML operational concerns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DO NOTHING</w:t>
      </w: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prevents corrections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script is technically </w:t>
      </w: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rerunnable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, but it is not a true synchronization script. For master and active records: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ON CONFLICT (...) DO NOTHING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means</w:t>
      </w:r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that changing a score, category description or active property in a future workbook will not update the existing database.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DO UPDATE SET ...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controlled master-data synchronization, or load into staging tables and merge after validation.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Lookup failures can be hidden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Active rows use scalar lookup subqueries: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SELECT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supplier_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...</w:t>
      </w:r>
      <w:proofErr w:type="gram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SELECT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category_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id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...</w:t>
      </w:r>
      <w:proofErr w:type="gramEnd"/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a lookup returns no row, PostgreSQL produces null. Since the active foreign keys are </w:t>
      </w: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nullable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, the record can be inserted without its supplier or category.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Making those fields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NOT NULL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converts this into an immediate transaction failure, which is preferable for ETL integrity.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Workbook transformations need an audit table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Add an import structure such as: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import_batch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import_correction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import_rejection</w:t>
      </w:r>
      <w:proofErr w:type="spellEnd"/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This should record:</w:t>
      </w:r>
    </w:p>
    <w:p w:rsidR="001C625E" w:rsidRPr="001C625E" w:rsidRDefault="001C625E" w:rsidP="001C6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source workbook filename and hash; </w:t>
      </w:r>
    </w:p>
    <w:p w:rsidR="001C625E" w:rsidRPr="001C625E" w:rsidRDefault="001C625E" w:rsidP="001C6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worksheet and cell; </w:t>
      </w:r>
    </w:p>
    <w:p w:rsidR="001C625E" w:rsidRPr="001C625E" w:rsidRDefault="001C625E" w:rsidP="001C6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source value; </w:t>
      </w:r>
    </w:p>
    <w:p w:rsidR="001C625E" w:rsidRPr="001C625E" w:rsidRDefault="001C625E" w:rsidP="001C6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transformed value; </w:t>
      </w:r>
    </w:p>
    <w:p w:rsidR="001C625E" w:rsidRPr="001C625E" w:rsidRDefault="001C625E" w:rsidP="001C6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transformation rule; </w:t>
      </w:r>
    </w:p>
    <w:p w:rsidR="001C625E" w:rsidRPr="001C625E" w:rsidRDefault="001C625E" w:rsidP="001C6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whether</w:t>
      </w:r>
      <w:proofErr w:type="gram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 human approved the correction.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6. RAG readiness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normalized </w:t>
      </w: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catalog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should remain the source of truth. Embeddings should later be stored separately, for example: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document_chunk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chunk_id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doc_id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active_id</w:t>
      </w:r>
      <w:proofErr w:type="spell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, optional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chunk_index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page_start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page_end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chunk_text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gram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metadata</w:t>
      </w:r>
      <w:proofErr w:type="gramEnd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JSONB</w:t>
      </w:r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content_hash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embedding_model</w:t>
      </w:r>
      <w:proofErr w:type="spellEnd"/>
    </w:p>
    <w:p w:rsidR="001C625E" w:rsidRPr="001C625E" w:rsidRDefault="001C625E" w:rsidP="001C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- embedding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allows documents to be re-chunked or re-embedded without changing the scientific </w:t>
      </w: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catalog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records. Claim-to-document provenance should be established before embeddings are generated; otherwise a RAG answer may retrieve a relevant active but be unable to explain which source supports a particular score or formulation claim.</w:t>
      </w:r>
    </w:p>
    <w:p w:rsidR="001C625E" w:rsidRPr="001C625E" w:rsidRDefault="001C625E" w:rsidP="001C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Recommended approval sequence</w:t>
      </w:r>
    </w:p>
    <w:p w:rsidR="001C625E" w:rsidRPr="001C625E" w:rsidRDefault="001C625E" w:rsidP="001C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Confirm whether </w:t>
      </w:r>
      <w:r w:rsidRPr="001C625E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X</w:t>
      </w:r>
      <w:r w:rsidRPr="001C625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means compatible or incompatible.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1C625E" w:rsidRPr="001C625E" w:rsidRDefault="001C625E" w:rsidP="001C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Correct the compatibility table and DML accordingly. </w:t>
      </w:r>
      <w:bookmarkStart w:id="0" w:name="_GoBack"/>
      <w:bookmarkEnd w:id="0"/>
    </w:p>
    <w:p w:rsidR="001C625E" w:rsidRPr="001C625E" w:rsidRDefault="001C625E" w:rsidP="001C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Preserve the complete AI Taxonomy, especially its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Notes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column. </w:t>
      </w:r>
    </w:p>
    <w:p w:rsidR="001C625E" w:rsidRPr="001C625E" w:rsidRDefault="001C625E" w:rsidP="001C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Separate active categories from AI taxonomy and explicitly approve their mappings. </w:t>
      </w:r>
    </w:p>
    <w:p w:rsidR="001C625E" w:rsidRPr="001C625E" w:rsidRDefault="001C625E" w:rsidP="001C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Add </w:t>
      </w:r>
      <w:proofErr w:type="spellStart"/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active_skin_concern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</w:t>
      </w:r>
    </w:p>
    <w:p w:rsidR="001C625E" w:rsidRPr="001C625E" w:rsidRDefault="001C625E" w:rsidP="001C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Preserve raw pH and solubility wording. </w:t>
      </w:r>
    </w:p>
    <w:p w:rsidR="001C625E" w:rsidRPr="001C625E" w:rsidRDefault="001C625E" w:rsidP="001C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Add integrity checks, required foreign keys and missing indexes. </w:t>
      </w:r>
    </w:p>
    <w:p w:rsidR="001C625E" w:rsidRPr="001C625E" w:rsidRDefault="001C625E" w:rsidP="001C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Replace silent </w:t>
      </w:r>
      <w:r w:rsidRPr="001C625E">
        <w:rPr>
          <w:rFonts w:ascii="Courier New" w:eastAsia="Times New Roman" w:hAnsi="Courier New" w:cs="Courier New"/>
          <w:sz w:val="20"/>
          <w:szCs w:val="20"/>
          <w:lang w:eastAsia="en-AU"/>
        </w:rPr>
        <w:t>DO NOTHING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behavior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with a controlled import/</w:t>
      </w: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upsert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process. </w:t>
      </w:r>
    </w:p>
    <w:p w:rsidR="001C625E" w:rsidRPr="001C625E" w:rsidRDefault="001C625E" w:rsidP="001C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Keep operational and future RAG tables in separate migrations from the workbook </w:t>
      </w:r>
      <w:proofErr w:type="spellStart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>catalog</w:t>
      </w:r>
      <w:proofErr w:type="spellEnd"/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</w:t>
      </w:r>
    </w:p>
    <w:p w:rsidR="001C625E" w:rsidRPr="001C625E" w:rsidRDefault="001C625E" w:rsidP="001C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C625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Final verdict:</w:t>
      </w:r>
      <w:r w:rsidRPr="001C6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the solution is approximately a good first normalized implementation, but the compatibility interpretation is a release blocker. Once that issue and the taxonomy/provenance gaps are addressed, the schema will be a solid PostgreSQL foundation for the subsequent formulation engine and RAG layer.</w:t>
      </w:r>
    </w:p>
    <w:p w:rsidR="00DA5C0E" w:rsidRDefault="00DA5C0E"/>
    <w:sectPr w:rsidR="00DA5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7722E"/>
    <w:multiLevelType w:val="multilevel"/>
    <w:tmpl w:val="58DE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2EE2"/>
    <w:multiLevelType w:val="multilevel"/>
    <w:tmpl w:val="8DB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1581A"/>
    <w:multiLevelType w:val="multilevel"/>
    <w:tmpl w:val="395A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9021A"/>
    <w:multiLevelType w:val="multilevel"/>
    <w:tmpl w:val="BF2A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64C23"/>
    <w:multiLevelType w:val="multilevel"/>
    <w:tmpl w:val="3338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11AE9"/>
    <w:multiLevelType w:val="multilevel"/>
    <w:tmpl w:val="428C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9383B"/>
    <w:multiLevelType w:val="multilevel"/>
    <w:tmpl w:val="FD62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F1B10"/>
    <w:multiLevelType w:val="multilevel"/>
    <w:tmpl w:val="BF74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95BD7"/>
    <w:multiLevelType w:val="multilevel"/>
    <w:tmpl w:val="FDB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36AD8"/>
    <w:multiLevelType w:val="multilevel"/>
    <w:tmpl w:val="5178E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336139"/>
    <w:multiLevelType w:val="multilevel"/>
    <w:tmpl w:val="144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37691"/>
    <w:multiLevelType w:val="multilevel"/>
    <w:tmpl w:val="DF2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D2331"/>
    <w:multiLevelType w:val="multilevel"/>
    <w:tmpl w:val="892C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F65DD"/>
    <w:multiLevelType w:val="multilevel"/>
    <w:tmpl w:val="283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B2E69"/>
    <w:multiLevelType w:val="multilevel"/>
    <w:tmpl w:val="6AEA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8"/>
  </w:num>
  <w:num w:numId="5">
    <w:abstractNumId w:val="5"/>
  </w:num>
  <w:num w:numId="6">
    <w:abstractNumId w:val="6"/>
  </w:num>
  <w:num w:numId="7">
    <w:abstractNumId w:val="0"/>
  </w:num>
  <w:num w:numId="8">
    <w:abstractNumId w:val="3"/>
  </w:num>
  <w:num w:numId="9">
    <w:abstractNumId w:val="4"/>
  </w:num>
  <w:num w:numId="10">
    <w:abstractNumId w:val="13"/>
  </w:num>
  <w:num w:numId="11">
    <w:abstractNumId w:val="7"/>
  </w:num>
  <w:num w:numId="12">
    <w:abstractNumId w:val="12"/>
  </w:num>
  <w:num w:numId="13">
    <w:abstractNumId w:val="1"/>
  </w:num>
  <w:num w:numId="14">
    <w:abstractNumId w:val="1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B0B"/>
    <w:rsid w:val="001C625E"/>
    <w:rsid w:val="00DA5C0E"/>
    <w:rsid w:val="00F8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E0C630-06A5-4ABF-A8AF-0DB0C530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62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1C62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1C6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25E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1C625E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1C625E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1C6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1C62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62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2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25E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g">
    <w:name w:val="ͼg"/>
    <w:basedOn w:val="DefaultParagraphFont"/>
    <w:rsid w:val="001C625E"/>
  </w:style>
  <w:style w:type="character" w:customStyle="1" w:styleId="j">
    <w:name w:val="ͼj"/>
    <w:basedOn w:val="DefaultParagraphFont"/>
    <w:rsid w:val="001C6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9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0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5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2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45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0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46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1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28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563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1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6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9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86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0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9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7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32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1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8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18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6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7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9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95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81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7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8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3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7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73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81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03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1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309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70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5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4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4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2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56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9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9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7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9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4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64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03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766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59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57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9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9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0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8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35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6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91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6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7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0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7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7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0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9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61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2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0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4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21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85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05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7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73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26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9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8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6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67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7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0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8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5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5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7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3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7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0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34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650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9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9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93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0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8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57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9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28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3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1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6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23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9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3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5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4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4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37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31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1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56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0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7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8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17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5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66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5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0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83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7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3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7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14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9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0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62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9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8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12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9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0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99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7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7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9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6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1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22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1950</Words>
  <Characters>11115</Characters>
  <Application>Microsoft Office Word</Application>
  <DocSecurity>0</DocSecurity>
  <Lines>92</Lines>
  <Paragraphs>26</Paragraphs>
  <ScaleCrop>false</ScaleCrop>
  <Company/>
  <LinksUpToDate>false</LinksUpToDate>
  <CharactersWithSpaces>13039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2026-08-05T01:28:00Z</dcterms:created>
  <dcterms:modified xsi:type="dcterms:W3CDTF">2026-08-05T01:28:00Z</dcterms:modified>
</cp:coreProperties>
</file>