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Rule="auto" w:line="360"/>
        <w:jc w:val="center"/>
      </w:pPr>
      <w:r>
        <w:rPr>
          <w:rFonts w:ascii="Times New Roman" w:hAnsi="Times New Roman" w:eastAsia="신명조"/>
          <w:b/>
          <w:i w:val="0"/>
          <w:sz w:val="28"/>
        </w:rPr>
        <w:t>차   례</w:t>
      </w:r>
    </w:p>
    <w:p>
      <w:pPr>
        <w:spacing w:before="40" w:after="40" w:lineRule="auto" w:line="312"/>
        <w:ind w:left="0"/>
        <w:tabs>
          <w:tab w:val="right" w:pos="8220" w:leader="none"/>
        </w:tabs>
      </w:pPr>
      <w:r>
        <w:rPr>
          <w:rFonts w:ascii="Times New Roman" w:hAnsi="Times New Roman" w:eastAsia="신명조"/>
          <w:b/>
          <w:i w:val="0"/>
          <w:sz w:val="22"/>
        </w:rPr>
        <w:t>Ⅰ. 서론</w:t>
      </w:r>
      <w:r>
        <w:rPr>
          <w:rFonts w:ascii="Times New Roman" w:hAnsi="Times New Roman" w:eastAsia="신명조"/>
          <w:b/>
          <w:i w:val="0"/>
          <w:sz w:val="22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1. 연구 배경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2. 연구 목적 및 연구 질문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3. 연구 범위 및 한계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4. 연구 방법 및 분석 절차 개요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5. 논문 구성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40" w:after="40" w:lineRule="auto" w:line="312"/>
        <w:ind w:left="0"/>
        <w:tabs>
          <w:tab w:val="right" w:pos="8220" w:leader="none"/>
        </w:tabs>
      </w:pPr>
      <w:r>
        <w:rPr>
          <w:rFonts w:ascii="Times New Roman" w:hAnsi="Times New Roman" w:eastAsia="신명조"/>
          <w:b/>
          <w:i w:val="0"/>
          <w:sz w:val="22"/>
        </w:rPr>
        <w:t>Ⅱ. 이론적 배경 및 선행연구</w:t>
      </w:r>
      <w:r>
        <w:rPr>
          <w:rFonts w:ascii="Times New Roman" w:hAnsi="Times New Roman" w:eastAsia="신명조"/>
          <w:b/>
          <w:i w:val="0"/>
          <w:sz w:val="22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1. 실현분산(Realized Variance, RV)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고빈도 자료 기반 RV와 통합분산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거래일 기준 다중 기간 RV 정의 및 연율화 구조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2. 내재분산(Implied Variance)과 변동성지수(VIX)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옵션가격과 위험중립 기대변동성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VIX²를 IV proxy로 사용하는 근사와 한계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3. 분산위험프리미엄(Variance Risk Premium, VRP)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VRP의 정의와 경제적 의미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VRP와 예상수익률 및 리스크 프리미엄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4. 전통적 변동성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ARCH/GARCH 계열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HAR-RV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5. 기계학습 기반 변동성 예측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정규화 회귀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트리·부스팅 기반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신경망 기반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6. 앙상블 및 예측 결합 이론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Forecast Combination의 이론적 배경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가중 앙상블과 본 연구의 WEns 설계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7. 다중 자산 VRP 및 스필오버 선행연구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주식시장 VRP 측정 및 예측력 연구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크로스애셋 VRP와 시장 간 스필오버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40" w:after="40" w:lineRule="auto" w:line="312"/>
        <w:ind w:left="0"/>
        <w:tabs>
          <w:tab w:val="right" w:pos="8220" w:leader="none"/>
        </w:tabs>
      </w:pPr>
      <w:r>
        <w:rPr>
          <w:rFonts w:ascii="Times New Roman" w:hAnsi="Times New Roman" w:eastAsia="신명조"/>
          <w:b/>
          <w:i w:val="0"/>
          <w:sz w:val="22"/>
        </w:rPr>
        <w:t>Ⅲ. 데이터 및 방법론</w:t>
      </w:r>
      <w:r>
        <w:rPr>
          <w:rFonts w:ascii="Times New Roman" w:hAnsi="Times New Roman" w:eastAsia="신명조"/>
          <w:b/>
          <w:i w:val="0"/>
          <w:sz w:val="22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1. 분석 대상 자산 및 데이터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자산 구성 및 표본 기간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데이터 출처 및 변수 정의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기초 통계량 개요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2. 데이터 전처리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결측치 처리 전략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배당락·가격 점프의 영향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3. 변수 및 피처 구성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일별 수익률과 단일 기간 RV 정의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다중 예측 기간 RV 타깃 구성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IV 및 VRP 정의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4) 피처 그룹 설계 개요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5) 대표 피처 수식 및 직관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4. 예측 문제 설정 및 데이터 구성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패널 구조와 타깃 정의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학습/검증/테스트 분할 및 purge gap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5. 예측 모형군 정의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벤치마크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선형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트리·부스팅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4) 신경망 모형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6. WEns 가중 앙상블 알고리즘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WEns 구조 정의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내부 검증 기반 가중치 선택 절차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WEns의 역할 분담과 직관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7. 하이퍼파라미터 탐색 및 학습 절차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모형별 하이퍼파라미터 탐색 공간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최종 하이퍼파라미터 선정 기준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8. 평가 지표 및 통계 검정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오차 지표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설명력 지표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Diebold–Mariano 검정 및 HAC 추정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40" w:after="40" w:lineRule="auto" w:line="312"/>
        <w:ind w:left="0"/>
        <w:tabs>
          <w:tab w:val="right" w:pos="8220" w:leader="none"/>
        </w:tabs>
      </w:pPr>
      <w:r>
        <w:rPr>
          <w:rFonts w:ascii="Times New Roman" w:hAnsi="Times New Roman" w:eastAsia="신명조"/>
          <w:b/>
          <w:i w:val="0"/>
          <w:sz w:val="22"/>
        </w:rPr>
        <w:t>Ⅳ. 실증 분석 결과</w:t>
      </w:r>
      <w:r>
        <w:rPr>
          <w:rFonts w:ascii="Times New Roman" w:hAnsi="Times New Roman" w:eastAsia="신명조"/>
          <w:b/>
          <w:i w:val="0"/>
          <w:sz w:val="22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1. 전체 모형 성능 비교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기간별 Pooled R²·RMSE 결과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기간별 최적 모형 분석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2. 자산별·자산군별 성능 분석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자산별 R² 비교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자산군별 성능 패턴 해석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3. 피처 기여도 및 중요도 분석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피처 그룹 제거 실험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피처 중요도 합의 분석 (Kendall's W)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4. 시장 레짐별 예측 성능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VIX 분위수 기반 레짐 정의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레짐별 WEns vs HAR-3 성능 비교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고변동성 구간 예측력 개선 해석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5. 베이스라인 및 변형 모형 비교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NaiveRV·GARCH·IV-only vs WEns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HAR-3 vs LASSO-HAR vs LASSO-Full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강건성 검증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6. 예측 RV 기반 VRP 분석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VRP 정의 및 산출 방법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기간별 VRP 분포 특성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3) 자산군별 VRP 수준 비교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7. 경제적 가치 평가 (탐색적)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1) 변동성 타깃팅 전략 개요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794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2) 향후 분석 방향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40" w:after="40" w:lineRule="auto" w:line="312"/>
        <w:ind w:left="0"/>
        <w:tabs>
          <w:tab w:val="right" w:pos="8220" w:leader="none"/>
        </w:tabs>
      </w:pPr>
      <w:r>
        <w:rPr>
          <w:rFonts w:ascii="Times New Roman" w:hAnsi="Times New Roman" w:eastAsia="신명조"/>
          <w:b/>
          <w:i w:val="0"/>
          <w:sz w:val="22"/>
        </w:rPr>
        <w:t>Ⅴ. 결론 및 향후 연구</w:t>
      </w:r>
      <w:r>
        <w:rPr>
          <w:rFonts w:ascii="Times New Roman" w:hAnsi="Times New Roman" w:eastAsia="신명조"/>
          <w:b/>
          <w:i w:val="0"/>
          <w:sz w:val="22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1. 연구 결과 요약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2. 학문적·실무적 시사점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3. 연구 한계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spacing w:before="0" w:after="20" w:lineRule="auto" w:line="312"/>
        <w:ind w:left="397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4. 향후 연구 방향</w:t>
      </w:r>
      <w:r>
        <w:rPr>
          <w:rFonts w:ascii="Times New Roman" w:hAnsi="Times New Roman" w:eastAsia="신명조"/>
          <w:b w:val="0"/>
          <w:i w:val="0"/>
          <w:sz w:val="21"/>
        </w:rPr>
        <w:tab/>
      </w:r>
    </w:p>
    <w:p>
      <w:pPr>
        <w:tabs>
          <w:tab w:val="right" w:pos="8220" w:leader="none"/>
        </w:tabs>
        <w:spacing w:before="40" w:after="40" w:lineRule="auto" w:line="312"/>
      </w:pPr>
      <w:r>
        <w:rPr>
          <w:rFonts w:ascii="Times New Roman" w:hAnsi="Times New Roman" w:eastAsia="신명조"/>
          <w:b/>
          <w:i w:val="0"/>
          <w:sz w:val="22"/>
        </w:rPr>
        <w:t>참고문헌</w:t>
      </w:r>
      <w:r>
        <w:tab/>
      </w:r>
    </w:p>
    <w:p>
      <w:pPr>
        <w:tabs>
          <w:tab w:val="right" w:pos="8220" w:leader="none"/>
        </w:tabs>
        <w:spacing w:before="40" w:after="40" w:lineRule="auto" w:line="312"/>
      </w:pPr>
      <w:r>
        <w:rPr>
          <w:rFonts w:ascii="Times New Roman" w:hAnsi="Times New Roman" w:eastAsia="신명조"/>
          <w:b/>
          <w:i w:val="0"/>
          <w:sz w:val="22"/>
        </w:rPr>
        <w:t>부록</w:t>
      </w:r>
      <w:r>
        <w:tab/>
      </w:r>
    </w:p>
    <w:p>
      <w:pPr>
        <w:tabs>
          <w:tab w:val="right" w:pos="8220" w:leader="none"/>
        </w:tabs>
        <w:spacing w:before="40" w:after="40" w:lineRule="auto" w:line="312"/>
      </w:pPr>
      <w:r>
        <w:rPr>
          <w:rFonts w:ascii="Times New Roman" w:hAnsi="Times New Roman" w:eastAsia="신명조"/>
          <w:b/>
          <w:i w:val="0"/>
          <w:sz w:val="22"/>
        </w:rPr>
        <w:t>부록 A. 피처 목록 및 정의 (35개 피처 전체 표)</w:t>
      </w:r>
      <w:r>
        <w:tab/>
      </w:r>
    </w:p>
    <w:p>
      <w:pPr>
        <w:tabs>
          <w:tab w:val="right" w:pos="8220" w:leader="none"/>
        </w:tabs>
        <w:spacing w:before="40" w:after="40" w:lineRule="auto" w:line="312"/>
      </w:pPr>
      <w:r>
        <w:rPr>
          <w:rFonts w:ascii="Times New Roman" w:hAnsi="Times New Roman" w:eastAsia="신명조"/>
          <w:b/>
          <w:i w:val="0"/>
          <w:sz w:val="22"/>
        </w:rPr>
        <w:t>부록 B. 모형별 하이퍼파라미터 탐색 범위 (확장 표)</w:t>
      </w:r>
      <w:r>
        <w:tab/>
      </w:r>
    </w:p>
    <w:p>
      <w:pPr>
        <w:tabs>
          <w:tab w:val="right" w:pos="8220" w:leader="none"/>
        </w:tabs>
        <w:spacing w:before="40" w:after="40" w:lineRule="auto" w:line="312"/>
      </w:pPr>
      <w:r>
        <w:rPr>
          <w:rFonts w:ascii="Times New Roman" w:hAnsi="Times New Roman" w:eastAsia="신명조"/>
          <w:b/>
          <w:i w:val="0"/>
          <w:sz w:val="22"/>
        </w:rPr>
        <w:t>부록 C. 추가 성능표 (기간별 피처 중요도 합의, DM 검정 결과)</w:t>
      </w:r>
      <w:r>
        <w:tab/>
      </w:r>
    </w:p>
    <w:p>
      <w:pPr>
        <w:tabs>
          <w:tab w:val="right" w:pos="8220" w:leader="none"/>
        </w:tabs>
        <w:spacing w:before="40" w:after="40" w:lineRule="auto" w:line="312"/>
      </w:pPr>
      <w:r>
        <w:rPr>
          <w:rFonts w:ascii="Times New Roman" w:hAnsi="Times New Roman" w:eastAsia="신명조"/>
          <w:b/>
          <w:i w:val="0"/>
          <w:sz w:val="22"/>
        </w:rPr>
        <w:t>부록 D. 데이터 전처리 및 학습 알고리즘 의사코드</w:t>
      </w:r>
      <w:r>
        <w:tab/>
      </w:r>
    </w:p>
    <w:p>
      <w:pPr>
        <w:tabs>
          <w:tab w:val="right" w:pos="8220" w:leader="none"/>
        </w:tabs>
        <w:spacing w:before="40" w:after="40" w:lineRule="auto" w:line="312"/>
      </w:pPr>
      <w:r>
        <w:rPr>
          <w:rFonts w:ascii="Times New Roman" w:hAnsi="Times New Roman" w:eastAsia="신명조"/>
          <w:b/>
          <w:i w:val="0"/>
          <w:sz w:val="22"/>
        </w:rPr>
        <w:t>부록 E. ETF별 기초 통계량</w:t>
      </w:r>
      <w:r>
        <w:tab/>
      </w:r>
    </w:p>
    <w:p>
      <w:r>
        <w:br w:type="page"/>
      </w:r>
    </w:p>
    <w:p>
      <w:pPr>
        <w:spacing w:before="0" w:after="360" w:lineRule="auto" w:line="360"/>
        <w:jc w:val="center"/>
      </w:pPr>
      <w:r>
        <w:rPr>
          <w:rFonts w:ascii="Times New Roman" w:hAnsi="Times New Roman" w:eastAsia="신명조"/>
          <w:b/>
          <w:i w:val="0"/>
          <w:sz w:val="28"/>
        </w:rPr>
        <w:t>표   차   례</w:t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1. 자산 구성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2. 기호 및 정의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3. 모델 구성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4. 모델별 하이퍼파라미터 탐색 범위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5. WEns Pooled R² vs R²_Within 비교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6. 22거래일 기간 모델별 성능 비교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7. WEns 자산별 R² (22d 예측 기간)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8. Ridge 22거래일 피처 그룹 서브셋 실험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9. WEns 22d 기준 피처 그룹 제거 실험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10. 예측 기간별 Kendall's W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11. 22_d VIX 분위수 구간별 Pooled R²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12. LASSO-HAR vs LASSO 기간별 Pooled R²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13. 자산군별 VRP 기초 통계 (22d 기준)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A-1. 피처 목록 및 정의 (35개 피처 전체)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B-1. 모형별 하이퍼파라미터 탐색 공간 상세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C-1. 기간별 피처 중요도 합의 (상위 10개 피처)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C-2. WEns vs 베이스라인 DM 검정 결과 (BH 다중비교 보정)</w:t>
        <w:tab/>
      </w:r>
    </w:p>
    <w:p>
      <w:pPr>
        <w:spacing w:before="0" w:after="60" w:lineRule="auto" w:line="312"/>
        <w:ind w:left="0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표 E-1. ETF별 기초 통계량 (2010~2024)</w:t>
        <w:tab/>
      </w:r>
    </w:p>
    <w:p>
      <w:r>
        <w:br w:type="page"/>
      </w:r>
    </w:p>
    <w:p>
      <w:pPr>
        <w:spacing w:before="0" w:after="360" w:lineRule="auto" w:line="360"/>
        <w:jc w:val="center"/>
      </w:pPr>
      <w:r>
        <w:rPr>
          <w:rFonts w:ascii="Times New Roman" w:hAnsi="Times New Roman" w:eastAsia="신명조"/>
          <w:b/>
          <w:i w:val="0"/>
          <w:sz w:val="28"/>
        </w:rPr>
        <w:t>그   림   차   례</w:t>
      </w:r>
    </w:p>
    <w:p>
      <w:pPr>
        <w:spacing w:before="0" w:after="60" w:lineRule="auto" w:line="312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그림 1. VIX Index(2010~2024)</w:t>
        <w:tab/>
      </w:r>
    </w:p>
    <w:p>
      <w:pPr>
        <w:spacing w:before="0" w:after="60" w:lineRule="auto" w:line="312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그림 2. WEns 모델의 전체 흐름</w:t>
        <w:tab/>
      </w:r>
    </w:p>
    <w:p>
      <w:pPr>
        <w:spacing w:before="0" w:after="60" w:lineRule="auto" w:line="312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그림 3. 전체 모델×기간 Pooled R² 히트맵</w:t>
        <w:tab/>
      </w:r>
    </w:p>
    <w:p>
      <w:pPr>
        <w:spacing w:before="0" w:after="60" w:lineRule="auto" w:line="312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그림 4. 기간별 WEns Pooled R² vs R²_Within</w:t>
        <w:tab/>
      </w:r>
    </w:p>
    <w:p>
      <w:pPr>
        <w:spacing w:before="0" w:after="60" w:lineRule="auto" w:line="312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그림 5. 22_d 피처 중요도 합의 순위 Top-10</w:t>
        <w:tab/>
      </w:r>
    </w:p>
    <w:p>
      <w:pPr>
        <w:spacing w:before="0" w:after="60" w:lineRule="auto" w:line="312"/>
        <w:tabs>
          <w:tab w:val="right" w:pos="8220" w:leader="dot"/>
        </w:tabs>
      </w:pPr>
      <w:r>
        <w:rPr>
          <w:rFonts w:ascii="Times New Roman" w:hAnsi="Times New Roman" w:eastAsia="신명조"/>
          <w:b w:val="0"/>
          <w:i w:val="0"/>
          <w:sz w:val="21"/>
        </w:rPr>
        <w:t>그림 6. VIX 시계열 및 분위수 국면 구분 (2010–2024)</w:t>
        <w:tab/>
      </w:r>
    </w:p>
    <w:p>
      <w:r>
        <w:br w:type="page"/>
      </w:r>
    </w:p>
    <w:sectPr w:rsidR="00FC693F" w:rsidRPr="0006063C" w:rsidSect="00034616">
      <w:pgSz w:w="11906" w:h="16838"/>
      <w:pgMar w:top="1984" w:right="1701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