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tbl>
      <w:tblPr>
        <w:tblpPr w:leftFromText="0" w:rightFromText="0" w:topFromText="0" w:bottomFromText="0" w:vertAnchor="margin" w:horzAnchor="margin" w:tblpX="17" w:tblpY="22"/>
        <w:tblOverlap w:val="never"/>
        <w:tblW w:w="8447" w:type="dxa"/>
        <w:tblBorders>
          <w:top w:val="single" w:color="000000" w:sz="3"/>
          <w:left w:val="single" w:color="000000" w:sz="3"/>
          <w:bottom w:val="single" w:color="000000" w:sz="3"/>
          <w:right w:val="single" w:color="000000" w:sz="3"/>
        </w:tblBorders>
        <w:tblLayout w:type="fixed"/>
        <w:tblCellMar>
          <w:top w:w="0" w:type="dxa"/>
          <w:left w:w="28" w:type="dxa"/>
          <w:bottom w:w="0" w:type="dxa"/>
          <w:right w:w="28" w:type="dxa"/>
        </w:tblCellMar>
      </w:tblPr>
      <w:tblGrid>
        <w:gridCol w:w="8447"/>
      </w:tblGrid>
      <w:tr>
        <w:trPr>
          <w:trHeight w:val="3043"/>
        </w:trPr>
        <w:tc>
          <w:tcPr>
            <w:tcW w:w="8447" w:type="dxa"/>
            <w:tcBorders>
              <w:top w:val="none" w:color="ffffff" w:sz="2"/>
              <w:left w:val="none" w:color="ffffff" w:sz="2"/>
              <w:bottom w:val="single" w:color="000000" w:sz="3"/>
              <w:right w:val="none" w:color="ffffff" w:sz="2"/>
            </w:tcBorders>
            <w:vAlign w:val="center"/>
          </w:tcPr>
          <w:p>
            <w:pPr>
              <w:pStyle w:val="0"/>
              <w:widowControl w:val="off"/>
              <w:wordWrap w:val="1"/>
              <w:spacing w:before="200" w:after="200" w:line="312"/>
              <w:jc w:val="center"/>
            </w:pPr>
            <w:r>
              <w:rPr>
                <w:rFonts w:ascii="HCI Poppy"/>
                <w:spacing w:val="-12"/>
                <w:sz w:val="34"/>
              </w:rPr>
              <w:t>Weighted Ensemble을 활용한</w:t>
            </w:r>
            <w:r>
              <w:br/>
              <w:rPr>
                <w:rFonts w:ascii="HCI Poppy"/>
                <w:spacing w:val="-12"/>
                <w:sz w:val="34"/>
              </w:rPr>
              <w:t>다중 예측 기간 Cross-Asset 분산 리스크 프리미엄 예측</w:t>
            </w:r>
          </w:p>
          <w:p>
            <w:pPr>
              <w:pStyle w:val="37"/>
              <w:widowControl w:val="off"/>
            </w:pPr>
            <w:r>
              <w:rPr/>
              <w:t>*</w:t>
            </w:r>
          </w:p>
          <w:p>
            <w:pPr>
              <w:pStyle w:val="0"/>
              <w:widowControl w:val="off"/>
              <w:wordWrap w:val="1"/>
              <w:spacing w:before="200" w:after="200" w:line="312"/>
              <w:jc w:val="center"/>
            </w:pPr>
            <w:r>
              <w:rPr>
                <w:rFonts w:ascii="한양견명조"/>
                <w:spacing w:val="-10"/>
                <w:sz w:val="30"/>
              </w:rPr>
              <w:t>Cross-Asset Variance Risk Premium Forecasting Across Multiple Horizons Using a Weighted Ensemble Approach</w:t>
            </w:r>
          </w:p>
          <w:p>
            <w:pPr>
              <w:pStyle w:val="38"/>
              <w:widowControl w:val="off"/>
            </w:pPr>
            <w:r>
              <w:rPr/>
              <w:t>*</w:t>
            </w:r>
          </w:p>
          <w:p>
            <w:pPr>
              <w:pStyle w:val="0"/>
              <w:widowControl w:val="off"/>
              <w:spacing w:line="264" w:lineRule="auto"/>
              <w:rPr>
                <w:color w:val="000000"/>
                <w:sz w:val="14"/>
              </w:rPr>
            </w:pPr>
          </w:p>
        </w:tc>
      </w:tr>
      <w:tr>
        <w:trPr>
          <w:trHeight w:val="297"/>
        </w:trPr>
        <w:tc>
          <w:tcPr>
            <w:tcW w:w="8447" w:type="dxa"/>
            <w:tcBorders>
              <w:top w:val="single" w:color="000000" w:sz="3"/>
              <w:left w:val="none" w:color="ffffff" w:sz="2"/>
              <w:bottom w:val="single" w:color="000000" w:sz="3"/>
              <w:right w:val="none" w:color="ffffff" w:sz="2"/>
            </w:tcBorders>
            <w:tcMar>
              <w:top w:w="57" w:type="dxa"/>
              <w:left w:w="28" w:type="dxa"/>
              <w:bottom w:w="57" w:type="dxa"/>
              <w:right w:w="28" w:type="dxa"/>
            </w:tcMar>
            <w:vAlign w:val="center"/>
          </w:tcPr>
          <w:p>
            <w:pPr>
              <w:pStyle w:val="0"/>
              <w:widowControl w:val="off"/>
              <w:wordWrap w:val="1"/>
              <w:spacing w:line="312" w:lineRule="auto"/>
              <w:ind w:firstLine="0"/>
              <w:jc w:val="center"/>
            </w:pPr>
            <w:r>
              <w:rPr>
                <w:sz w:val="18"/>
              </w:rPr>
              <w:t>지원기관표기</w:t>
            </w:r>
          </w:p>
        </w:tc>
      </w:tr>
      <w:tr>
        <w:trPr>
          <w:trHeight w:val="4793"/>
        </w:trPr>
        <w:tc>
          <w:tcPr>
            <w:tcW w:w="8447" w:type="dxa"/>
            <w:tcBorders>
              <w:top w:val="single" w:color="000000" w:sz="3"/>
              <w:left w:val="none" w:color="ffffff" w:sz="2"/>
              <w:bottom w:val="none" w:color="ffffff" w:sz="2"/>
              <w:right w:val="none" w:color="ffffff" w:sz="2"/>
            </w:tcBorders>
            <w:vAlign w:val="center"/>
          </w:tcPr>
          <w:p>
            <w:pPr>
              <w:pStyle w:val="0"/>
              <w:widowControl w:val="off"/>
              <w:spacing w:line="432" w:lineRule="auto"/>
              <w:rPr/>
            </w:pPr>
          </w:p>
          <w:p>
            <w:pPr>
              <w:pStyle w:val="39"/>
              <w:widowControl w:val="off"/>
            </w:pPr>
            <w:r>
              <w:rPr/>
              <w:t>요  약</w:t>
            </w:r>
          </w:p>
          <w:p>
            <w:pPr>
              <w:pStyle w:val="42"/>
              <w:widowControl w:val="off"/>
              <w:spacing w:line="288" w:lineRule="auto"/>
              <w:rPr>
                <w:color w:val="000000"/>
                <w:sz w:val="16"/>
              </w:rPr>
            </w:pPr>
          </w:p>
          <w:p>
            <w:pPr>
              <w:pStyle w:val="0"/>
              <w:widowControl w:val="off"/>
              <w:ind w:left="200" w:right="200"/>
            </w:pPr>
            <w:r>
              <w:rPr>
                <w:rFonts w:ascii="HCI Poppy"/>
                <w:sz w:val="18"/>
              </w:rPr>
              <w:t>본 연구는 주식(5), 채권(3), 원자재(3)로 구성된 11개 ETF를 대상으로, 공개 OHLCV 데이터와 VIX 기간구조 지표만을 이용해 분산 위험 프리미엄(VRP)을 예측하는 프레임워크를 제시한다. 예측 지평은 거래일 기준 1, 5, 22, 60, 90, 120, 180, 252의 8개 구간이며, (1) 전방 실현분산을 먼저 예측하고 (2) 내재분산 프록시와 결합해 VRP를 산출하는 2단계 구조를 사용한다. 동일한 피처와 동일한 검증 절차 하에서 선형(정규화 회귀), 트리, 딥러닝(시계열) 모델을 비교한 결과, 예측 지평에 따라 유리한 모델 구조가 달라지는 경향이 확인되었다. 1~22거래일에서는 정규화 선형 모델이, 60~90거래일에서는 시계열 신경망이, 180~252거래일에서는 트리 기반 모델이 상대적으로 안정적인 성능을 보였다. 추가로 통계적 유의성 검정과 만기 불일치·결측 처리·자산특화 지표 대체 등 강건성 검증을 통해 제안 방법의 신뢰도를 점검하였다.</w:t>
            </w:r>
          </w:p>
          <w:p>
            <w:pPr>
              <w:pStyle w:val="0"/>
              <w:widowControl w:val="off"/>
              <w:ind w:left="200" w:right="200"/>
              <w:rPr>
                <w:color w:val="000000"/>
                <w:sz w:val="18"/>
              </w:rPr>
            </w:pPr>
          </w:p>
          <w:p>
            <w:pPr>
              <w:pStyle w:val="40"/>
              <w:widowControl w:val="off"/>
            </w:pPr>
            <w:r>
              <w:rPr/>
              <w:t>Abstract</w:t>
            </w:r>
          </w:p>
          <w:p>
            <w:pPr>
              <w:pStyle w:val="41"/>
              <w:widowControl w:val="off"/>
              <w:spacing w:line="288" w:lineRule="auto"/>
              <w:rPr>
                <w:color w:val="000000"/>
                <w:sz w:val="16"/>
              </w:rPr>
            </w:pPr>
          </w:p>
          <w:p>
            <w:pPr>
              <w:pStyle w:val="41"/>
              <w:widowControl w:val="off"/>
            </w:pPr>
            <w:r>
              <w:rPr/>
              <w:t xml:space="preserve">l.    </w:t>
            </w:r>
          </w:p>
          <w:p>
            <w:pPr>
              <w:pStyle w:val="41"/>
              <w:widowControl w:val="off"/>
              <w:spacing w:line="288" w:lineRule="auto"/>
              <w:rPr/>
            </w:pPr>
          </w:p>
          <w:p>
            <w:pPr>
              <w:pStyle w:val="50"/>
              <w:widowControl w:val="off"/>
            </w:pPr>
            <w:r>
              <w:rPr/>
              <w:t>Keywords</w:t>
            </w:r>
          </w:p>
          <w:p>
            <w:pPr>
              <w:pStyle w:val="50"/>
              <w:widowControl w:val="off"/>
              <w:rPr/>
            </w:pPr>
          </w:p>
          <w:p>
            <w:pPr>
              <w:pStyle w:val="50"/>
              <w:widowControl w:val="off"/>
              <w:rPr/>
            </w:pPr>
          </w:p>
          <w:p>
            <w:pPr>
              <w:pStyle w:val="50"/>
              <w:widowControl w:val="off"/>
              <w:rPr/>
            </w:pPr>
          </w:p>
          <w:p>
            <w:pPr>
              <w:pStyle w:val="50"/>
              <w:widowControl w:val="off"/>
              <w:rPr/>
            </w:pPr>
          </w:p>
          <w:p>
            <w:pPr>
              <w:pStyle w:val="50"/>
              <w:widowControl w:val="off"/>
              <w:rPr/>
            </w:pPr>
          </w:p>
          <w:p>
            <w:pPr>
              <w:pStyle w:val="50"/>
              <w:widowControl w:val="off"/>
              <w:rPr/>
            </w:pPr>
          </w:p>
          <w:p>
            <w:pPr>
              <w:pStyle w:val="50"/>
              <w:widowControl w:val="off"/>
              <w:rPr/>
            </w:pPr>
          </w:p>
          <w:p>
            <w:pPr>
              <w:pStyle w:val="50"/>
              <w:widowControl w:val="off"/>
              <w:rPr/>
            </w:pPr>
          </w:p>
        </w:tc>
      </w:tr>
    </w:tbl>
    <w:p>
      <w:pPr>
        <w:pStyle w:val="47"/>
        <w:widowControl w:val="off"/>
        <w:sectPr>
          <w:headerReference r:id="rId1" w:type="default"/>
          <w:headerReference r:id="rId2" w:type="default"/>
          <w:footnotePr>
            <w:numFmt w:val="decimal"/>
            <w:numRestart w:val="continuous"/>
          </w:footnotePr>
          <w:endnotePr>
            <w:pos w:val="docEnd"/>
            <w:numFmt w:val="decimal"/>
            <w:numRestart w:val="continuous"/>
          </w:endnotePr>
          <w:pgSz w:w="10772" w:h="14740"/>
          <w:pgMar w:top="1559" w:right="1134" w:bottom="992" w:left="1134" w:header="992" w:footer="992" w:gutter="0"/>
          <w:cols w:space="454" w:num="2"/>
        </w:sectPr>
      </w:pPr>
    </w:p>
    <w:p>
      <w:pPr>
        <w:pStyle w:val="47"/>
        <w:widowControl w:val="off"/>
        <w:spacing w:line="24" w:lineRule="auto"/>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pPr>
      <w:r>
        <w:pict>
          <v:line from="63.29pt, 626.51pt" to="477.84pt, 626.51pt" id="_x271862885" style="v-text-anchor:top;z-index:22;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35pt" o:connectortype="straight">
            <v:stroke/>
          </v:line>
        </w:pict>
      </w: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p>
      <w:pPr>
        <w:pStyle w:val="47"/>
        <w:widowControl w:val="off"/>
        <w:spacing w:line="24" w:lineRule="auto"/>
        <w:rPr>
          <w:color w:val="000000"/>
          <w:sz w:val="2"/>
        </w:rPr>
      </w:pPr>
    </w:p>
    <w:tbl>
      <w:tblPr>
        <w:tblOverlap w:val="never"/>
        <w:tblW w:w="833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601"/>
        <w:gridCol w:w="4734"/>
      </w:tblGrid>
      <w:tr>
        <w:trPr>
          <w:trHeight w:val="56"/>
        </w:trPr>
        <w:tc>
          <w:tcPr>
            <w:tcW w:w="3601" w:type="dxa"/>
            <w:tcBorders>
              <w:top w:val="none" w:color="ffffff" w:sz="2"/>
              <w:left w:val="none" w:color="ffffff" w:sz="2"/>
              <w:bottom w:val="none" w:color="ffffff" w:sz="2"/>
              <w:right w:val="none" w:color="ffffff" w:sz="2"/>
            </w:tcBorders>
            <w:tcMar>
              <w:top w:w="28" w:type="dxa"/>
              <w:left w:w="0" w:type="dxa"/>
              <w:bottom w:w="28" w:type="dxa"/>
              <w:right w:w="0" w:type="dxa"/>
            </w:tcMar>
            <w:vAlign w:val="top"/>
          </w:tcPr>
          <w:p>
            <w:pPr>
              <w:pStyle w:val="36"/>
              <w:widowControl w:val="off"/>
              <w:wordWrap w:val="1"/>
              <w:spacing w:line="300" w:lineRule="auto"/>
              <w:ind w:firstLine="0"/>
              <w:jc w:val="left"/>
            </w:pPr>
            <w:r>
              <w:rPr>
                <w:sz w:val="16"/>
              </w:rPr>
              <w:t xml:space="preserve"> *</w:t>
            </w:r>
          </w:p>
        </w:tc>
        <w:tc>
          <w:tcPr>
            <w:tcW w:w="4734" w:type="dxa"/>
            <w:tcBorders>
              <w:top w:val="none" w:color="ffffff" w:sz="2"/>
              <w:left w:val="none" w:color="ffffff" w:sz="2"/>
              <w:bottom w:val="none" w:color="ffffff" w:sz="2"/>
              <w:right w:val="none" w:color="ffffff" w:sz="2"/>
            </w:tcBorders>
            <w:tcMar>
              <w:top w:w="28" w:type="dxa"/>
              <w:left w:w="0" w:type="dxa"/>
              <w:bottom w:w="28" w:type="dxa"/>
              <w:right w:w="0" w:type="dxa"/>
            </w:tcMar>
            <w:vAlign w:val="top"/>
          </w:tcPr>
          <w:p>
            <w:pPr>
              <w:pStyle w:val="0"/>
              <w:widowControl w:val="off"/>
              <w:pBdr>
                <w:top w:val="none" w:color="000000" w:sz="2" w:space="4"/>
                <w:left w:val="none" w:color="000000" w:sz="2" w:space="1"/>
                <w:bottom w:val="none" w:color="000000" w:sz="2" w:space="4"/>
                <w:right w:val="none" w:color="000000" w:sz="2" w:space="1"/>
              </w:pBdr>
              <w:wordWrap w:val="1"/>
              <w:spacing w:line="300" w:lineRule="auto"/>
              <w:ind w:firstLine="0"/>
              <w:jc w:val="left"/>
            </w:pPr>
            <w:r>
              <w:rPr>
                <w:sz w:val="18"/>
              </w:rPr>
              <w:t xml:space="preserve"> </w:t>
            </w:r>
          </w:p>
        </w:tc>
      </w:tr>
    </w:tbl>
    <w:p>
      <w:pPr>
        <w:pStyle w:val="47"/>
        <w:widowControl w:val="off"/>
        <w:spacing w:line="24" w:lineRule="auto"/>
        <w:sectPr>
          <w:footnotePr>
            <w:numFmt w:val="decimal"/>
            <w:numRestart w:val="continuous"/>
          </w:footnotePr>
          <w:endnotePr>
            <w:pos w:val="docEnd"/>
            <w:numFmt w:val="decimal"/>
            <w:numRestart w:val="continuous"/>
          </w:endnotePr>
          <w:pgSz w:w="10772" w:h="14740"/>
          <w:pgMar w:top="1559" w:right="1134" w:bottom="992" w:left="1134" w:header="992" w:footer="992" w:gutter="0"/>
          <w:cols w:space="0"/>
          <w:type w:val="continuous"/>
        </w:sectPr>
      </w:pPr>
    </w:p>
    <w:p>
      <w:pPr>
        <w:pStyle w:val="47"/>
        <w:widowControl w:val="off"/>
      </w:pPr>
      <w:r>
        <w:rPr/>
        <w:t>Ⅰ</w:t>
      </w:r>
      <w:r>
        <w:rPr/>
        <w:t>. 서  론</w:t>
      </w:r>
    </w:p>
    <w:p>
      <w:pPr>
        <w:pStyle w:val="45"/>
        <w:widowControl w:val="off"/>
        <w:rPr/>
      </w:pPr>
    </w:p>
    <w:p>
      <w:pPr>
        <w:pStyle w:val="0"/>
        <w:widowControl w:val="off"/>
      </w:pPr>
      <w:r>
        <w:rPr/>
        <w:t xml:space="preserve">최근 </w:t>
      </w:r>
      <w:commentRangeStart w:id="0"/>
      <w:commentRangeStart w:id="1"/>
      <w:r>
        <w:rPr/>
        <w:commentReference w:id="0"/>
        <w:t>코로나 팬데믹(2020 VIX 82.7), 러우 전쟁(2022 VIX 36.5), 이란 전쟁(2026 VIX 27.3), AI 붐(2023~2025 변동성 급증)</w:t>
      </w:r>
      <w:commentRangeEnd w:id="0"/>
      <w:r>
        <w:rPr/>
        <w:commentReference w:id="1"/>
        <w:t>으로</w:t>
      </w:r>
      <w:commentRangeEnd w:id="1"/>
      <w:r>
        <w:rPr/>
        <w:t xml:space="preserve"> 자산 변동성이 폭증하며 자산 변동성 예측 관심이 증가하고 있다.</w:t>
      </w:r>
    </w:p>
    <w:p>
      <w:pPr>
        <w:pStyle w:val="0"/>
        <w:widowControl w:val="off"/>
      </w:pPr>
      <w:r>
        <w:rPr/>
        <w:t xml:space="preserve">금융시장에서 변동성은 </w:t>
      </w:r>
      <w:commentRangeStart w:id="2"/>
      <w:r>
        <w:rPr/>
        <w:commentReference w:id="2"/>
        <w:t>"가격이 얼마나 흔들리는가"</w:t>
      </w:r>
      <w:commentRangeEnd w:id="2"/>
      <w:r>
        <w:rPr/>
        <w:t>를 나타내는 지표를 넘어, 투자자의 불확실성 평가와 이에 대한 보험료(위험 프리미엄)를 반영한다.  특히 옵션시장은 미래 위험에 대한 기대가 가격에 포함되므로, 옵션가격으로 계산되는 변동성 지표는 시장의 전방향 기대(forward-looking expectation)를 담고 있는 자료로 자주 활용된다. 대표적으로 Cboe 변동성지수</w:t>
      </w:r>
      <w:commentRangeStart w:id="3"/>
      <w:r>
        <w:rPr/>
        <w:commentReference w:id="3"/>
        <w:t>(VIX)</w:t>
      </w:r>
      <w:commentRangeEnd w:id="3"/>
      <w:r>
        <w:rPr/>
        <w:t>는 S&amp;P 500 옵션 가격을 이용해 향후 30일 기대 변동성을 측정하도록 설계된 지수다.</w:t>
      </w:r>
    </w:p>
    <w:p>
      <w:pPr>
        <w:pStyle w:val="0"/>
        <w:widowControl w:val="off"/>
      </w:pPr>
      <w:r>
        <w:rPr/>
        <w:t xml:space="preserve">변동성 연구는 크게 두 가지 질문으로 나뉜다. 첫째는 "미래 변동성의 수준이 얼마나 될까?"이고, 둘째는 "그 위험이 시장에서 얼마나 비싸게 가격화될까?"이다. 실현분산(realized variance, 이하 RV)은 주로 첫 번째 질문과 관련이 있고, 분산 위험 프리미엄(variance risk premium, 이하 VRP)은 두 번째 질문과 더 직접적으로 연결된다. </w:t>
      </w:r>
      <w:commentRangeStart w:id="4"/>
      <w:r>
        <w:rPr/>
        <w:commentReference w:id="4"/>
        <w:t>VRP는 위험중립 기대분산(옵션시장이 반영한 기대)과</w:t>
      </w:r>
      <w:commentRangeEnd w:id="4"/>
      <w:r>
        <w:rPr/>
        <w:t xml:space="preserve"> 물리적 기대분산(실제로 실현되는 분산의 기대)의 차이로 이해되며, 변동성 위험의 가격화(price of volatility risk)를 나타낸다.</w:t>
      </w:r>
    </w:p>
    <w:p>
      <w:pPr>
        <w:pStyle w:val="0"/>
        <w:widowControl w:val="off"/>
      </w:pPr>
      <w:r>
        <w:rPr/>
        <w:t xml:space="preserve">금융 예측에서 가장 직관적인 목표는 수익률(또는 초과수익률)이다. 그러나 수익률은 예측 신호가 약하고 잡음이 커서, 학습 구간에서 잘 맞더라도 미래 구간에서 안정적으로 재현되기 어렵다는 점이 반복적으로 보고되어 왔다. </w:t>
      </w:r>
      <w:commentRangeStart w:id="5"/>
      <w:r>
        <w:rPr/>
        <w:commentReference w:id="5"/>
        <w:t>Gu, Kelly, Xiu [1]</w:t>
      </w:r>
      <w:commentRangeEnd w:id="5"/>
      <w:r>
        <w:rPr/>
        <w:t>는 다양한 기계학습 방법을 비교하며 자산위험프리미엄 측정의 가능성을 보여주지만, 동시에 금융 예측이 구조적으로 어려운 문제임을 분명히 한다.</w:t>
      </w:r>
    </w:p>
    <w:p>
      <w:pPr>
        <w:pStyle w:val="0"/>
        <w:widowControl w:val="off"/>
      </w:pPr>
      <w:commentRangeStart w:id="6"/>
      <w:r>
        <w:rPr/>
        <w:t>반대로 RV는 수익률보다 예측이 상대적으로 쉽다. 변동성은 군집(volatility clustering)과 지속성이 강해 과거 정보가 미래에 일부 남는 경향이 있기 때문이다. Corsi [2][3]의 HAR-RV는 일/주/월(거래일 기준 1/5/22일) 규모의 변동성 정보를 결합해 이런 지속성을 간단히 반영하는 대표 모형이다. 또한 Christensen, Siggaard, Veliyev [4]은 여러 기계학습 알고리즘이 HAR 계열과 비교해 실현분산 예측에서 경쟁력을 가질 수 있음을 보였다.</w:t>
      </w:r>
    </w:p>
    <w:p>
      <w:pPr>
        <w:pStyle w:val="0"/>
        <w:widowControl w:val="off"/>
      </w:pPr>
      <w:r>
        <w:rPr/>
        <w:t xml:space="preserve">다만 RV 예측은 "위험의 크기"를 맞추는 문제에 가깝다. 즉 RV를 정확히 예측하더라도, 투자자가 해당 위험을 감수하는 대가로 요구하는 변동성 위험 프리미엄의 수준까지 직접 파악할 수는 없다. 옵션시장은 미래 분산 기대뿐 아니라 위험회피 성향과 보험 수요가 함께 반영되므로, 위험이 어떻게 가격화되는지를 파악하려면, 시장의 기대인 내재분산(IV)과 실제 변동성인 실현분산(RV) 간의 차이(Premium) 구조를 살펴보아야 한다. Carr and Wu [5]는 옵션 포트폴리오로 위험중립 기대분산(분산스왑 레이트)을 근사할 수 있고, 실현분산과의 차이를 이용해 </w:t>
      </w:r>
      <w:commentRangeStart w:id="7"/>
      <w:r>
        <w:rPr/>
        <w:commentReference w:id="7"/>
        <w:t>VRP를 측정할 수 있음을 제시했다</w:t>
      </w:r>
      <w:commentRangeEnd w:id="7"/>
      <w:r>
        <w:rPr/>
        <w:commentReference w:id="6"/>
        <w:t>.</w:t>
      </w:r>
      <w:commentRangeEnd w:id="6"/>
    </w:p>
    <w:p>
      <w:pPr>
        <w:pStyle w:val="0"/>
        <w:widowControl w:val="off"/>
      </w:pPr>
      <w:commentRangeStart w:id="8"/>
      <w:r>
        <w:rPr/>
        <w:t>이러한 이유로 본 연구는 수익률이나 RV 자체가 아니라, VRP를 예측 대상으로 설정한다.</w:t>
      </w:r>
    </w:p>
    <w:p>
      <w:pPr>
        <w:pStyle w:val="0"/>
        <w:widowControl w:val="off"/>
      </w:pPr>
      <w:r>
        <w:rPr/>
        <w:commentReference w:id="8"/>
        <w:t>본 연구는 분산(variance) 단위로 용어를 통일하며, 내재분산(IV), 실현분산(RV), 분산 위험 프리미엄(VRP = IV - RV)을 핵심 변수로 사용한다. 본 논문에서 사용하는 주요 기호는 다음과 같다.</w:t>
      </w:r>
      <w:commentRangeEnd w:id="8"/>
    </w:p>
    <w:p>
      <w:pPr>
        <w:pStyle w:val="0"/>
        <w:widowControl w:val="off"/>
        <w:rPr/>
      </w:pPr>
    </w:p>
    <w:p>
      <w:pPr>
        <w:pStyle w:val="0"/>
        <w:widowControl w:val="off"/>
      </w:pPr>
      <w:r>
        <w:rPr/>
        <w:t>표 1. 주요 기호 및 정의</w:t>
      </w:r>
    </w:p>
    <w:tbl>
      <w:tblPr>
        <w:tblOverlap w:val="never"/>
        <w:tblW w:w="4090"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1140"/>
        <w:gridCol w:w="2950"/>
      </w:tblGrid>
      <w:tr>
        <w:trPr>
          <w:trHeight w:val="292"/>
        </w:trPr>
        <w:tc>
          <w:tcPr>
            <w:tcW w:w="1140" w:type="dxa"/>
            <w:tcBorders>
              <w:top w:val="single" w:color="000000" w:sz="3"/>
              <w:left w:val="single" w:color="000000" w:sz="3"/>
              <w:bottom w:val="single" w:color="000000" w:sz="3"/>
              <w:right w:val="single" w:color="000000" w:sz="3"/>
            </w:tcBorders>
            <w:vAlign w:val="top"/>
          </w:tcPr>
          <w:p>
            <w:pPr>
              <w:pStyle w:val="0"/>
              <w:widowControl/>
              <w:wordWrap w:val="1"/>
              <w:spacing w:before="36" w:after="36" w:line="240"/>
              <w:jc w:val="center"/>
            </w:pPr>
            <w:r>
              <w:rPr>
                <w:rFonts w:ascii="휴먼명조"/>
              </w:rPr>
              <w:t>Symbol</w:t>
            </w:r>
          </w:p>
        </w:tc>
        <w:tc>
          <w:tcPr>
            <w:tcW w:w="2950" w:type="dxa"/>
            <w:tcBorders>
              <w:top w:val="single" w:color="000000" w:sz="3"/>
              <w:left w:val="single" w:color="000000" w:sz="3"/>
              <w:bottom w:val="single" w:color="000000" w:sz="3"/>
              <w:right w:val="single" w:color="000000" w:sz="3"/>
            </w:tcBorders>
            <w:vAlign w:val="top"/>
          </w:tcPr>
          <w:p>
            <w:pPr>
              <w:pStyle w:val="0"/>
              <w:widowControl/>
              <w:wordWrap w:val="1"/>
              <w:spacing w:before="36" w:after="36" w:line="240"/>
              <w:jc w:val="center"/>
            </w:pPr>
            <w:r>
              <w:rPr>
                <w:rFonts w:ascii="휴먼명조"/>
              </w:rPr>
              <w:t>Definition</w:t>
            </w:r>
          </w:p>
        </w:tc>
      </w:tr>
      <w:tr>
        <w:trPr>
          <w:trHeight w:val="693"/>
        </w:trPr>
        <w:tc>
          <w:tcPr>
            <w:tcW w:w="114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RV_i,t(h)</w:t>
            </w:r>
          </w:p>
        </w:tc>
        <w:tc>
          <w:tcPr>
            <w:tcW w:w="295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Forward RV of asset i, h trading days ahead (annualized)</w:t>
            </w:r>
          </w:p>
        </w:tc>
      </w:tr>
      <w:tr>
        <w:trPr>
          <w:trHeight w:val="492"/>
        </w:trPr>
        <w:tc>
          <w:tcPr>
            <w:tcW w:w="114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IV_t^2</w:t>
            </w:r>
          </w:p>
        </w:tc>
        <w:tc>
          <w:tcPr>
            <w:tcW w:w="295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Implied variance proxy, (VIX_t / 100)^2</w:t>
            </w:r>
          </w:p>
        </w:tc>
      </w:tr>
      <w:tr>
        <w:trPr>
          <w:trHeight w:val="493"/>
        </w:trPr>
        <w:tc>
          <w:tcPr>
            <w:tcW w:w="114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VRP_i,t(h)</w:t>
            </w:r>
          </w:p>
        </w:tc>
        <w:tc>
          <w:tcPr>
            <w:tcW w:w="295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 xml:space="preserve">Variance risk premium, </w:t>
            </w:r>
            <w:r>
              <w:br/>
              <w:rPr>
                <w:rFonts w:ascii="휴먼명조"/>
                <w:sz w:val="20"/>
              </w:rPr>
              <w:t>IV_t^2 - RV_i,t(h)</w:t>
            </w:r>
          </w:p>
        </w:tc>
      </w:tr>
      <w:tr>
        <w:trPr>
          <w:trHeight w:val="692"/>
        </w:trPr>
        <w:tc>
          <w:tcPr>
            <w:tcW w:w="114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h</w:t>
            </w:r>
          </w:p>
        </w:tc>
        <w:tc>
          <w:tcPr>
            <w:tcW w:w="295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 xml:space="preserve">Forecast horizon (trading days), h </w:t>
            </w:r>
            <w:r>
              <w:rPr>
                <w:rFonts w:ascii="휴먼명조"/>
                <w:sz w:val="20"/>
              </w:rPr>
              <w:t>∈</w:t>
            </w:r>
            <w:r>
              <w:rPr>
                <w:rFonts w:ascii="휴먼명조"/>
                <w:sz w:val="20"/>
              </w:rPr>
              <w:t xml:space="preserve"> {1,5,22,60,90,120,180,252}</w:t>
            </w:r>
          </w:p>
        </w:tc>
      </w:tr>
      <w:tr>
        <w:trPr>
          <w:trHeight w:val="492"/>
        </w:trPr>
        <w:tc>
          <w:tcPr>
            <w:tcW w:w="114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i</w:t>
            </w:r>
          </w:p>
        </w:tc>
        <w:tc>
          <w:tcPr>
            <w:tcW w:w="295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Asset index (i=1,</w:t>
            </w:r>
            <w:r>
              <w:rPr>
                <w:rFonts w:ascii="휴먼명조"/>
                <w:sz w:val="20"/>
              </w:rPr>
              <w:t>…</w:t>
            </w:r>
            <w:r>
              <w:rPr>
                <w:rFonts w:ascii="휴먼명조"/>
                <w:sz w:val="20"/>
              </w:rPr>
              <w:t>,11; 11 ETFs)</w:t>
            </w:r>
          </w:p>
        </w:tc>
      </w:tr>
      <w:tr>
        <w:trPr>
          <w:trHeight w:val="56"/>
        </w:trPr>
        <w:tc>
          <w:tcPr>
            <w:tcW w:w="114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t</w:t>
            </w:r>
          </w:p>
        </w:tc>
        <w:tc>
          <w:tcPr>
            <w:tcW w:w="295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Time index (trading day)</w:t>
            </w:r>
          </w:p>
        </w:tc>
      </w:tr>
      <w:tr>
        <w:trPr>
          <w:trHeight w:val="56"/>
        </w:trPr>
        <w:tc>
          <w:tcPr>
            <w:tcW w:w="114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r_t</w:t>
            </w:r>
          </w:p>
        </w:tc>
        <w:tc>
          <w:tcPr>
            <w:tcW w:w="295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Daily log return, ln(P_t/P_t-1)</w:t>
            </w:r>
          </w:p>
        </w:tc>
      </w:tr>
      <w:tr>
        <w:trPr>
          <w:trHeight w:val="493"/>
        </w:trPr>
        <w:tc>
          <w:tcPr>
            <w:tcW w:w="114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R^2</w:t>
            </w:r>
          </w:p>
        </w:tc>
        <w:tc>
          <w:tcPr>
            <w:tcW w:w="2950" w:type="dxa"/>
            <w:tcBorders>
              <w:top w:val="single" w:color="000000" w:sz="3"/>
              <w:left w:val="single" w:color="000000" w:sz="3"/>
              <w:bottom w:val="single" w:color="000000" w:sz="3"/>
              <w:right w:val="single" w:color="000000" w:sz="3"/>
            </w:tcBorders>
            <w:vAlign w:val="top"/>
          </w:tcPr>
          <w:p>
            <w:pPr>
              <w:pStyle w:val="82"/>
              <w:widowControl w:val="off"/>
            </w:pPr>
            <w:r>
              <w:rPr>
                <w:rFonts w:ascii="휴먼명조"/>
                <w:sz w:val="20"/>
              </w:rPr>
              <w:t>Coefficient of determination; pooled and median R^2</w:t>
            </w:r>
          </w:p>
        </w:tc>
      </w:tr>
    </w:tbl>
    <w:p>
      <w:pPr>
        <w:pStyle w:val="0"/>
        <w:widowControl w:val="off"/>
      </w:pPr>
    </w:p>
    <w:p>
      <w:pPr>
        <w:pStyle w:val="0"/>
        <w:widowControl w:val="off"/>
      </w:pPr>
      <w:commentRangeStart w:id="9"/>
      <w:r>
        <w:rPr/>
        <w:commentReference w:id="9"/>
        <w:t>대표 주가지수인 S&amp;P 500 (SPY) ETF를 활용하여 내재분산, 실현분산, 그리고 분산 위험 프리미엄의 개념적 성질을 보여주는 예시가 표 2에 제시되어 있다. 예를 들어, 시장이 미래 주가 급락 위험을 높게 평가하여 옵션 프리미엄을 비싸게 지불하면 내재분산(주로 VIX를 통해 대리)이 크게 치솟으며, 이후 실제 시장의 흔들림(실현분산)이 그에 미치지 못한다면 VRP는 양(+)의 값을 띠게 된다. 반면, 예측하지 못한 극단적인 시장 충격이 발생했을 때는 실현분산이 내재분산을 상회하여 VRP가 음(-)의 값으로 나타날 수 있다. 즉, VRP는 시장이 변동성 변동 위험을 스스로 얼마나 비싸게 평가하고 이에 대한 대가를 지불했는지를 본질적으로 드러내는 척도로 작용한다.</w:t>
      </w:r>
      <w:commentRangeEnd w:id="9"/>
    </w:p>
    <w:p>
      <w:pPr>
        <w:pStyle w:val="0"/>
        <w:widowControl w:val="off"/>
        <w:rPr/>
      </w:pPr>
    </w:p>
    <w:p>
      <w:pPr>
        <w:pStyle w:val="0"/>
        <w:widowControl w:val="off"/>
      </w:pPr>
      <w:r>
        <w:rPr/>
        <w:t>표 2. SPY 변동성 지표 예시와 VRP 직관 요소 (연율화 분산)</w:t>
      </w:r>
    </w:p>
    <w:tbl>
      <w:tblPr>
        <w:tblOverlap w:val="never"/>
        <w:tblW w:w="4021"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1304"/>
        <w:gridCol w:w="897"/>
        <w:gridCol w:w="819"/>
        <w:gridCol w:w="1001"/>
      </w:tblGrid>
      <w:tr>
        <w:trPr>
          <w:trHeight w:val="292"/>
        </w:trPr>
        <w:tc>
          <w:tcPr>
            <w:tcW w:w="1304" w:type="dxa"/>
            <w:tcBorders>
              <w:top w:val="single" w:color="000000" w:sz="3"/>
              <w:left w:val="single" w:color="000000" w:sz="3"/>
              <w:bottom w:val="single" w:color="000000" w:sz="3"/>
              <w:right w:val="single" w:color="000000" w:sz="3"/>
            </w:tcBorders>
            <w:vAlign w:val="top"/>
          </w:tcPr>
          <w:p>
            <w:pPr>
              <w:pStyle w:val="82"/>
              <w:widowControl w:val="off"/>
            </w:pPr>
            <w:r>
              <w:rPr>
                <w:sz w:val="18"/>
              </w:rPr>
              <w:t>Scenario</w:t>
            </w:r>
          </w:p>
        </w:tc>
        <w:tc>
          <w:tcPr>
            <w:tcW w:w="897" w:type="dxa"/>
            <w:tcBorders>
              <w:top w:val="single" w:color="000000" w:sz="3"/>
              <w:left w:val="single" w:color="000000" w:sz="3"/>
              <w:bottom w:val="single" w:color="000000" w:sz="3"/>
              <w:right w:val="single" w:color="000000" w:sz="3"/>
            </w:tcBorders>
            <w:vAlign w:val="top"/>
          </w:tcPr>
          <w:p>
            <w:pPr>
              <w:pStyle w:val="82"/>
              <w:widowControl w:val="off"/>
              <w:jc w:val="center"/>
            </w:pPr>
            <w:r>
              <w:rPr>
                <w:sz w:val="18"/>
              </w:rPr>
              <w:t>IV_t^2</w:t>
            </w:r>
          </w:p>
        </w:tc>
        <w:tc>
          <w:tcPr>
            <w:tcW w:w="819" w:type="dxa"/>
            <w:tcBorders>
              <w:top w:val="single" w:color="000000" w:sz="3"/>
              <w:left w:val="single" w:color="000000" w:sz="3"/>
              <w:bottom w:val="single" w:color="000000" w:sz="3"/>
              <w:right w:val="single" w:color="000000" w:sz="3"/>
            </w:tcBorders>
            <w:vAlign w:val="top"/>
          </w:tcPr>
          <w:p>
            <w:pPr>
              <w:pStyle w:val="82"/>
              <w:widowControl w:val="off"/>
              <w:jc w:val="center"/>
            </w:pPr>
            <w:r>
              <w:rPr>
                <w:sz w:val="18"/>
              </w:rPr>
              <w:t>RV_t</w:t>
            </w:r>
            <w:r>
              <w:br/>
              <w:rPr>
                <w:sz w:val="18"/>
              </w:rPr>
              <w:t>(h)</w:t>
            </w:r>
          </w:p>
        </w:tc>
        <w:tc>
          <w:tcPr>
            <w:tcW w:w="1001" w:type="dxa"/>
            <w:tcBorders>
              <w:top w:val="single" w:color="000000" w:sz="3"/>
              <w:left w:val="single" w:color="000000" w:sz="3"/>
              <w:bottom w:val="single" w:color="000000" w:sz="3"/>
              <w:right w:val="single" w:color="000000" w:sz="3"/>
            </w:tcBorders>
            <w:vAlign w:val="top"/>
          </w:tcPr>
          <w:p>
            <w:pPr>
              <w:pStyle w:val="82"/>
              <w:widowControl w:val="off"/>
              <w:jc w:val="center"/>
            </w:pPr>
            <w:r>
              <w:rPr>
                <w:sz w:val="18"/>
              </w:rPr>
              <w:t>VRP</w:t>
            </w:r>
          </w:p>
        </w:tc>
      </w:tr>
      <w:tr>
        <w:trPr>
          <w:trHeight w:val="200"/>
        </w:trPr>
        <w:tc>
          <w:tcPr>
            <w:tcW w:w="1304" w:type="dxa"/>
            <w:tcBorders>
              <w:top w:val="single" w:color="000000" w:sz="3"/>
              <w:left w:val="single" w:color="000000" w:sz="3"/>
              <w:bottom w:val="single" w:color="000000" w:sz="3"/>
              <w:right w:val="single" w:color="000000" w:sz="3"/>
            </w:tcBorders>
            <w:vAlign w:val="top"/>
          </w:tcPr>
          <w:p>
            <w:pPr>
              <w:pStyle w:val="82"/>
              <w:widowControl w:val="off"/>
            </w:pPr>
            <w:r>
              <w:rPr>
                <w:sz w:val="18"/>
              </w:rPr>
              <w:t>Normal</w:t>
            </w:r>
          </w:p>
        </w:tc>
        <w:tc>
          <w:tcPr>
            <w:tcW w:w="897" w:type="dxa"/>
            <w:tcBorders>
              <w:top w:val="single" w:color="000000" w:sz="3"/>
              <w:left w:val="single" w:color="000000" w:sz="3"/>
              <w:bottom w:val="single" w:color="000000" w:sz="3"/>
              <w:right w:val="single" w:color="000000" w:sz="3"/>
            </w:tcBorders>
            <w:vAlign w:val="top"/>
          </w:tcPr>
          <w:p>
            <w:pPr>
              <w:pStyle w:val="82"/>
              <w:widowControl w:val="off"/>
              <w:jc w:val="center"/>
            </w:pPr>
            <w:r>
              <w:rPr>
                <w:sz w:val="18"/>
              </w:rPr>
              <w:t>0.0225 (VIX15)</w:t>
            </w:r>
          </w:p>
        </w:tc>
        <w:tc>
          <w:tcPr>
            <w:tcW w:w="819" w:type="dxa"/>
            <w:tcBorders>
              <w:top w:val="single" w:color="000000" w:sz="3"/>
              <w:left w:val="single" w:color="000000" w:sz="3"/>
              <w:bottom w:val="single" w:color="000000" w:sz="3"/>
              <w:right w:val="single" w:color="000000" w:sz="3"/>
            </w:tcBorders>
            <w:vAlign w:val="top"/>
          </w:tcPr>
          <w:p>
            <w:pPr>
              <w:pStyle w:val="82"/>
              <w:widowControl w:val="off"/>
              <w:jc w:val="center"/>
            </w:pPr>
            <w:r>
              <w:rPr>
                <w:sz w:val="18"/>
              </w:rPr>
              <w:t>0.0144</w:t>
            </w:r>
          </w:p>
        </w:tc>
        <w:tc>
          <w:tcPr>
            <w:tcW w:w="1001" w:type="dxa"/>
            <w:tcBorders>
              <w:top w:val="single" w:color="000000" w:sz="3"/>
              <w:left w:val="single" w:color="000000" w:sz="3"/>
              <w:bottom w:val="single" w:color="000000" w:sz="3"/>
              <w:right w:val="single" w:color="000000" w:sz="3"/>
            </w:tcBorders>
            <w:vAlign w:val="top"/>
          </w:tcPr>
          <w:p>
            <w:pPr>
              <w:pStyle w:val="82"/>
              <w:widowControl w:val="off"/>
              <w:jc w:val="center"/>
            </w:pPr>
            <w:r>
              <w:rPr>
                <w:sz w:val="18"/>
              </w:rPr>
              <w:t>0.0081(+)</w:t>
            </w:r>
          </w:p>
        </w:tc>
      </w:tr>
      <w:tr>
        <w:trPr>
          <w:trHeight w:val="56"/>
        </w:trPr>
        <w:tc>
          <w:tcPr>
            <w:tcW w:w="1304" w:type="dxa"/>
            <w:tcBorders>
              <w:top w:val="single" w:color="000000" w:sz="3"/>
              <w:left w:val="single" w:color="000000" w:sz="3"/>
              <w:bottom w:val="single" w:color="000000" w:sz="3"/>
              <w:right w:val="single" w:color="000000" w:sz="3"/>
            </w:tcBorders>
            <w:vAlign w:val="top"/>
          </w:tcPr>
          <w:p>
            <w:pPr>
              <w:pStyle w:val="82"/>
              <w:widowControl w:val="off"/>
            </w:pPr>
            <w:r>
              <w:rPr>
                <w:sz w:val="18"/>
              </w:rPr>
              <w:t>Panic (pre-priced)</w:t>
            </w:r>
          </w:p>
        </w:tc>
        <w:tc>
          <w:tcPr>
            <w:tcW w:w="897" w:type="dxa"/>
            <w:tcBorders>
              <w:top w:val="single" w:color="000000" w:sz="3"/>
              <w:left w:val="single" w:color="000000" w:sz="3"/>
              <w:bottom w:val="single" w:color="000000" w:sz="3"/>
              <w:right w:val="single" w:color="000000" w:sz="3"/>
            </w:tcBorders>
            <w:vAlign w:val="top"/>
          </w:tcPr>
          <w:p>
            <w:pPr>
              <w:pStyle w:val="82"/>
              <w:widowControl w:val="off"/>
              <w:jc w:val="center"/>
            </w:pPr>
            <w:r>
              <w:rPr>
                <w:sz w:val="18"/>
              </w:rPr>
              <w:t>0.1600 (VIX40)</w:t>
            </w:r>
          </w:p>
        </w:tc>
        <w:tc>
          <w:tcPr>
            <w:tcW w:w="819" w:type="dxa"/>
            <w:tcBorders>
              <w:top w:val="single" w:color="000000" w:sz="3"/>
              <w:left w:val="single" w:color="000000" w:sz="3"/>
              <w:bottom w:val="single" w:color="000000" w:sz="3"/>
              <w:right w:val="single" w:color="000000" w:sz="3"/>
            </w:tcBorders>
            <w:vAlign w:val="top"/>
          </w:tcPr>
          <w:p>
            <w:pPr>
              <w:pStyle w:val="82"/>
              <w:widowControl w:val="off"/>
              <w:jc w:val="center"/>
            </w:pPr>
            <w:r>
              <w:rPr>
                <w:sz w:val="18"/>
              </w:rPr>
              <w:t>0.0625</w:t>
            </w:r>
          </w:p>
        </w:tc>
        <w:tc>
          <w:tcPr>
            <w:tcW w:w="1001" w:type="dxa"/>
            <w:tcBorders>
              <w:top w:val="single" w:color="000000" w:sz="3"/>
              <w:left w:val="single" w:color="000000" w:sz="3"/>
              <w:bottom w:val="single" w:color="000000" w:sz="3"/>
              <w:right w:val="single" w:color="000000" w:sz="3"/>
            </w:tcBorders>
            <w:vAlign w:val="top"/>
          </w:tcPr>
          <w:p>
            <w:pPr>
              <w:pStyle w:val="82"/>
              <w:widowControl w:val="off"/>
              <w:jc w:val="center"/>
            </w:pPr>
            <w:r>
              <w:rPr>
                <w:sz w:val="18"/>
              </w:rPr>
              <w:t>0.0975</w:t>
            </w:r>
            <w:r>
              <w:br/>
              <w:rPr>
                <w:sz w:val="18"/>
              </w:rPr>
              <w:t>(strong+)</w:t>
            </w:r>
          </w:p>
        </w:tc>
      </w:tr>
      <w:tr>
        <w:trPr>
          <w:trHeight w:val="56"/>
        </w:trPr>
        <w:tc>
          <w:tcPr>
            <w:tcW w:w="1304" w:type="dxa"/>
            <w:tcBorders>
              <w:top w:val="single" w:color="000000" w:sz="3"/>
              <w:left w:val="single" w:color="000000" w:sz="3"/>
              <w:bottom w:val="single" w:color="000000" w:sz="3"/>
              <w:right w:val="single" w:color="000000" w:sz="3"/>
            </w:tcBorders>
            <w:vAlign w:val="top"/>
          </w:tcPr>
          <w:p>
            <w:pPr>
              <w:pStyle w:val="82"/>
              <w:widowControl w:val="off"/>
            </w:pPr>
            <w:r>
              <w:rPr>
                <w:sz w:val="18"/>
              </w:rPr>
              <w:t>Surprise shock</w:t>
            </w:r>
          </w:p>
        </w:tc>
        <w:tc>
          <w:tcPr>
            <w:tcW w:w="897" w:type="dxa"/>
            <w:tcBorders>
              <w:top w:val="single" w:color="000000" w:sz="3"/>
              <w:left w:val="single" w:color="000000" w:sz="3"/>
              <w:bottom w:val="single" w:color="000000" w:sz="3"/>
              <w:right w:val="single" w:color="000000" w:sz="3"/>
            </w:tcBorders>
            <w:vAlign w:val="top"/>
          </w:tcPr>
          <w:p>
            <w:pPr>
              <w:pStyle w:val="82"/>
              <w:widowControl w:val="off"/>
              <w:jc w:val="center"/>
            </w:pPr>
            <w:r>
              <w:rPr>
                <w:sz w:val="18"/>
              </w:rPr>
              <w:t>0.0400 (VIX20)</w:t>
            </w:r>
          </w:p>
        </w:tc>
        <w:tc>
          <w:tcPr>
            <w:tcW w:w="819" w:type="dxa"/>
            <w:tcBorders>
              <w:top w:val="single" w:color="000000" w:sz="3"/>
              <w:left w:val="single" w:color="000000" w:sz="3"/>
              <w:bottom w:val="single" w:color="000000" w:sz="3"/>
              <w:right w:val="single" w:color="000000" w:sz="3"/>
            </w:tcBorders>
            <w:vAlign w:val="top"/>
          </w:tcPr>
          <w:p>
            <w:pPr>
              <w:pStyle w:val="82"/>
              <w:widowControl w:val="off"/>
              <w:jc w:val="center"/>
            </w:pPr>
            <w:r>
              <w:rPr>
                <w:sz w:val="18"/>
              </w:rPr>
              <w:t>0.0900</w:t>
            </w:r>
          </w:p>
        </w:tc>
        <w:tc>
          <w:tcPr>
            <w:tcW w:w="1001" w:type="dxa"/>
            <w:tcBorders>
              <w:top w:val="single" w:color="000000" w:sz="3"/>
              <w:left w:val="single" w:color="000000" w:sz="3"/>
              <w:bottom w:val="single" w:color="000000" w:sz="3"/>
              <w:right w:val="single" w:color="000000" w:sz="3"/>
            </w:tcBorders>
            <w:vAlign w:val="top"/>
          </w:tcPr>
          <w:p>
            <w:pPr>
              <w:pStyle w:val="82"/>
              <w:widowControl w:val="off"/>
              <w:jc w:val="center"/>
            </w:pPr>
            <w:r>
              <w:rPr>
                <w:sz w:val="18"/>
              </w:rPr>
              <w:t>-0.0500(-)</w:t>
            </w:r>
          </w:p>
        </w:tc>
      </w:tr>
    </w:tbl>
    <w:p>
      <w:pPr>
        <w:pStyle w:val="0"/>
        <w:widowControl w:val="off"/>
      </w:pPr>
    </w:p>
    <w:p>
      <w:pPr>
        <w:pStyle w:val="0"/>
        <w:widowControl w:val="off"/>
      </w:pPr>
      <w:r>
        <w:rPr/>
        <w:t>용어와 산출 절차의 상세 정의는 3장(3.4~3.6절)에서 기술한다.</w:t>
      </w:r>
    </w:p>
    <w:p>
      <w:pPr>
        <w:pStyle w:val="0"/>
        <w:widowControl w:val="off"/>
      </w:pPr>
      <w:r>
        <w:rPr/>
        <w:t xml:space="preserve">본 연구의 예측 지평은 모두 거래일 기준이며, h </w:t>
      </w:r>
      <w:r>
        <w:rPr/>
        <w:t>∈</w:t>
      </w:r>
      <w:r>
        <w:rPr/>
        <w:t xml:space="preserve">  1,5,22,60,90,120,180,252설정한다. 상세 설정과 정화 구간(purge gap) 처리는 3장 3.3절에서 기술한다.</w:t>
      </w:r>
    </w:p>
    <w:p>
      <w:pPr>
        <w:pStyle w:val="0"/>
        <w:widowControl w:val="off"/>
      </w:pPr>
      <w:r>
        <w:rPr/>
        <w:t>VRP 관련 연구는 (i) VRP의 측정과 추정, (ii) VRP의 경제적 의미와 자산가격 함의, (iii) 특정 시장(주로 주식지수) 중심의 실증 분석으로 축적되어 왔다. 그러나 "VRP 예측" 관점에서는 다음의 공백이 남아 있다.</w:t>
      </w:r>
    </w:p>
    <w:p>
      <w:pPr>
        <w:pStyle w:val="0"/>
        <w:widowControl w:val="off"/>
      </w:pPr>
      <w:r>
        <w:rPr/>
        <w:t xml:space="preserve">첫째, 다중 자산 VRP 연구는 </w:t>
      </w:r>
      <w:commentRangeStart w:id="10"/>
      <w:r>
        <w:rPr/>
        <w:commentReference w:id="10"/>
        <w:t>대체로</w:t>
      </w:r>
      <w:commentRangeEnd w:id="10"/>
      <w:r>
        <w:rPr/>
        <w:t xml:space="preserve"> 자산별 옵션 자료에 의존한다. 반면 실제 분석 환경에서는 주식·채권·원자재 전체에 대해 장기간 옵션 데이터를 확보하기 </w:t>
      </w:r>
      <w:commentRangeStart w:id="11"/>
      <w:r>
        <w:rPr/>
        <w:commentReference w:id="11"/>
        <w:t>어렵다. 본 연구는</w:t>
      </w:r>
      <w:commentRangeEnd w:id="11"/>
      <w:r>
        <w:rPr/>
        <w:t xml:space="preserve"> 11개 ETF의 일별 OHLCV와 공개 변동성 지표를 결합하여, 다중 자산 VRP 예측을 재현 가능한 형태로 구성한다.</w:t>
      </w:r>
    </w:p>
    <w:p>
      <w:pPr>
        <w:pStyle w:val="0"/>
        <w:widowControl w:val="off"/>
      </w:pPr>
      <w:r>
        <w:rPr/>
        <w:t xml:space="preserve">둘째, VRP 연구는 월간(대략 30일) 지표(VIX)에 </w:t>
      </w:r>
      <w:commentRangeStart w:id="12"/>
      <w:r>
        <w:rPr/>
        <w:commentReference w:id="12"/>
        <w:t>정렬된 분석이 많아,</w:t>
      </w:r>
      <w:commentRangeEnd w:id="12"/>
      <w:r>
        <w:rPr/>
        <w:t xml:space="preserve"> 1~5거래일부터 연간(252거래일)까지 지평을 확장했을 때 예측 구조가 어떻게 달라지는지에 대한 체계적 비교가 충분하지 않다.</w:t>
      </w:r>
    </w:p>
    <w:p>
      <w:pPr>
        <w:pStyle w:val="0"/>
        <w:widowControl w:val="off"/>
      </w:pPr>
      <w:commentRangeStart w:id="13"/>
      <w:r>
        <w:rPr/>
        <w:t>셋째, 금융 데이터는 구조 변화가 잦고 노이즈가 큰 편이어서 "복잡한 모델이 항상 더 낫다"고 말하기 어렵다. 그럼에도 동일한 피처·동일한 검증 절차 아래에서 선형 모델, 트리 기반 모델, 시계열 신경망 모델을 지평별로 공정 비교한 결과는 제한적이다.</w:t>
      </w:r>
    </w:p>
    <w:p>
      <w:pPr>
        <w:pStyle w:val="0"/>
        <w:widowControl w:val="off"/>
      </w:pPr>
      <w:r>
        <w:rPr/>
        <w:commentReference w:id="13"/>
        <w:t>이 공백을 바탕으로 본 연구는 다음 연구 질문에 답한다.</w:t>
      </w:r>
      <w:commentRangeEnd w:id="13"/>
    </w:p>
    <w:p>
      <w:pPr>
        <w:pStyle w:val="0"/>
        <w:widowControl w:val="off"/>
      </w:pPr>
      <w:commentRangeStart w:id="14"/>
      <w:r>
        <w:rPr/>
        <w:t>RQ1. 공개 데이터(가격 기반 피처와 변동성 지표)를 이용해 구성한 VRP_hat는 주식·채권·원자재 자산군에서 예측 가능한가?</w:t>
      </w:r>
    </w:p>
    <w:p>
      <w:pPr>
        <w:pStyle w:val="0"/>
        <w:widowControl w:val="off"/>
      </w:pPr>
      <w:r>
        <w:rPr/>
        <w:t>RQ2. 예측 지평이 1거래일에서 252거래일까지 길어질 때, 예측 성능(R^2, RMSE)과 유효 피처는 어떻게 달라지는가?</w:t>
      </w:r>
    </w:p>
    <w:p>
      <w:pPr>
        <w:pStyle w:val="0"/>
        <w:widowControl w:val="off"/>
      </w:pPr>
      <w:r>
        <w:rPr/>
        <w:t>RQ3. 동일한 피처와 동일한 시계열 검증 절차에서, 선형·트리 기반·시계열 신경망 모델의 상대적 성능은 지평에 따라 어떻게 달라지는가?</w:t>
      </w:r>
    </w:p>
    <w:p>
      <w:pPr>
        <w:pStyle w:val="0"/>
        <w:widowControl w:val="off"/>
      </w:pPr>
      <w:r>
        <w:rPr/>
        <w:commentReference w:id="14"/>
        <w:t>RQ4. VRP_hat 예측의 통계적 우위가 실제 거래비용을 반영한 경제적 의사결정(예: 변동성 타이밍 전략)에서도 실효성을 가지는가?</w:t>
      </w:r>
      <w:commentRangeEnd w:id="14"/>
    </w:p>
    <w:p>
      <w:pPr>
        <w:pStyle w:val="0"/>
        <w:widowControl w:val="off"/>
      </w:pPr>
      <w:commentRangeStart w:id="15"/>
      <w:r>
        <w:rPr/>
        <w:t>본 연구는 주식(5), 채권(3), 원자재(3)로 구성된 총 11개 ETF(SPY, QQQ, IWM, EFA, EEM, TLT, IEF, AGG, GLD, SLV, USO)를 대상으로 2010년 1월부터 2025년 1월까지 일별 OHLCV 데이터를 사용한다.</w:t>
      </w:r>
    </w:p>
    <w:p>
      <w:pPr>
        <w:pStyle w:val="0"/>
        <w:widowControl w:val="off"/>
      </w:pPr>
      <w:r>
        <w:rPr/>
        <w:commentReference w:id="15"/>
        <w:t>피처는 (i) HAR 구조 기반의 기본 피처, (ii) OHLC로부터 계산한 range 기반 변동성 피처, (iii) VIX 기간구조(예: VIX3M, VIX9D 등)와 같은 변동성 지표 피처, (iv) 거래량 기반 피처로 구성한다. 또한 단일 VIX를 모든 지평의 타겟 IV로 대체할 때 발생하는 만기 불일치(maturity mismatch) 문제를 점검하고, VIX 기간구조 지표(VIX9D, VIX3M)로 이를 부분적으로 보완한다. 1~5d 지평에서는 VIX9D 대체가 소폭 유리하나, 월간 이상에서는 VIX 단독이 크게 열등하지 않다는 사전 검증 결과를 포함한다.</w:t>
      </w:r>
      <w:commentRangeEnd w:id="15"/>
    </w:p>
    <w:p>
      <w:pPr>
        <w:pStyle w:val="0"/>
        <w:widowControl w:val="off"/>
      </w:pPr>
      <w:r>
        <w:rPr/>
        <w:t>원자재의 경우 주식 기반 VIX가 충분하지 않을 수 있으므로, 금(GVZ), 원유(OVX) 등 자산특화 변동성 지표를 대체 적용하는 강건성 검증을 수행한다(소폭 개선이 있으나 전체 성능 변화는 제한적).</w:t>
      </w:r>
    </w:p>
    <w:p>
      <w:pPr>
        <w:pStyle w:val="0"/>
        <w:widowControl w:val="off"/>
      </w:pPr>
      <w:r>
        <w:rPr/>
        <w:t>성능 평가는 R^2(설명력)과 RMSE(예측오차)를 기반으로, 시간순 학습/테스트 분할과 확장 윈도우 교차검증을 적용한다.</w:t>
      </w:r>
    </w:p>
    <w:p>
      <w:pPr>
        <w:pStyle w:val="0"/>
        <w:widowControl w:val="off"/>
      </w:pPr>
      <w:r>
        <w:rPr/>
        <w:t>본 논문의 구성은 다음과 같다. 2장에서는 VRP 측정·예측 관련 선행연구를 정리한다. 3장에서는 데이터·변수 구성 및 방법론을 제시한다. 4장에서는 실험 결과와 논의를 보고하고, 5장에서 결론 및 향후 과제를 정리한다.</w:t>
      </w:r>
    </w:p>
    <w:p>
      <w:pPr>
        <w:pStyle w:val="0"/>
        <w:widowControl w:val="off"/>
        <w:rPr/>
      </w:pPr>
    </w:p>
    <w:p>
      <w:pPr>
        <w:pStyle w:val="47"/>
        <w:widowControl w:val="off"/>
      </w:pPr>
      <w:r>
        <w:rPr/>
        <w:t>Ⅱ</w:t>
      </w:r>
      <w:r>
        <w:rPr/>
        <w:t>. 관련 연구</w:t>
      </w:r>
    </w:p>
    <w:p>
      <w:pPr>
        <w:pStyle w:val="0"/>
        <w:widowControl w:val="off"/>
        <w:rPr/>
      </w:pPr>
    </w:p>
    <w:p>
      <w:pPr>
        <w:pStyle w:val="0"/>
        <w:widowControl w:val="off"/>
      </w:pPr>
      <w:r>
        <w:rPr/>
        <w:t xml:space="preserve">2.1 </w:t>
      </w:r>
      <w:commentRangeStart w:id="16"/>
      <w:r>
        <w:rPr/>
        <w:commentReference w:id="16"/>
        <w:t>VRP의 정의와 측정</w:t>
      </w:r>
      <w:commentRangeEnd w:id="16"/>
    </w:p>
    <w:p>
      <w:pPr>
        <w:pStyle w:val="0"/>
        <w:widowControl w:val="off"/>
        <w:rPr/>
      </w:pPr>
    </w:p>
    <w:p>
      <w:pPr>
        <w:pStyle w:val="0"/>
        <w:widowControl w:val="off"/>
      </w:pPr>
      <w:r>
        <w:rPr/>
        <w:t>VRP는 위험중립 기대분산과 물리적 기대분산의 차이로 정의되며, 실증에서는 옵션 가격으로부터 위험중립 기대분산(분산스왑 레이트)을 근사하고 실현분산과의 차이로 VRP를 산출하는 방식이 널리 사용된다. Carr and Wu [5]는 옵션 포트폴리오가 분산스왑 레이트를 잘 근사할 수 있음을 보이고, 실현분산과의 차이를 VRP로 정의하는 방법을 제시했다.</w:t>
      </w:r>
    </w:p>
    <w:p>
      <w:pPr>
        <w:pStyle w:val="0"/>
        <w:widowControl w:val="off"/>
      </w:pPr>
      <w:r>
        <w:rPr/>
        <w:t>또한 VRP는 변동성 수준과 구분되는 경제적 의미를 가진다. Bekaert and Hoerova [6]는 VIX^2를 "조건부 기대 실현분산 + 분산 프리미엄"으로 분해하고, 분산 프리미엄이 주가 수익률 예측과 연결될 수 있음을 분석했다. Bollerslev, Tauchen, Zhou [7]는 VRP가 주식 수익률의 시계열 예측에 유의미한 설명력을 가진다는 실증 결과를 제시하였으며, Drechsler and Yaron [8]는 VRP의 변동이 경제 구조(장기 위험)와 연결되는 이론적 메커니즘을 규명하였다. 이 결과는 VRP가 단순히 "변동성이 크다/작다"가 아니라, 위험이 얼마나 비싸게 거래되는지를 보여주는 지표임을 뒷받침한다.</w:t>
      </w:r>
    </w:p>
    <w:p>
      <w:pPr>
        <w:pStyle w:val="0"/>
        <w:widowControl w:val="off"/>
        <w:rPr/>
      </w:pPr>
    </w:p>
    <w:p>
      <w:pPr>
        <w:pStyle w:val="0"/>
        <w:widowControl w:val="off"/>
      </w:pPr>
      <w:r>
        <w:rPr/>
        <w:t>2.2 VRP 추정의 엄밀성</w:t>
      </w:r>
    </w:p>
    <w:p>
      <w:pPr>
        <w:pStyle w:val="0"/>
        <w:widowControl w:val="off"/>
        <w:rPr/>
      </w:pPr>
    </w:p>
    <w:p>
      <w:pPr>
        <w:pStyle w:val="0"/>
        <w:widowControl w:val="off"/>
      </w:pPr>
      <w:r>
        <w:rPr/>
        <w:t>VRP는 옵션 가격오차나 실현분산 추정오차의 영향을 받을 수 있어, 측정의 엄밀성이 중요하다. Zhang, Chen, Lu [9]는 옵션 가격오차(pricing errors)가 존재할 때 내재분산과 VRP를 일관되게 추정하기 위한 비모수 추정법(nonparametric method)과 점근 추론 체계(asymptotic inference)을 제시했다.</w:t>
      </w:r>
    </w:p>
    <w:p>
      <w:pPr>
        <w:pStyle w:val="0"/>
        <w:widowControl w:val="off"/>
      </w:pPr>
      <w:r>
        <w:rPr/>
        <w:t>이러한 연구는 VRP를 단순 지표로 쓰는 것을 넘어, 추정치의 신뢰도와 이후 예측·검정의 타당성을 높이는 방향으로 문헌을 확장한다.</w:t>
      </w:r>
    </w:p>
    <w:p>
      <w:pPr>
        <w:pStyle w:val="0"/>
        <w:widowControl w:val="off"/>
        <w:rPr/>
      </w:pPr>
    </w:p>
    <w:p>
      <w:pPr>
        <w:pStyle w:val="0"/>
        <w:widowControl w:val="off"/>
        <w:rPr/>
      </w:pPr>
    </w:p>
    <w:p>
      <w:pPr>
        <w:pStyle w:val="0"/>
        <w:widowControl w:val="off"/>
      </w:pPr>
      <w:r>
        <w:rPr/>
        <w:t>2.3 VRP의 예측력과 시장 간 전이(Spillover)</w:t>
      </w:r>
    </w:p>
    <w:p>
      <w:pPr>
        <w:pStyle w:val="0"/>
        <w:widowControl w:val="off"/>
        <w:rPr/>
      </w:pPr>
    </w:p>
    <w:p>
      <w:pPr>
        <w:pStyle w:val="0"/>
        <w:widowControl w:val="off"/>
      </w:pPr>
      <w:r>
        <w:rPr/>
        <w:t xml:space="preserve">VRP는 단일 시장을 넘어 다른 시장으로 전이될 수 있다. 예를 들어 </w:t>
      </w:r>
      <w:commentRangeStart w:id="17"/>
      <w:r>
        <w:rPr/>
        <w:t>M. Hattori, I. Shim, and Y. Sugihara</w:t>
      </w:r>
      <w:r>
        <w:rPr/>
        <w:commentReference w:id="17"/>
        <w:t>[10]</w:t>
      </w:r>
      <w:commentRangeEnd w:id="17"/>
      <w:r>
        <w:rPr/>
        <w:t>는 분산 위험 프리미엄과 자금 흐름을 통해 주식시장 간 전이 구조를 분석했다. 또한 원자재 영역에서는 VRP가 미래 원자재 수익률과 관련될 수 있으며 [11], 실증에서 주식 VRP를 통제 변수로 포함해도 예측 관계가 유지될 수 있다는 결과가 보고되었다.</w:t>
      </w:r>
    </w:p>
    <w:p>
      <w:pPr>
        <w:pStyle w:val="0"/>
        <w:widowControl w:val="off"/>
      </w:pPr>
      <w:commentRangeStart w:id="18"/>
      <w:r>
        <w:rPr/>
        <w:commentReference w:id="18"/>
        <w:t>이 문헌은 "대표 시장(주식)에서 관측되는 변동성 위험 가격 정보가 다른 자산군에도 영향을 줄 수 있다"는 가능성을 시사한다.</w:t>
      </w:r>
      <w:commentRangeEnd w:id="18"/>
      <w:r>
        <w:rPr/>
        <w:t xml:space="preserve"> </w:t>
      </w:r>
      <w:commentRangeStart w:id="19"/>
      <w:r>
        <w:rPr/>
        <w:commentReference w:id="19"/>
        <w:t>본 연구는 이러한 맥락에서, 공통 변동성 지표(VIX 및 기간구조)를 활용하여 다중 자산(cross-asset)에 범용으로 적용 가능한 VRP 대용치(proxy)를 구축하고 그 예측 가능성을 실증한다.</w:t>
      </w:r>
      <w:commentRangeEnd w:id="19"/>
    </w:p>
    <w:p>
      <w:pPr>
        <w:pStyle w:val="0"/>
        <w:widowControl w:val="off"/>
        <w:rPr/>
      </w:pPr>
    </w:p>
    <w:p>
      <w:pPr>
        <w:pStyle w:val="0"/>
        <w:widowControl w:val="off"/>
      </w:pPr>
      <w:r>
        <w:rPr/>
        <w:t>2.4 변동성(RV) 예측</w:t>
      </w:r>
    </w:p>
    <w:p>
      <w:pPr>
        <w:pStyle w:val="0"/>
        <w:widowControl w:val="off"/>
        <w:rPr/>
      </w:pPr>
    </w:p>
    <w:p>
      <w:pPr>
        <w:pStyle w:val="0"/>
        <w:widowControl w:val="off"/>
      </w:pPr>
      <w:r>
        <w:rPr/>
        <w:t xml:space="preserve">VRP는 IV와 RV의 차이이므로, RV 예측 방법론과도 밀접하게 연결된다. 전통적 GARCH 모형 [12][13] 등에서 출발한 변동성 예측 연구는, 근래에 다양한 시간 스케일의 변동성 성분을 결합해 지속성을 모형화하는 HAR-RV [2][3] 등으로 발전하였다. 이러한 선행 연구 기반 위에서, 최근에는 기계학습이 HAR 계열을 얼마나 향상시킬 수 있는지 확인하는 비교 연구가 늘어나고 있다. </w:t>
      </w:r>
      <w:commentRangeStart w:id="20"/>
      <w:r>
        <w:rPr/>
        <w:commentReference w:id="20"/>
        <w:t>[4]은</w:t>
      </w:r>
      <w:commentRangeEnd w:id="20"/>
      <w:r>
        <w:rPr/>
        <w:t xml:space="preserve"> 정규화 회귀, 트리 기반 방법, 신경망 등을 비교하며, 추가 피처가 존재할 때 기계학습이 변동성 예측에서 경쟁력 있음을 보였다.</w:t>
      </w:r>
    </w:p>
    <w:p>
      <w:pPr>
        <w:pStyle w:val="0"/>
        <w:widowControl w:val="off"/>
      </w:pPr>
      <w:commentRangeStart w:id="21"/>
      <w:r>
        <w:rPr/>
        <w:commentReference w:id="21"/>
        <w:t>본 연구는 HAR 기반 피처를 기본으로 두고(range 기반 피처, 변동성 지표 기간구조, 거래량 피처를 추가) 예측 성능이 실제로 얼마나 개선되는지, 그리고 그 개선이 지평에 따라 달라지는지를 함께 살펴본다.</w:t>
      </w:r>
      <w:commentRangeEnd w:id="21"/>
    </w:p>
    <w:p>
      <w:pPr>
        <w:pStyle w:val="0"/>
        <w:widowControl w:val="off"/>
      </w:pPr>
      <w:r>
        <w:rPr/>
        <w:t xml:space="preserve">표 3은 </w:t>
      </w:r>
      <w:commentRangeStart w:id="22"/>
      <w:r>
        <w:rPr/>
        <w:commentReference w:id="22"/>
        <w:t>GARCH(1986)부터 본 연구(2025)</w:t>
      </w:r>
      <w:commentRangeEnd w:id="22"/>
      <w:r>
        <w:rPr/>
        <w:t xml:space="preserve">까지 변동성 예측 모델의 안정적 성능 확보 과정을 시간순으로 정리한 것이다. 전통 계량경제 모형(GARCH, HAR-RV)이 기반을 형성하고, LASSO-HAR(2016)과 RF(2023) 등 기계학습 모형이 점진적 개선을 이루었으며, 본 연구의 ElasticNet-59(확장 59피처, L1+L2 정규화)이 22d 풀링 R^2 0.807로, </w:t>
      </w:r>
      <w:commentRangeStart w:id="23"/>
      <w:r>
        <w:rPr/>
        <w:commentReference w:id="23"/>
        <w:t>본 연구 설정 하에서 기존 문헌과 비견되는 높은 성능 위치에 있음을 보여준다.</w:t>
      </w:r>
      <w:commentRangeEnd w:id="23"/>
    </w:p>
    <w:p>
      <w:pPr>
        <w:pStyle w:val="0"/>
        <w:widowControl w:val="off"/>
        <w:rPr/>
      </w:pPr>
    </w:p>
    <w:p>
      <w:pPr>
        <w:pStyle w:val="0"/>
        <w:widowControl w:val="off"/>
      </w:pPr>
      <w:r>
        <w:rPr/>
        <w:t>표 3. 변동성 예측 모델 계보 타임라인</w:t>
      </w:r>
    </w:p>
    <w:tbl>
      <w:tblPr>
        <w:tblOverlap w:val="never"/>
        <w:tblW w:w="4150"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648"/>
        <w:gridCol w:w="1399"/>
        <w:gridCol w:w="1184"/>
        <w:gridCol w:w="919"/>
      </w:tblGrid>
      <w:tr>
        <w:trPr>
          <w:trHeight w:val="236"/>
        </w:trPr>
        <w:tc>
          <w:tcPr>
            <w:tcW w:w="648"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Year</w:t>
            </w:r>
          </w:p>
        </w:tc>
        <w:tc>
          <w:tcPr>
            <w:tcW w:w="1399"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Model</w:t>
            </w:r>
          </w:p>
        </w:tc>
        <w:tc>
          <w:tcPr>
            <w:tcW w:w="1184"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Category</w:t>
            </w:r>
          </w:p>
        </w:tc>
        <w:tc>
          <w:tcPr>
            <w:tcW w:w="919"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22d R^2</w:t>
            </w:r>
          </w:p>
        </w:tc>
      </w:tr>
      <w:tr>
        <w:trPr>
          <w:trHeight w:val="236"/>
        </w:trPr>
        <w:tc>
          <w:tcPr>
            <w:tcW w:w="648"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1986</w:t>
            </w:r>
          </w:p>
        </w:tc>
        <w:tc>
          <w:tcPr>
            <w:tcW w:w="139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GARCH (Bollerslev)</w:t>
            </w:r>
          </w:p>
        </w:tc>
        <w:tc>
          <w:tcPr>
            <w:tcW w:w="118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Traditional</w:t>
            </w:r>
          </w:p>
        </w:tc>
        <w:tc>
          <w:tcPr>
            <w:tcW w:w="919"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0.55</w:t>
            </w:r>
          </w:p>
        </w:tc>
      </w:tr>
      <w:tr>
        <w:trPr>
          <w:trHeight w:val="236"/>
        </w:trPr>
        <w:tc>
          <w:tcPr>
            <w:tcW w:w="648"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2007</w:t>
            </w:r>
          </w:p>
        </w:tc>
        <w:tc>
          <w:tcPr>
            <w:tcW w:w="139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HAR-CJ (Andersen+)</w:t>
            </w:r>
          </w:p>
        </w:tc>
        <w:tc>
          <w:tcPr>
            <w:tcW w:w="118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Traditional</w:t>
            </w:r>
          </w:p>
        </w:tc>
        <w:tc>
          <w:tcPr>
            <w:tcW w:w="919"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0.752</w:t>
            </w:r>
          </w:p>
        </w:tc>
      </w:tr>
      <w:tr>
        <w:trPr>
          <w:trHeight w:val="236"/>
        </w:trPr>
        <w:tc>
          <w:tcPr>
            <w:tcW w:w="648"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2009</w:t>
            </w:r>
          </w:p>
        </w:tc>
        <w:tc>
          <w:tcPr>
            <w:tcW w:w="139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HAR-RV (Corsi)</w:t>
            </w:r>
          </w:p>
        </w:tc>
        <w:tc>
          <w:tcPr>
            <w:tcW w:w="118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Traditional</w:t>
            </w:r>
          </w:p>
        </w:tc>
        <w:tc>
          <w:tcPr>
            <w:tcW w:w="919"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0.761</w:t>
            </w:r>
          </w:p>
        </w:tc>
      </w:tr>
      <w:tr>
        <w:trPr>
          <w:trHeight w:val="286"/>
        </w:trPr>
        <w:tc>
          <w:tcPr>
            <w:tcW w:w="648"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2016</w:t>
            </w:r>
          </w:p>
        </w:tc>
        <w:tc>
          <w:tcPr>
            <w:tcW w:w="139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LASSO-HAR (Audrino+)</w:t>
            </w:r>
          </w:p>
        </w:tc>
        <w:tc>
          <w:tcPr>
            <w:tcW w:w="118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ML</w:t>
            </w:r>
          </w:p>
        </w:tc>
        <w:tc>
          <w:tcPr>
            <w:tcW w:w="919"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0.79</w:t>
            </w:r>
          </w:p>
        </w:tc>
      </w:tr>
      <w:tr>
        <w:trPr>
          <w:trHeight w:val="236"/>
        </w:trPr>
        <w:tc>
          <w:tcPr>
            <w:tcW w:w="648"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2019</w:t>
            </w:r>
          </w:p>
        </w:tc>
        <w:tc>
          <w:tcPr>
            <w:tcW w:w="139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ML+Options (Carr+)</w:t>
            </w:r>
          </w:p>
        </w:tc>
        <w:tc>
          <w:tcPr>
            <w:tcW w:w="118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ML</w:t>
            </w:r>
          </w:p>
        </w:tc>
        <w:tc>
          <w:tcPr>
            <w:tcW w:w="919"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0.39</w:t>
            </w:r>
          </w:p>
        </w:tc>
      </w:tr>
      <w:tr>
        <w:trPr>
          <w:trHeight w:val="236"/>
        </w:trPr>
        <w:tc>
          <w:tcPr>
            <w:tcW w:w="648"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2023</w:t>
            </w:r>
          </w:p>
        </w:tc>
        <w:tc>
          <w:tcPr>
            <w:tcW w:w="139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RF (Christensen+)</w:t>
            </w:r>
          </w:p>
        </w:tc>
        <w:tc>
          <w:tcPr>
            <w:tcW w:w="118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ML</w:t>
            </w:r>
          </w:p>
        </w:tc>
        <w:tc>
          <w:tcPr>
            <w:tcW w:w="919"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0.77</w:t>
            </w:r>
          </w:p>
        </w:tc>
      </w:tr>
      <w:tr>
        <w:trPr>
          <w:trHeight w:val="236"/>
        </w:trPr>
        <w:tc>
          <w:tcPr>
            <w:tcW w:w="648"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2026</w:t>
            </w:r>
          </w:p>
        </w:tc>
        <w:tc>
          <w:tcPr>
            <w:tcW w:w="139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BiLSTM-A (Ours)</w:t>
            </w:r>
          </w:p>
        </w:tc>
        <w:tc>
          <w:tcPr>
            <w:tcW w:w="118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DL</w:t>
            </w:r>
          </w:p>
        </w:tc>
        <w:tc>
          <w:tcPr>
            <w:tcW w:w="919"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0.780</w:t>
            </w:r>
          </w:p>
        </w:tc>
      </w:tr>
      <w:tr>
        <w:trPr>
          <w:trHeight w:val="236"/>
        </w:trPr>
        <w:tc>
          <w:tcPr>
            <w:tcW w:w="648"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2026</w:t>
            </w:r>
          </w:p>
        </w:tc>
        <w:tc>
          <w:tcPr>
            <w:tcW w:w="139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WEns</w:t>
            </w:r>
          </w:p>
        </w:tc>
        <w:tc>
          <w:tcPr>
            <w:tcW w:w="118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This study</w:t>
            </w:r>
          </w:p>
        </w:tc>
        <w:tc>
          <w:tcPr>
            <w:tcW w:w="919"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0.803</w:t>
            </w:r>
          </w:p>
        </w:tc>
      </w:tr>
      <w:tr>
        <w:trPr>
          <w:trHeight w:val="236"/>
        </w:trPr>
        <w:tc>
          <w:tcPr>
            <w:tcW w:w="648"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2026</w:t>
            </w:r>
          </w:p>
        </w:tc>
        <w:tc>
          <w:tcPr>
            <w:tcW w:w="1399"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 xml:space="preserve">ElasticNet-59 </w:t>
            </w:r>
          </w:p>
        </w:tc>
        <w:tc>
          <w:tcPr>
            <w:tcW w:w="1184"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This study</w:t>
            </w:r>
          </w:p>
        </w:tc>
        <w:tc>
          <w:tcPr>
            <w:tcW w:w="919" w:type="dxa"/>
            <w:tcBorders>
              <w:top w:val="single" w:color="000000" w:sz="3"/>
              <w:left w:val="single" w:color="000000" w:sz="3"/>
              <w:bottom w:val="single" w:color="000000" w:sz="3"/>
              <w:right w:val="single" w:color="000000" w:sz="3"/>
            </w:tcBorders>
            <w:vAlign w:val="center"/>
          </w:tcPr>
          <w:p>
            <w:pPr>
              <w:pStyle w:val="84"/>
              <w:widowControl w:val="off"/>
              <w:jc w:val="left"/>
            </w:pPr>
            <w:r>
              <w:rPr>
                <w:rFonts w:ascii="휴먼명조"/>
                <w:sz w:val="20"/>
              </w:rPr>
              <w:t>0.807</w:t>
            </w:r>
          </w:p>
        </w:tc>
      </w:tr>
    </w:tbl>
    <w:p>
      <w:pPr>
        <w:pStyle w:val="0"/>
        <w:widowControl w:val="off"/>
      </w:pPr>
    </w:p>
    <w:p>
      <w:pPr>
        <w:pStyle w:val="0"/>
        <w:widowControl w:val="off"/>
      </w:pPr>
      <w:r>
        <w:rPr/>
        <w:t xml:space="preserve">각 모델의 R^2 값은 해당 원저에서 보고된 대표 성능치이며, 서로 다른 데이터셋·피처·대상 자산·평가 방식에서 산출된 결과이므로 </w:t>
      </w:r>
      <w:commentRangeStart w:id="24"/>
      <w:r>
        <w:rPr/>
        <w:commentReference w:id="24"/>
        <w:t>직접적인 모델 간 우열 비교에 사용할 수 없다. 본 연구 모델에 대한 동일 조건 공정 비교 결과는 4.4절 표 11을 참조한다.</w:t>
      </w:r>
      <w:commentRangeEnd w:id="24"/>
    </w:p>
    <w:p>
      <w:pPr>
        <w:pStyle w:val="0"/>
        <w:widowControl w:val="off"/>
        <w:rPr/>
      </w:pPr>
    </w:p>
    <w:p>
      <w:pPr>
        <w:pStyle w:val="0"/>
        <w:widowControl w:val="off"/>
      </w:pPr>
      <w:r>
        <w:rPr/>
        <w:t>2.5 VRP 예측·활용에서의 기계학습 접근</w:t>
      </w:r>
    </w:p>
    <w:p>
      <w:pPr>
        <w:pStyle w:val="0"/>
        <w:widowControl w:val="off"/>
        <w:rPr/>
      </w:pPr>
    </w:p>
    <w:p>
      <w:pPr>
        <w:pStyle w:val="0"/>
        <w:widowControl w:val="off"/>
      </w:pPr>
      <w:r>
        <w:rPr/>
        <w:t xml:space="preserve">VRP 관련 기계학습 연구는 크게 두 방향으로 나뉜다. 첫째, 옵션 단면 정보를 직접 사용해 미래 분산(또는 VIX 스타일 지표의 오차)을 예측하는 접근이다. </w:t>
      </w:r>
      <w:commentRangeStart w:id="25"/>
      <w:r>
        <w:rPr/>
        <w:t>[14]은 옵션 단면을 이용해 미래 실현분산과 "VIX^2 - RV"와 같은 편차를 학습하는 방법을 논의했다(옵션 데이터가 필요하다는 점에서 데이터 비용이 크다).</w:t>
      </w:r>
    </w:p>
    <w:p>
      <w:pPr>
        <w:pStyle w:val="0"/>
        <w:widowControl w:val="off"/>
      </w:pPr>
      <w:r>
        <w:rPr/>
        <w:commentReference w:id="25"/>
        <w:t xml:space="preserve">둘째, VRP 수확 전략의 타이밍을 개선하는 접근이다. [15]는 EUR/USD 시장에서 일주일 만기 스트래들 매도 전략을 기반으로, 기계학습과 대안 데이터를 활용해 불리한 거래를 회피하는 타이밍 전략을 제안했다. </w:t>
      </w:r>
      <w:commentRangeEnd w:id="25"/>
      <w:r>
        <w:rPr/>
        <w:t>이 흐름은 VRP 예측이 값 자체의 정확도뿐 아니라, 실제 의사결정의 품질 향상과도 연결될 수 있음을 보여준다.</w:t>
      </w:r>
    </w:p>
    <w:p>
      <w:pPr>
        <w:pStyle w:val="0"/>
        <w:widowControl w:val="off"/>
      </w:pPr>
      <w:commentRangeStart w:id="26"/>
      <w:r>
        <w:rPr/>
        <w:commentReference w:id="26"/>
        <w:t>본 연구는 옵션 단면 데이터를 직접 사용하지 않고, 공개 데이터 기반으로 VRP 예측이 어느 정도 가능한지, 그리고 지평/자산군/모형 복잡도에 따라 어떤 구조적 차이가 나타나는지를 체계적으로 비교한다.</w:t>
      </w:r>
      <w:commentRangeEnd w:id="26"/>
    </w:p>
    <w:p>
      <w:pPr>
        <w:pStyle w:val="0"/>
        <w:widowControl w:val="off"/>
        <w:rPr/>
      </w:pPr>
    </w:p>
    <w:p>
      <w:pPr>
        <w:pStyle w:val="0"/>
        <w:widowControl w:val="off"/>
      </w:pPr>
      <w:commentRangeStart w:id="27"/>
      <w:r>
        <w:rPr/>
        <w:commentReference w:id="27"/>
        <w:t>2.6 다중 자산 VRP 연구와 본 연구의 위치</w:t>
      </w:r>
      <w:commentRangeEnd w:id="27"/>
    </w:p>
    <w:p>
      <w:pPr>
        <w:pStyle w:val="0"/>
        <w:widowControl w:val="off"/>
        <w:rPr/>
      </w:pPr>
    </w:p>
    <w:p>
      <w:pPr>
        <w:pStyle w:val="0"/>
        <w:widowControl w:val="off"/>
      </w:pPr>
      <w:r>
        <w:rPr/>
        <w:t>최근에는 여러 자산(주식, 채권, 통화, 원자재 등)에서 VRP를 측정하고 비교하는 연구도 등장했다. [16]는 20개 선물 옵션을 대상으로 분산 위험 프리미엄을 비교하며 자산별 이질성을 보고했다. 하지만 기존 연구는 대체로 각 자산별 전용 옵션 데이터에 의존한다. 본 연구는 실무적 데이터 확보의 제약을 극복하기 위해 공개 지표 기반의 VRP-proxy를 도입하며, 그 과정에서 발생할 수 있는 한계(VIX 만기 불일치, 원자재 시장의 특수성 등)를 명시하고 대안지수 및 기간구조를 이용한 강건성 점검을 함께 제시한다.</w:t>
      </w:r>
    </w:p>
    <w:p>
      <w:pPr>
        <w:pStyle w:val="0"/>
        <w:widowControl w:val="off"/>
      </w:pPr>
      <w:commentRangeStart w:id="28"/>
      <w:r>
        <w:rPr/>
        <w:commentReference w:id="28"/>
        <w:t>Carr and Wu(2009)의 VRP 표준 정의로부터, Bekaert and Hoerova(2014)의 VIX 분해, Heston and Todorov(2023)의 cross-asset 비교까지 문헌이 확장되어 왔으며, 본 연구(2025)는 ML/DL 기반 cross-asset VRP 예측이라는 새로운 위치를 점유한다.</w:t>
      </w:r>
      <w:commentRangeEnd w:id="28"/>
    </w:p>
    <w:p>
      <w:pPr>
        <w:pStyle w:val="0"/>
        <w:widowControl w:val="off"/>
        <w:rPr/>
      </w:pPr>
    </w:p>
    <w:p>
      <w:pPr>
        <w:pStyle w:val="0"/>
        <w:widowControl w:val="off"/>
        <w:rPr/>
      </w:pPr>
    </w:p>
    <w:p>
      <w:pPr>
        <w:pStyle w:val="47"/>
        <w:widowControl w:val="off"/>
      </w:pPr>
      <w:r>
        <w:rPr/>
        <w:t>Ⅲ</w:t>
      </w:r>
      <w:r>
        <w:rPr/>
        <w:t xml:space="preserve">. </w:t>
      </w:r>
      <w:commentRangeStart w:id="29"/>
      <w:r>
        <w:rPr/>
        <w:commentReference w:id="29"/>
        <w:t>데이터 및 변수 구성</w:t>
      </w:r>
      <w:commentRangeEnd w:id="29"/>
    </w:p>
    <w:p>
      <w:pPr>
        <w:pStyle w:val="45"/>
        <w:widowControl w:val="off"/>
        <w:spacing w:line="360" w:lineRule="auto"/>
        <w:rPr/>
      </w:pPr>
    </w:p>
    <w:p>
      <w:pPr>
        <w:pStyle w:val="0"/>
        <w:widowControl w:val="off"/>
      </w:pPr>
      <w:r>
        <w:rPr/>
        <w:t xml:space="preserve">3.1 </w:t>
      </w:r>
      <w:commentRangeStart w:id="30"/>
      <w:r>
        <w:rPr/>
        <w:commentReference w:id="30"/>
        <w:t>자산 유니버스(분석 대상) 및 선정 근거</w:t>
      </w:r>
      <w:commentRangeEnd w:id="30"/>
    </w:p>
    <w:p>
      <w:pPr>
        <w:pStyle w:val="0"/>
        <w:widowControl w:val="off"/>
        <w:rPr/>
      </w:pPr>
    </w:p>
    <w:p>
      <w:pPr>
        <w:pStyle w:val="0"/>
        <w:widowControl w:val="off"/>
      </w:pPr>
      <w:r>
        <w:rPr/>
        <w:t>본 연구는 주식(Equity), 채권(Bond), 원자재(Commodity)로 구성된 3개 자산군에서 총 11개 ETF를 분석 대상으로 사용한다. 구체적인 티커는 다음과 같다.</w:t>
      </w:r>
    </w:p>
    <w:p>
      <w:pPr>
        <w:pStyle w:val="0"/>
        <w:widowControl w:val="off"/>
      </w:pPr>
      <w:commentRangeStart w:id="31"/>
      <w:r>
        <w:rPr/>
        <w:t>Equity(5): SPY, QQQ, IWM, EFA, EEM</w:t>
      </w:r>
    </w:p>
    <w:p>
      <w:pPr>
        <w:pStyle w:val="0"/>
        <w:widowControl w:val="off"/>
      </w:pPr>
      <w:r>
        <w:rPr/>
        <w:t>Bond(3): TLT, IEF, AGG</w:t>
      </w:r>
    </w:p>
    <w:p>
      <w:pPr>
        <w:pStyle w:val="0"/>
        <w:widowControl w:val="off"/>
      </w:pPr>
      <w:r>
        <w:rPr/>
        <w:commentReference w:id="31"/>
        <w:t>Commodity(3): GLD, SLV, USO</w:t>
      </w:r>
      <w:commentRangeEnd w:id="31"/>
    </w:p>
    <w:p>
      <w:pPr>
        <w:pStyle w:val="0"/>
        <w:widowControl w:val="off"/>
      </w:pPr>
      <w:r>
        <w:rPr/>
        <w:t>자산 선정 기준은 다음과 같다. 첫째, 주식·채권·원자재를 함께 포함하여 cross-asset VRP 예측 프레임워크가 특정 시장에 국한되지 않고 작동하는지 확인하고자 하였다. 둘째, 각 자산군에서 대표성과 유동성이 높은 ETF를 선택하여 데이터 품질과 재현 가능성을 확보하였다. 예를 들어 주식은 미국 대형주(SPY), 기술주(QQQ), 소형주(IWM), 선진국(EFA), 신흥국(EEM)으로 스타일/지역 분산을 확보하며, 채권은 장기(TLT)-중기(IEF)-종합(AGG)으로 듀레이션 스펙트럼을 커버한다. 셋째</w:t>
      </w:r>
      <w:commentRangeStart w:id="32"/>
      <w:r>
        <w:rPr/>
        <w:commentReference w:id="32"/>
        <w:t>, 2010년 1월 이후 장기간 일별 OHLCV가 안정적으로 존재하는 자산만 포함하였다.</w:t>
      </w:r>
      <w:commentRangeEnd w:id="32"/>
      <w:r>
        <w:rPr/>
        <w:t xml:space="preserve"> 마지막으로 USO는 WTI 선물 기반 ETF로 롤오버 구조의 영향(콘탱고/백워데이션)이 포함될 수 있으므로, 본 연구에서 USO의 변동성은 </w:t>
      </w:r>
      <w:commentRangeStart w:id="33"/>
      <w:r>
        <w:rPr/>
        <w:commentReference w:id="33"/>
        <w:t>해당 구조까지 포함한 투자자 관점의 실현 변동성으로 해석한다.</w:t>
      </w:r>
      <w:commentRangeEnd w:id="33"/>
    </w:p>
    <w:p>
      <w:pPr>
        <w:pStyle w:val="0"/>
        <w:widowControl w:val="off"/>
        <w:rPr/>
      </w:pPr>
    </w:p>
    <w:p>
      <w:pPr>
        <w:pStyle w:val="0"/>
        <w:widowControl w:val="off"/>
      </w:pPr>
      <w:r>
        <w:rPr/>
        <w:t xml:space="preserve">3.2 </w:t>
      </w:r>
      <w:commentRangeStart w:id="34"/>
      <w:r>
        <w:rPr/>
        <w:commentReference w:id="34"/>
        <w:t>데이터 기간, 출처 및 전처리</w:t>
      </w:r>
      <w:commentRangeEnd w:id="34"/>
    </w:p>
    <w:p>
      <w:pPr>
        <w:pStyle w:val="0"/>
        <w:widowControl w:val="off"/>
        <w:rPr/>
      </w:pPr>
    </w:p>
    <w:p>
      <w:pPr>
        <w:pStyle w:val="0"/>
        <w:widowControl w:val="off"/>
      </w:pPr>
      <w:r>
        <w:rPr/>
        <w:t xml:space="preserve">분석에 사용한 데이터의 기간은 </w:t>
      </w:r>
      <w:commentRangeStart w:id="35"/>
      <w:r>
        <w:rPr/>
        <w:commentReference w:id="35"/>
        <w:t>2010년 1월 ~ 2025년 1월 (약 15년, 약 3,780 거래일)</w:t>
      </w:r>
      <w:commentRangeEnd w:id="35"/>
      <w:r>
        <w:rPr/>
        <w:t>을 사용했으며, 출처는 Yahoo Finance (yfinance API)에서 수집한 일별 OHLCV(Open, High, Low, Close, Volume)이다.</w:t>
      </w:r>
    </w:p>
    <w:p>
      <w:pPr>
        <w:pStyle w:val="0"/>
        <w:widowControl w:val="off"/>
      </w:pPr>
      <w:r>
        <w:rPr/>
        <w:t>본 연구에서 사용하는 OHLCV 데이터는 각 거래일의 시가(Open), 고가(High), 저가(Low), 종가(Close), 거래량(Volume)의 5개 항목으로 구성된다. 종가(Close)는 로그수익률 계산과 HAR 기반 실현분산(RV) 추정의 기반이 되며, 고가·저가·시가 조합(OHLC)은 Parkinson, Garman-Klass, Rogers-Satchell 등 range 기반 변동성 추정량을 산출하는 데 활용된다. 이들 추정량은 종가 기반 추정 대비 이론적 효율이 5.0~7.4배에 달하며(Appendix 표 A-3 참조), 고빈도 데이터 없이도 일중 가격 변동 정보를 포착할 수 있다는 장점이 있다.</w:t>
      </w:r>
      <w:commentRangeStart w:id="36"/>
      <w:r>
        <w:rPr/>
        <w:commentReference w:id="36"/>
        <w:t xml:space="preserve"> Volume은 Amihud 비유동성 비율, Kyle Lambda, </w:t>
      </w:r>
      <w:commentRangeEnd w:id="36"/>
      <w:r>
        <w:rPr/>
        <w:t>거래량 서프라이즈 등 유동성 관련 피처의 원천 변수로 사용된다.</w:t>
      </w:r>
    </w:p>
    <w:p>
      <w:pPr>
        <w:pStyle w:val="0"/>
        <w:widowControl w:val="off"/>
      </w:pPr>
      <w:r>
        <w:rPr/>
        <w:t xml:space="preserve">선행연구에서 실현분산 예측에 주로 사용되는 데이터는 고빈도(intraday) 틱 데이터 또는 5분 간격 수익률이다. 예를 들어 Andersen, Bollerslev, Diebold, Labys(2003)는 5분 수익률로 일별 RV를 구성하였고, Christensen, Siggaard, Veliyev(2023)는 고빈도 RV와 점프 분리 기법을 바탕으로 기계학습 예측 모델을 구축하였다. 그러나 고빈도 데이터는 구독 비용이 높고, 채권·원자재 등 비주식 자산에 대해서는 장기간 데이터 확보가 어렵다는 실무적 한계가 있다. </w:t>
      </w:r>
      <w:commentRangeStart w:id="37"/>
      <w:r>
        <w:rPr/>
        <w:commentReference w:id="37"/>
        <w:t xml:space="preserve">본 연구는 Yahoo Finance에서 무료로 수집 가능한 일별 OHLCV만을 사용하면서도, range 기반 추정량을 통해 고빈도 환경의 정보 효율을 근사함으로써, 선행연구의 고빈도 기반 최고 성능(Christensen+ 2023, 풀링 R^2 0.770)을 상회하는 결과(WEns 0.803)를 달성하였다. 다만, OHLCV 기반 접근은 일중 점프(jump)와 연속 변동(continuous variation)의 분리가 불가능하다는 한계를 가지며, </w:t>
      </w:r>
      <w:commentRangeEnd w:id="37"/>
      <w:r>
        <w:rPr/>
        <w:t>이는 5.4절의 향후 과제에서 논의한다.</w:t>
      </w:r>
    </w:p>
    <w:p>
      <w:pPr>
        <w:pStyle w:val="0"/>
        <w:widowControl w:val="off"/>
      </w:pPr>
      <w:r>
        <w:rPr/>
        <w:t>수익률 및 가격 조정(배당/분할) 처리 일별 수익률은 로그수익률로 정의한다.</w:t>
      </w:r>
      <w:commentRangeStart w:id="38"/>
      <w:r>
        <w:rPr/>
        <w:commentReference w:id="38"/>
        <w:t xml:space="preserve"> r_t = ln( P_tP_t - 1 )</w:t>
      </w:r>
      <w:commentRangeEnd w:id="38"/>
    </w:p>
    <w:p>
      <w:pPr>
        <w:pStyle w:val="0"/>
        <w:widowControl w:val="off"/>
      </w:pPr>
      <w:r>
        <w:rPr/>
        <w:t>여기서 P_t는 yfinance에서 제공하는 수정 종가(배당/분할 반영 Close)를 사용한다.</w:t>
      </w:r>
    </w:p>
    <w:p>
      <w:pPr>
        <w:pStyle w:val="0"/>
        <w:widowControl w:val="off"/>
      </w:pPr>
      <w:r>
        <w:rPr/>
        <w:t xml:space="preserve">본 연구는 또한 OHLC를 이용한 range 기반 변동성 추정량을 사용한다. 이때 OHLC는 </w:t>
      </w:r>
      <w:commentRangeStart w:id="39"/>
      <w:r>
        <w:rPr/>
        <w:commentReference w:id="39"/>
        <w:t>수정된 형태</w:t>
      </w:r>
      <w:commentRangeEnd w:id="39"/>
      <w:r>
        <w:rPr/>
        <w:t>로 제공되지 않는 경우가 많아 원시 OHLC를 사용하며, 배당/분배로 인한 가격 점프가 range 추정량에 미치는 영향이 제한적임을 정량적으로 점검하였다. 구체적으로 11개 ETF 전체에서 배당락 후보일(시가 갭 &gt; 0.5%)은 전체 거래일의 약 15.9%를 차지하며, 배당락일의 일중 범위(log(H/L))는 정상일 대비 평균 1.27배로 소폭 상승한다. 그러나 22거래일</w:t>
      </w:r>
      <w:commentRangeStart w:id="40"/>
      <w:r>
        <w:rPr/>
        <w:commentReference w:id="40"/>
        <w:t xml:space="preserve"> 롤링 윈도우</w:t>
      </w:r>
      <w:commentRangeEnd w:id="40"/>
      <w:r>
        <w:rPr/>
        <w:t xml:space="preserve">에서는 단일 관측치의 비중이 </w:t>
      </w:r>
      <w:commentRangeStart w:id="41"/>
      <w:r>
        <w:rPr/>
        <w:commentReference w:id="41"/>
        <w:t>1/22 ? 4.5%</w:t>
      </w:r>
      <w:commentRangeEnd w:id="41"/>
      <w:r>
        <w:rPr/>
        <w:t>에 불과하다. 따라서 배당락으로 인한 점프가 윈도우 기반 추정량에 미치는 전반적인 영향은 제한적일 것으로 판단한다.</w:t>
      </w:r>
    </w:p>
    <w:p>
      <w:pPr>
        <w:pStyle w:val="0"/>
        <w:widowControl w:val="off"/>
      </w:pPr>
      <w:r>
        <w:rPr/>
        <w:t xml:space="preserve">거래일 불일치로 인해 일부 자산에서 1~2일 수준의 결측이 발생할 수 있다. 본 연구는 이러한 결측에 대해 전방 채움(forward-fill)을 적용한다. </w:t>
      </w:r>
      <w:commentRangeStart w:id="42"/>
      <w:r>
        <w:rPr/>
        <w:commentReference w:id="42"/>
        <w:t>전방 채움은 해당 구간의 수익률을 0으로 만드는 효과가 있어 단기 RV/Range 추정량을 약간 축소할 수 있으나, 22거래일 윈도우 기준 영향은 제한적임을 확인하였다. 또한 전방 채움을 제거한 경우 R^2가 0.782에서 0.795로 소폭 상승하여, 전방 채움이 결과를 과대평가하지 않는다는 강건성 결과를 보고한다.</w:t>
      </w:r>
      <w:commentRangeEnd w:id="42"/>
    </w:p>
    <w:p>
      <w:pPr>
        <w:pStyle w:val="0"/>
        <w:widowControl w:val="off"/>
        <w:rPr/>
      </w:pPr>
    </w:p>
    <w:p>
      <w:pPr>
        <w:pStyle w:val="0"/>
        <w:widowControl w:val="off"/>
      </w:pPr>
      <w:r>
        <w:rPr/>
        <w:t>3.3 예측 지평(horizon) 설정(모두 거래일 기준)</w:t>
      </w:r>
    </w:p>
    <w:p>
      <w:pPr>
        <w:pStyle w:val="0"/>
        <w:widowControl w:val="off"/>
        <w:rPr/>
      </w:pPr>
    </w:p>
    <w:p>
      <w:pPr>
        <w:pStyle w:val="0"/>
        <w:widowControl w:val="off"/>
      </w:pPr>
      <w:r>
        <w:rPr/>
        <w:t>본 연구는 예측 지평 h를 모두 거래일(trading days) 기준으로 정의하며,</w:t>
      </w:r>
    </w:p>
    <w:p>
      <w:pPr>
        <w:pStyle w:val="0"/>
        <w:widowControl w:val="off"/>
      </w:pPr>
      <w:r>
        <w:rPr/>
        <w:t xml:space="preserve">h </w:t>
      </w:r>
      <w:r>
        <w:rPr/>
        <w:t>∈</w:t>
      </w:r>
      <w:r>
        <w:rPr/>
        <w:t xml:space="preserve">  1,5,22,60,90,120,180,252 로 설정한다. 이는 1~5거래일(일별·주간 위험관리), 22거래일(월간), 60~90거래일(분기 전후), 120~180거래일(반기), 252거래일(연간) 등 다양한 의사결정 지평을 포괄하기 위함이다. 또한 연율화 계수로 252를 사용하므로, </w:t>
      </w:r>
      <w:commentRangeStart w:id="43"/>
      <w:r>
        <w:rPr/>
        <w:commentReference w:id="43"/>
        <w:t>지평을 거래일로 두는 것이 자연스럽다.</w:t>
      </w:r>
      <w:commentRangeEnd w:id="43"/>
    </w:p>
    <w:p>
      <w:pPr>
        <w:pStyle w:val="0"/>
        <w:widowControl w:val="off"/>
        <w:rPr/>
      </w:pPr>
    </w:p>
    <w:p>
      <w:pPr>
        <w:pStyle w:val="0"/>
        <w:widowControl w:val="off"/>
      </w:pPr>
      <w:r>
        <w:rPr/>
        <w:t>3.4 실현분산(RV) 구성</w:t>
      </w:r>
    </w:p>
    <w:p>
      <w:pPr>
        <w:pStyle w:val="0"/>
        <w:widowControl w:val="off"/>
        <w:rPr/>
      </w:pPr>
    </w:p>
    <w:p>
      <w:pPr>
        <w:pStyle w:val="0"/>
        <w:widowControl w:val="off"/>
      </w:pPr>
      <w:r>
        <w:rPr/>
        <w:t>실현분산 RV_i,t(h)는 자산 i의 시점 t 이후 향후 h 거래일 구간 [ t + 1,t + h]에서 실현된 수익률 제곱의 평균을 연율화하여 구성한다.</w:t>
      </w:r>
    </w:p>
    <w:p>
      <w:pPr>
        <w:pStyle w:val="0"/>
        <w:widowControl w:val="off"/>
      </w:pPr>
      <w:r>
        <w:rPr/>
        <w:t>RV_i,t(h) = mean( r_[ t + 1:t + h]^2 ) x 252</w:t>
      </w:r>
    </w:p>
    <w:p>
      <w:pPr>
        <w:pStyle w:val="0"/>
        <w:widowControl w:val="off"/>
      </w:pPr>
      <w:r>
        <w:rPr/>
        <w:t>여기서 r_t는 3.2절의 로그수익률이다.</w:t>
      </w:r>
    </w:p>
    <w:p>
      <w:pPr>
        <w:pStyle w:val="0"/>
        <w:widowControl w:val="off"/>
      </w:pPr>
      <w:r>
        <w:rPr/>
        <w:t>실현분산은 일반적으로 강한 우편향(right-skewed distribution)을 띠므로, 통계적 모델링의 안정성을 확보하기 위해 타겟(target, 종속변수)에 로그 변환을 적용한다.</w:t>
      </w:r>
    </w:p>
    <w:p>
      <w:pPr>
        <w:pStyle w:val="0"/>
        <w:widowControl w:val="off"/>
      </w:pPr>
      <w:r>
        <w:rPr/>
        <w:t>target(t,h) = log( RV_i,t(h) ) = log( mean( r_[ t + 1:t + h]^2 ) x 252 )</w:t>
      </w:r>
    </w:p>
    <w:p>
      <w:pPr>
        <w:pStyle w:val="0"/>
        <w:widowControl w:val="off"/>
        <w:rPr/>
      </w:pPr>
    </w:p>
    <w:p>
      <w:pPr>
        <w:pStyle w:val="0"/>
        <w:widowControl w:val="off"/>
      </w:pPr>
      <w:r>
        <w:rPr/>
        <w:t>3.5 내재분산(IV) 구성과 변동성 지표</w:t>
      </w:r>
    </w:p>
    <w:p>
      <w:pPr>
        <w:pStyle w:val="0"/>
        <w:widowControl w:val="off"/>
        <w:rPr/>
      </w:pPr>
    </w:p>
    <w:p>
      <w:pPr>
        <w:pStyle w:val="0"/>
        <w:widowControl w:val="off"/>
      </w:pPr>
      <w:r>
        <w:rPr/>
        <w:t>본 연구에서 내재분산 IV_t(h)는 "자산별 옵션을 직접 수집한 내재분산"이 아니라, 시장의 공통 불확실성/위험회피 수준을 대표하는 글로벌 변동성 지표 기반 proxy로 구성한다. 기본적으로 CBOE VIX를 사용하며, VIX 포인트를 소수로 변환한 뒤 제곱하여 연율화 분산 단위로 변환한다.</w:t>
      </w:r>
    </w:p>
    <w:p>
      <w:pPr>
        <w:pStyle w:val="0"/>
        <w:widowControl w:val="off"/>
      </w:pPr>
      <w:r>
        <w:rPr/>
        <w:t>IV_t^2 = ( VIX_t100 )^2</w:t>
      </w:r>
    </w:p>
    <w:p>
      <w:pPr>
        <w:pStyle w:val="0"/>
        <w:widowControl w:val="off"/>
      </w:pPr>
      <w:r>
        <w:rPr/>
        <w:t>VIX 자체뿐 아니라 기간구조 정보를 피처로 포함하기 위해 CBOE에서 제공하는 VIX9D, VIX3M을 함께 사용한다. 각 지표의 만기와 표본 내 가용 기간은 다음과 같다.</w:t>
      </w:r>
    </w:p>
    <w:p>
      <w:pPr>
        <w:pStyle w:val="0"/>
        <w:widowControl w:val="off"/>
      </w:pPr>
      <w:r>
        <w:rPr/>
        <w:t xml:space="preserve">VIX: 30 캘린더일(약 22거래일), </w:t>
      </w:r>
    </w:p>
    <w:p>
      <w:pPr>
        <w:pStyle w:val="0"/>
        <w:widowControl w:val="off"/>
      </w:pPr>
      <w:r>
        <w:rPr/>
        <w:t xml:space="preserve">VIX3M: 93 캘린더일(약 63~64거래일), </w:t>
      </w:r>
    </w:p>
    <w:p>
      <w:pPr>
        <w:pStyle w:val="0"/>
        <w:widowControl w:val="off"/>
      </w:pPr>
      <w:r>
        <w:rPr/>
        <w:t xml:space="preserve">VIX9D: 9 캘린더일(약 6~7거래일), </w:t>
      </w:r>
    </w:p>
    <w:p>
      <w:pPr>
        <w:pStyle w:val="0"/>
        <w:widowControl w:val="off"/>
      </w:pPr>
      <w:r>
        <w:rPr/>
        <w:t>VIX3M의 경우 93 캘린더일은 거래일 기준으로 약 63일 남짓에 해당하므로, 본 연구의 60거래일 예측 지평과 매칭할 때 근사(approximation)된 기간구조 지표로 사용된다.</w:t>
      </w:r>
    </w:p>
    <w:p>
      <w:pPr>
        <w:pStyle w:val="0"/>
        <w:widowControl w:val="off"/>
      </w:pPr>
      <w:r>
        <w:rPr/>
        <w:t xml:space="preserve">VIX9D는 2011년에 도입되어 2010년 구간에 결측이 존재한다. 본 연구는 결측 구간에서 인위적인 기울기 신호가 생기지 않도록, 해당 기간의 VIX9D 수준을 VIX로 대체(VIX9D </w:t>
      </w:r>
      <w:r>
        <w:rPr/>
        <w:t>≈</w:t>
      </w:r>
      <w:r>
        <w:rPr/>
        <w:t xml:space="preserve"> VIX)한다. 따라서 VIX9D/VIX 비율 피처(VIX9D 기울기)는 결측 구간에서 1로 설정하여("9D=30D" 가정), 0 대입으로 발생할 수 있는 비현실적 급락 신호를 방지한다.</w:t>
      </w:r>
    </w:p>
    <w:p>
      <w:pPr>
        <w:pStyle w:val="0"/>
        <w:widowControl w:val="off"/>
      </w:pPr>
      <w:r>
        <w:rPr/>
        <w:t>이 처리 방식의 강건성을 확인하기 위해, (i) 전체 기간(2010~, VIX 대체) vs (ii) 2011년 이후(결측 없음) vs (iii) VIX9D 피처 미사용의 22d 예측 성능을 비교하였다.</w:t>
      </w:r>
    </w:p>
    <w:p>
      <w:pPr>
        <w:pStyle w:val="0"/>
        <w:widowControl w:val="off"/>
        <w:rPr/>
      </w:pPr>
    </w:p>
    <w:p>
      <w:pPr>
        <w:pStyle w:val="0"/>
        <w:widowControl w:val="off"/>
      </w:pPr>
      <w:commentRangeStart w:id="44"/>
      <w:r>
        <w:rPr/>
        <w:commentReference w:id="44"/>
        <w:t>표 4. VIX 피처별 22d 예측 성능</w:t>
      </w:r>
      <w:commentRangeEnd w:id="44"/>
    </w:p>
    <w:tbl>
      <w:tblPr>
        <w:tblOverlap w:val="never"/>
        <w:tblW w:w="4377"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1518"/>
        <w:gridCol w:w="973"/>
        <w:gridCol w:w="1216"/>
        <w:gridCol w:w="670"/>
      </w:tblGrid>
      <w:tr>
        <w:trPr>
          <w:trHeight w:val="345"/>
        </w:trPr>
        <w:tc>
          <w:tcPr>
            <w:tcW w:w="1518"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b/>
                <w:sz w:val="20"/>
              </w:rPr>
              <w:t>Config</w:t>
            </w:r>
          </w:p>
        </w:tc>
        <w:tc>
          <w:tcPr>
            <w:tcW w:w="973"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b/>
                <w:sz w:val="20"/>
              </w:rPr>
              <w:t>Period</w:t>
            </w:r>
          </w:p>
        </w:tc>
        <w:tc>
          <w:tcPr>
            <w:tcW w:w="1216"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b/>
                <w:sz w:val="20"/>
              </w:rPr>
              <w:t>VIX9D Treatment</w:t>
            </w:r>
          </w:p>
        </w:tc>
        <w:tc>
          <w:tcPr>
            <w:tcW w:w="670"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b/>
                <w:sz w:val="20"/>
              </w:rPr>
              <w:t>R^2 (22d)</w:t>
            </w:r>
          </w:p>
        </w:tc>
      </w:tr>
      <w:tr>
        <w:trPr>
          <w:trHeight w:val="450"/>
        </w:trPr>
        <w:tc>
          <w:tcPr>
            <w:tcW w:w="1518"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(i) Full period, VIX substi</w:t>
            </w:r>
          </w:p>
        </w:tc>
        <w:tc>
          <w:tcPr>
            <w:tcW w:w="973"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tute 2010~</w:t>
            </w:r>
          </w:p>
        </w:tc>
        <w:tc>
          <w:tcPr>
            <w:tcW w:w="121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VIX9D = V</w:t>
            </w:r>
          </w:p>
        </w:tc>
        <w:tc>
          <w:tcPr>
            <w:tcW w:w="670"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0.748</w:t>
            </w:r>
          </w:p>
        </w:tc>
      </w:tr>
      <w:tr>
        <w:trPr>
          <w:trHeight w:val="416"/>
        </w:trPr>
        <w:tc>
          <w:tcPr>
            <w:tcW w:w="1518"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(ii) 2011 only 20</w:t>
            </w:r>
          </w:p>
        </w:tc>
        <w:tc>
          <w:tcPr>
            <w:tcW w:w="973"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11~ Ac</w:t>
            </w:r>
          </w:p>
        </w:tc>
        <w:tc>
          <w:tcPr>
            <w:tcW w:w="121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tual VIX9D</w:t>
            </w:r>
          </w:p>
        </w:tc>
        <w:tc>
          <w:tcPr>
            <w:tcW w:w="670"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0.766</w:t>
            </w:r>
          </w:p>
        </w:tc>
      </w:tr>
      <w:tr>
        <w:trPr>
          <w:trHeight w:val="416"/>
        </w:trPr>
        <w:tc>
          <w:tcPr>
            <w:tcW w:w="1518"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(iii) VIX9D excluded</w:t>
            </w:r>
          </w:p>
        </w:tc>
        <w:tc>
          <w:tcPr>
            <w:tcW w:w="973"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2010~</w:t>
            </w:r>
          </w:p>
        </w:tc>
        <w:tc>
          <w:tcPr>
            <w:tcW w:w="121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Excluded</w:t>
            </w:r>
          </w:p>
        </w:tc>
        <w:tc>
          <w:tcPr>
            <w:tcW w:w="670"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0.754</w:t>
            </w:r>
          </w:p>
        </w:tc>
      </w:tr>
    </w:tbl>
    <w:p>
      <w:pPr>
        <w:pStyle w:val="0"/>
        <w:widowControl w:val="off"/>
      </w:pPr>
    </w:p>
    <w:p>
      <w:pPr>
        <w:pStyle w:val="0"/>
        <w:widowControl w:val="off"/>
        <w:rPr/>
      </w:pPr>
    </w:p>
    <w:p>
      <w:pPr>
        <w:pStyle w:val="0"/>
        <w:widowControl w:val="off"/>
      </w:pPr>
      <w:r>
        <w:rPr/>
        <w:t>3.6 VRP 타겟 산출(2단계 구성)</w:t>
      </w:r>
    </w:p>
    <w:p>
      <w:pPr>
        <w:pStyle w:val="0"/>
        <w:widowControl w:val="off"/>
        <w:rPr/>
      </w:pPr>
    </w:p>
    <w:p>
      <w:pPr>
        <w:pStyle w:val="0"/>
        <w:widowControl w:val="off"/>
      </w:pPr>
      <w:r>
        <w:rPr/>
        <w:t>본 연구의 VRP는 연율화 분산 단위로 다음과 같이 정의한다.</w:t>
      </w:r>
    </w:p>
    <w:p>
      <w:pPr>
        <w:pStyle w:val="0"/>
        <w:widowControl w:val="off"/>
      </w:pPr>
      <w:r>
        <w:rPr/>
        <w:t>VRP_i,t(h) = IV_t^2 - RV_i,t(h)</w:t>
      </w:r>
    </w:p>
    <w:p>
      <w:pPr>
        <w:pStyle w:val="0"/>
        <w:widowControl w:val="off"/>
      </w:pPr>
      <w:r>
        <w:rPr/>
        <w:t>즉, 내재분산(위험중립 기대분산 proxy)에서 실현분산을 뺀 값이다.</w:t>
      </w:r>
    </w:p>
    <w:p>
      <w:pPr>
        <w:pStyle w:val="0"/>
        <w:widowControl w:val="off"/>
      </w:pPr>
      <w:commentRangeStart w:id="45"/>
      <w:r>
        <w:rPr/>
        <w:t>최종 예측 대상은 VRP이지만, 직접적으로 VRP를 학습시키기보다 (1) 전방 실현분산 RV_hat을 예측하고, (2) 관측된 IV^2와 결합하여 VRP_hat를 산출하는 2단계 접근을 취한다.</w:t>
      </w:r>
    </w:p>
    <w:p>
      <w:pPr>
        <w:pStyle w:val="0"/>
        <w:widowControl w:val="off"/>
      </w:pPr>
      <w:r>
        <w:rPr/>
        <w:t>VRP_hat_i,t(h) = IV_t^2 - RV_hat_i,t(h)</w:t>
      </w:r>
    </w:p>
    <w:p>
      <w:pPr>
        <w:pStyle w:val="0"/>
        <w:widowControl w:val="off"/>
      </w:pPr>
      <w:r>
        <w:rPr/>
        <w:commentReference w:id="45"/>
        <w:t>이 설계는 피처(t - 1 이전 정보)와 타겟([ t + 1,t + h] 구간) 간 중첩을 방지하기 위한 목적을 가진다.</w:t>
      </w:r>
      <w:commentRangeEnd w:id="45"/>
    </w:p>
    <w:p>
      <w:pPr>
        <w:pStyle w:val="0"/>
        <w:widowControl w:val="off"/>
      </w:pPr>
      <w:r>
        <w:rPr/>
        <w:t>VIX는 약 30일(대략 22거래일)에 대응하는 기대 변동성을 반영하므로, 이를 모든 지평(1~252거래일)의 IV proxy로 사용할 경우 만기 불일치(maturity mismatch)가 존재할 수 있다. 본 연구는 자산별 옵션 기반 IV를 직접 구성하지 않고, 시장 전체의 불확실성·위험회피 수준을 반영하는 공통 변동성 위험 레짐(common volatility risk regime)의 proxy로서 IV_t^2 = ( VIX_t/100 )^2를 사용한다. 즉, 본 연구에서는 IV_t^2를 "지평 h에 정확히 대응하는 개별 자산의 만기 IV"로 간주하는 대신, 다중 자산에 시장 공통적으로 적용 가능한 변동성 위험 가격(Price of volatility risk) 지표로 넓혀 해석한다.</w:t>
      </w:r>
    </w:p>
    <w:p>
      <w:pPr>
        <w:pStyle w:val="0"/>
        <w:widowControl w:val="off"/>
      </w:pPr>
      <w:r>
        <w:rPr/>
        <w:t>만기 불일치의 실질적 영향을 정량적으로 확인하기 위해, 각 지평에서 (i) VIX 단독, (ii) VIX9D로 대체(9D), (iii) VIX3M으로 대체(3M), (iv) IV 지표를 동시 투입한 경우의 예측 성능(R^2)을 비교하였다.</w:t>
      </w:r>
    </w:p>
    <w:p>
      <w:pPr>
        <w:pStyle w:val="0"/>
        <w:widowControl w:val="off"/>
        <w:rPr/>
      </w:pPr>
    </w:p>
    <w:p>
      <w:pPr>
        <w:pStyle w:val="0"/>
        <w:widowControl w:val="off"/>
      </w:pPr>
      <w:r>
        <w:rPr/>
        <w:t>표5. 지평별 R^2 예측 성능</w:t>
      </w:r>
    </w:p>
    <w:tbl>
      <w:tblPr>
        <w:tblOverlap w:val="never"/>
        <w:tblW w:w="4323"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663"/>
        <w:gridCol w:w="724"/>
        <w:gridCol w:w="966"/>
        <w:gridCol w:w="906"/>
        <w:gridCol w:w="1064"/>
      </w:tblGrid>
      <w:tr>
        <w:trPr>
          <w:trHeight w:val="776"/>
        </w:trPr>
        <w:tc>
          <w:tcPr>
            <w:tcW w:w="663" w:type="dxa"/>
            <w:tcBorders>
              <w:top w:val="single" w:color="000000" w:sz="3"/>
              <w:left w:val="single" w:color="000000" w:sz="3"/>
              <w:bottom w:val="single" w:color="000000" w:sz="3"/>
              <w:right w:val="single" w:color="000000" w:sz="3"/>
            </w:tcBorders>
            <w:vAlign w:val="center"/>
          </w:tcPr>
          <w:p>
            <w:pPr>
              <w:pStyle w:val="78"/>
              <w:widowControl w:val="off"/>
              <w:jc w:val="center"/>
            </w:pPr>
            <w:r>
              <w:rPr>
                <w:rFonts w:ascii="휴먼명조"/>
                <w:sz w:val="20"/>
              </w:rPr>
              <w:t>h</w:t>
            </w:r>
          </w:p>
        </w:tc>
        <w:tc>
          <w:tcPr>
            <w:tcW w:w="72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firstLine="0"/>
              <w:jc w:val="center"/>
              <w:textAlignment w:val="center"/>
            </w:pPr>
            <w:r>
              <w:rPr>
                <w:rFonts w:ascii="휴먼명조"/>
              </w:rPr>
              <w:t>VIX Only</w:t>
            </w:r>
          </w:p>
          <w:p>
            <w:pPr>
              <w:pStyle w:val="0"/>
              <w:widowControl w:val="off"/>
              <w:wordWrap w:val="1"/>
              <w:spacing w:line="240" w:lineRule="auto"/>
              <w:ind w:firstLine="0"/>
              <w:jc w:val="center"/>
              <w:textAlignment w:val="center"/>
            </w:pPr>
            <w:r>
              <w:rPr>
                <w:rFonts w:ascii="휴먼명조"/>
              </w:rPr>
              <w:t>R^2</w:t>
            </w:r>
          </w:p>
        </w:tc>
        <w:tc>
          <w:tcPr>
            <w:tcW w:w="9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firstLine="0"/>
              <w:jc w:val="center"/>
              <w:textAlignment w:val="center"/>
            </w:pPr>
            <w:r>
              <w:rPr>
                <w:rFonts w:ascii="휴먼명조"/>
              </w:rPr>
              <w:t>VIX9D Subst R^2</w:t>
            </w:r>
          </w:p>
        </w:tc>
        <w:tc>
          <w:tcPr>
            <w:tcW w:w="9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firstLine="0"/>
              <w:jc w:val="center"/>
              <w:textAlignment w:val="center"/>
            </w:pPr>
            <w:r>
              <w:rPr>
                <w:rFonts w:ascii="휴먼명조"/>
              </w:rPr>
              <w:t>VIX3M Subst R^2</w:t>
            </w:r>
          </w:p>
        </w:tc>
        <w:tc>
          <w:tcPr>
            <w:tcW w:w="10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firstLine="0"/>
              <w:jc w:val="center"/>
              <w:textAlignment w:val="center"/>
            </w:pPr>
            <w:r>
              <w:rPr>
                <w:rFonts w:ascii="휴먼명조"/>
              </w:rPr>
              <w:t>All IV R^2</w:t>
            </w:r>
          </w:p>
        </w:tc>
      </w:tr>
      <w:tr>
        <w:trPr>
          <w:trHeight w:val="416"/>
        </w:trPr>
        <w:tc>
          <w:tcPr>
            <w:tcW w:w="663"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1d</w:t>
            </w:r>
          </w:p>
        </w:tc>
        <w:tc>
          <w:tcPr>
            <w:tcW w:w="72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0.108</w:t>
            </w:r>
          </w:p>
        </w:tc>
        <w:tc>
          <w:tcPr>
            <w:tcW w:w="9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0.112 (+0.005)</w:t>
            </w:r>
          </w:p>
        </w:tc>
        <w:tc>
          <w:tcPr>
            <w:tcW w:w="90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0.108 (-0.000)</w:t>
            </w:r>
          </w:p>
        </w:tc>
        <w:tc>
          <w:tcPr>
            <w:tcW w:w="106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0.112 (+0.005)</w:t>
            </w:r>
          </w:p>
        </w:tc>
      </w:tr>
      <w:tr>
        <w:trPr>
          <w:trHeight w:val="416"/>
        </w:trPr>
        <w:tc>
          <w:tcPr>
            <w:tcW w:w="663"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5d</w:t>
            </w:r>
          </w:p>
        </w:tc>
        <w:tc>
          <w:tcPr>
            <w:tcW w:w="72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0.591</w:t>
            </w:r>
          </w:p>
        </w:tc>
        <w:tc>
          <w:tcPr>
            <w:tcW w:w="9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0.604 (+0.013)</w:t>
            </w:r>
          </w:p>
        </w:tc>
        <w:tc>
          <w:tcPr>
            <w:tcW w:w="90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0.587 (-0.004)</w:t>
            </w:r>
          </w:p>
        </w:tc>
        <w:tc>
          <w:tcPr>
            <w:tcW w:w="106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0.607 (+0.016)</w:t>
            </w:r>
          </w:p>
        </w:tc>
      </w:tr>
      <w:tr>
        <w:trPr>
          <w:trHeight w:val="416"/>
        </w:trPr>
        <w:tc>
          <w:tcPr>
            <w:tcW w:w="663"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22d</w:t>
            </w:r>
          </w:p>
        </w:tc>
        <w:tc>
          <w:tcPr>
            <w:tcW w:w="72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0.769</w:t>
            </w:r>
          </w:p>
        </w:tc>
        <w:tc>
          <w:tcPr>
            <w:tcW w:w="9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0.766 (-0.003)</w:t>
            </w:r>
          </w:p>
        </w:tc>
        <w:tc>
          <w:tcPr>
            <w:tcW w:w="90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0.763 (-0.006)</w:t>
            </w:r>
          </w:p>
        </w:tc>
        <w:tc>
          <w:tcPr>
            <w:tcW w:w="106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0.767 (-0.001)</w:t>
            </w:r>
          </w:p>
        </w:tc>
      </w:tr>
      <w:tr>
        <w:trPr>
          <w:trHeight w:val="416"/>
        </w:trPr>
        <w:tc>
          <w:tcPr>
            <w:tcW w:w="663"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60d</w:t>
            </w:r>
          </w:p>
        </w:tc>
        <w:tc>
          <w:tcPr>
            <w:tcW w:w="72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0.77</w:t>
            </w:r>
          </w:p>
        </w:tc>
        <w:tc>
          <w:tcPr>
            <w:tcW w:w="9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0.766 (-0.004)</w:t>
            </w:r>
          </w:p>
        </w:tc>
        <w:tc>
          <w:tcPr>
            <w:tcW w:w="90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0.767 (-0.003)</w:t>
            </w:r>
          </w:p>
        </w:tc>
        <w:tc>
          <w:tcPr>
            <w:tcW w:w="106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0.762 (-0.007)</w:t>
            </w:r>
          </w:p>
        </w:tc>
      </w:tr>
      <w:tr>
        <w:trPr>
          <w:trHeight w:val="416"/>
        </w:trPr>
        <w:tc>
          <w:tcPr>
            <w:tcW w:w="663"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90d</w:t>
            </w:r>
          </w:p>
        </w:tc>
        <w:tc>
          <w:tcPr>
            <w:tcW w:w="72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0.755</w:t>
            </w:r>
          </w:p>
        </w:tc>
        <w:tc>
          <w:tcPr>
            <w:tcW w:w="9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0.748 (-0.006)</w:t>
            </w:r>
          </w:p>
        </w:tc>
        <w:tc>
          <w:tcPr>
            <w:tcW w:w="90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0.754 (-0.001)</w:t>
            </w:r>
          </w:p>
        </w:tc>
        <w:tc>
          <w:tcPr>
            <w:tcW w:w="106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0.743 (-0.012)</w:t>
            </w:r>
          </w:p>
        </w:tc>
      </w:tr>
      <w:tr>
        <w:trPr>
          <w:trHeight w:val="416"/>
        </w:trPr>
        <w:tc>
          <w:tcPr>
            <w:tcW w:w="663"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120d</w:t>
            </w:r>
          </w:p>
        </w:tc>
        <w:tc>
          <w:tcPr>
            <w:tcW w:w="72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0.744</w:t>
            </w:r>
          </w:p>
        </w:tc>
        <w:tc>
          <w:tcPr>
            <w:tcW w:w="9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0.737 (-0.007)</w:t>
            </w:r>
          </w:p>
        </w:tc>
        <w:tc>
          <w:tcPr>
            <w:tcW w:w="90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0.740 (-0.004)</w:t>
            </w:r>
          </w:p>
        </w:tc>
        <w:tc>
          <w:tcPr>
            <w:tcW w:w="106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0.726 (-0.018)</w:t>
            </w:r>
          </w:p>
        </w:tc>
      </w:tr>
      <w:tr>
        <w:trPr>
          <w:trHeight w:val="416"/>
        </w:trPr>
        <w:tc>
          <w:tcPr>
            <w:tcW w:w="663"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180d</w:t>
            </w:r>
          </w:p>
        </w:tc>
        <w:tc>
          <w:tcPr>
            <w:tcW w:w="72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0.717</w:t>
            </w:r>
          </w:p>
        </w:tc>
        <w:tc>
          <w:tcPr>
            <w:tcW w:w="9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0.714 (-0.002)</w:t>
            </w:r>
          </w:p>
        </w:tc>
        <w:tc>
          <w:tcPr>
            <w:tcW w:w="90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0.700 (-0.016)</w:t>
            </w:r>
          </w:p>
        </w:tc>
        <w:tc>
          <w:tcPr>
            <w:tcW w:w="106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0.684 (-0.032)</w:t>
            </w:r>
          </w:p>
        </w:tc>
      </w:tr>
      <w:tr>
        <w:trPr>
          <w:trHeight w:val="416"/>
        </w:trPr>
        <w:tc>
          <w:tcPr>
            <w:tcW w:w="663"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252d</w:t>
            </w:r>
          </w:p>
        </w:tc>
        <w:tc>
          <w:tcPr>
            <w:tcW w:w="72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0.675</w:t>
            </w:r>
          </w:p>
        </w:tc>
        <w:tc>
          <w:tcPr>
            <w:tcW w:w="9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0.677 (+0.001)</w:t>
            </w:r>
          </w:p>
        </w:tc>
        <w:tc>
          <w:tcPr>
            <w:tcW w:w="90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0.642 (-0.033)</w:t>
            </w:r>
          </w:p>
        </w:tc>
        <w:tc>
          <w:tcPr>
            <w:tcW w:w="106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0.613 (-0.063)</w:t>
            </w:r>
          </w:p>
        </w:tc>
      </w:tr>
    </w:tbl>
    <w:p>
      <w:pPr>
        <w:pStyle w:val="0"/>
        <w:widowControl w:val="off"/>
      </w:pPr>
    </w:p>
    <w:p>
      <w:pPr>
        <w:pStyle w:val="0"/>
        <w:widowControl w:val="off"/>
        <w:rPr/>
      </w:pPr>
    </w:p>
    <w:p>
      <w:pPr>
        <w:pStyle w:val="0"/>
        <w:widowControl w:val="off"/>
      </w:pPr>
      <w:r>
        <w:rPr/>
        <w:t>원자재는 주식 기반 VIX와 다른 구조를 가질 수 있으므로, 금과 원유에 대해 CBOE의 자산특화 변동성 지표(GVZ, OVX)를 대체 적용하는 강건성 검증을 수행하였다. 그 결과 GLD는 +2.6%p, USO는 +0.8%p로 개별 자산에서는 개선이 관측되었으나, 전체 성능 변화는 -0.8%p로 제한적이어서 단일 VIX 기반 proxy 사용의 타당성이 유지된다.</w:t>
      </w:r>
    </w:p>
    <w:p>
      <w:pPr>
        <w:pStyle w:val="0"/>
        <w:widowControl w:val="off"/>
        <w:rPr/>
      </w:pPr>
    </w:p>
    <w:p>
      <w:pPr>
        <w:pStyle w:val="0"/>
        <w:widowControl w:val="off"/>
      </w:pPr>
      <w:r>
        <w:rPr/>
        <w:t>3.7 최종 패널 데이터 구성</w:t>
      </w:r>
    </w:p>
    <w:p>
      <w:pPr>
        <w:pStyle w:val="0"/>
        <w:widowControl w:val="off"/>
        <w:rPr/>
      </w:pPr>
    </w:p>
    <w:p>
      <w:pPr>
        <w:pStyle w:val="0"/>
        <w:widowControl w:val="off"/>
      </w:pPr>
      <w:r>
        <w:rPr/>
        <w:t>본 연구의 데이터는 "날짜 × 자산" 패널 형태로 구성된다. 각 날짜 t에서 피처(feature, 설명변수)는 t - 1까지의 정보로 계산하고, 타겟은 [ t + 1,t + h] 구간에서 계산된 전방 실현분산(로그)이다. 따라서 각 지평 h에 대해 표본의 끝부분 h일은 타겟을 계산할 수 없으므로 학습/평가에서 제외된다.</w:t>
      </w:r>
    </w:p>
    <w:p>
      <w:pPr>
        <w:pStyle w:val="0"/>
        <w:widowControl w:val="off"/>
      </w:pPr>
      <w:r>
        <w:rPr/>
        <w:t>또한 예측 지평이 긴 경우 타겟 윈도우가 겹치면서 검증 누출 가능성이 커질 수 있으므로, 학습/테스트 분할 경계와 교차검증 폴드 경계에 예측 지평 h만큼의 정화 구간을 두어 타겟 윈도우 중첩을 완화한다.</w:t>
      </w:r>
    </w:p>
    <w:p>
      <w:pPr>
        <w:pStyle w:val="0"/>
        <w:widowControl w:val="off"/>
        <w:rPr/>
      </w:pPr>
    </w:p>
    <w:p>
      <w:pPr>
        <w:pStyle w:val="0"/>
        <w:widowControl w:val="off"/>
      </w:pPr>
      <w:r>
        <w:rPr/>
        <w:t>3.8 예측 파이프라인 및 방법론</w:t>
      </w:r>
    </w:p>
    <w:p>
      <w:pPr>
        <w:pStyle w:val="0"/>
        <w:widowControl w:val="off"/>
        <w:rPr/>
      </w:pPr>
    </w:p>
    <w:p>
      <w:pPr>
        <w:pStyle w:val="0"/>
        <w:widowControl w:val="off"/>
      </w:pPr>
      <w:r>
        <w:rPr/>
        <w:t>본 연구의 최종 목표는 3.6절에서 정의한 VRP를 예측하는 것이며, 3.6.2절의 2단계 구조(RV_hat 예측 후 VRP_hat 산출)를 따른다. 모델의 직접 타겟은 분포 안정화를 위해 log( RV_i,t(h) )로 둔다.</w:t>
      </w:r>
    </w:p>
    <w:p>
      <w:pPr>
        <w:pStyle w:val="0"/>
        <w:widowControl w:val="off"/>
        <w:rPr/>
      </w:pPr>
    </w:p>
    <w:p>
      <w:pPr>
        <w:pStyle w:val="0"/>
        <w:widowControl w:val="off"/>
      </w:pPr>
      <w:r>
        <w:rPr/>
        <w:t>3.9 피처(Features) 구성 및 전처리</w:t>
      </w:r>
    </w:p>
    <w:p>
      <w:pPr>
        <w:pStyle w:val="0"/>
        <w:widowControl w:val="off"/>
        <w:rPr/>
      </w:pPr>
    </w:p>
    <w:p>
      <w:pPr>
        <w:pStyle w:val="0"/>
        <w:widowControl w:val="off"/>
      </w:pPr>
      <w:r>
        <w:rPr/>
        <w:t>피처는 (i) HAR 기반 래그, (ii) OHLC range 기반 변동성 추정량(HF proxy), (iii) IV 기간구조/VRP 통계(IV surface), (iv) 대안 데이터(alternative data; 거래량 기반 피처)로 구성된 다중 그룹을 사용한다(총 37개 피처). 모델 간 비교에서는 동일 피처 세트 조건을 유지하여 공정성을 확보한다.</w:t>
      </w:r>
    </w:p>
    <w:p>
      <w:pPr>
        <w:pStyle w:val="0"/>
        <w:widowControl w:val="off"/>
      </w:pPr>
      <w:r>
        <w:rPr/>
        <w:t>또한 피처 스케일 차이를 줄이기 위해 표준화(예: StandardScaler)를 적용하며, 스케일링 파라미터는 학습 구간에서만 추정하여 테스트 구간으로 정보가 누출되지 않도록 한다. 해당 구현 원칙은 학습/검증 절차에서 일관되게 적용된다.</w:t>
      </w:r>
    </w:p>
    <w:p>
      <w:pPr>
        <w:pStyle w:val="0"/>
        <w:widowControl w:val="off"/>
        <w:rPr/>
      </w:pPr>
    </w:p>
    <w:p>
      <w:pPr>
        <w:pStyle w:val="0"/>
        <w:widowControl w:val="off"/>
      </w:pPr>
      <w:r>
        <w:rPr/>
        <w:t>3.10 학습 및 검증 절차</w:t>
      </w:r>
    </w:p>
    <w:p>
      <w:pPr>
        <w:pStyle w:val="0"/>
        <w:widowControl w:val="off"/>
        <w:rPr/>
      </w:pPr>
    </w:p>
    <w:p>
      <w:pPr>
        <w:pStyle w:val="0"/>
        <w:widowControl w:val="off"/>
      </w:pPr>
      <w:r>
        <w:rPr/>
        <w:t>시계열 데이터의 시간적 선후 관계를 엄격히 보존하기 위해 전체 표본을 날짜순으로 정렬한 뒤, 전반부 80%를 모델 학습(Train)에, 후반부 20%를 성과 평가(Test)에 배정(out-of-sample)한다.</w:t>
      </w:r>
    </w:p>
    <w:p>
      <w:pPr>
        <w:pStyle w:val="0"/>
        <w:widowControl w:val="off"/>
      </w:pPr>
      <w:r>
        <w:rPr/>
        <w:t>전방 타겟은 [ t + 1,t + h] 구간을 사용하므로, 인접 관측치 간 타겟 윈도우 중첩(overlap)이 필연적으로 존재한다. 이는 모델 검증 시 "미래 타겟 중첩에 따른 정보 누출(data leakage)"과 예측 오차의 강한 자기상관을 유발할 수 있다. 본 연구는 이를 방지 및 완화하기 위해 학습 데이터와 테스트 데이터 분할 경계선에 정화 구간(purge gap) = h를 적용하고 5-fold TimeSeriesSplit(확장 윈도우)을 사용한다. 또한 유의성 검정에서는 지평별로 HAC(bandwidth=h)를 사용하여 오차 서열간 자기상관 편향을 보정한다.</w:t>
      </w:r>
    </w:p>
    <w:p>
      <w:pPr>
        <w:pStyle w:val="0"/>
        <w:widowControl w:val="off"/>
        <w:rPr/>
      </w:pPr>
    </w:p>
    <w:p>
      <w:pPr>
        <w:pStyle w:val="0"/>
        <w:widowControl w:val="off"/>
      </w:pPr>
      <w:r>
        <w:rPr/>
        <w:t>3.11 모델 구성(Models)</w:t>
      </w:r>
    </w:p>
    <w:p>
      <w:pPr>
        <w:pStyle w:val="0"/>
        <w:widowControl w:val="off"/>
      </w:pPr>
      <w:r>
        <w:rPr/>
        <w:t>본 연구는 해석 용이성과 일반화 성능을 함께 보기 위해 선형·트리·딥러닝 모델을 포함한다. 주요 비교군은 다음과 같다.</w:t>
      </w:r>
    </w:p>
    <w:p>
      <w:pPr>
        <w:pStyle w:val="0"/>
        <w:widowControl w:val="off"/>
      </w:pPr>
      <w:r>
        <w:rPr/>
        <w:t>선형: Ridge, Lasso, ElasticNet</w:t>
      </w:r>
    </w:p>
    <w:p>
      <w:pPr>
        <w:pStyle w:val="0"/>
        <w:widowControl w:val="off"/>
      </w:pPr>
      <w:r>
        <w:rPr/>
        <w:t>트리 기반: Random Forest, XGBoost, LightGBM</w:t>
      </w:r>
    </w:p>
    <w:p>
      <w:pPr>
        <w:pStyle w:val="0"/>
        <w:widowControl w:val="off"/>
      </w:pPr>
      <w:r>
        <w:rPr/>
        <w:t>딥러닝(시계열): Bi-LSTM + Temporal Attention (BiLSTM-A)</w:t>
      </w:r>
    </w:p>
    <w:p>
      <w:pPr>
        <w:pStyle w:val="0"/>
        <w:widowControl w:val="off"/>
      </w:pPr>
      <w:commentRangeStart w:id="46"/>
      <w:r>
        <w:rPr/>
        <w:commentReference w:id="46"/>
        <w:t>실험 결과에서는 1~22d 구간에서 선형 계열이 강하고, 60~90d에서 LSTM(소수 range 피처)이 강하며, 180~252d에서 RF가 강한 양상이 관측된다.</w:t>
      </w:r>
      <w:commentRangeEnd w:id="46"/>
    </w:p>
    <w:p>
      <w:pPr>
        <w:pStyle w:val="0"/>
        <w:widowControl w:val="off"/>
        <w:rPr/>
      </w:pPr>
    </w:p>
    <w:p>
      <w:pPr>
        <w:pStyle w:val="0"/>
        <w:widowControl w:val="off"/>
      </w:pPr>
      <w:r>
        <w:rPr/>
        <w:t>3.12 하이퍼파라미터 설정</w:t>
      </w:r>
    </w:p>
    <w:p>
      <w:pPr>
        <w:pStyle w:val="0"/>
        <w:widowControl w:val="off"/>
        <w:rPr/>
      </w:pPr>
    </w:p>
    <w:p>
      <w:pPr>
        <w:pStyle w:val="0"/>
        <w:widowControl w:val="off"/>
      </w:pPr>
      <w:r>
        <w:rPr/>
        <w:t>Ridge는 다중공선성이 큰 피처(특히 range 계열)에서 안정적인 추정을 위해 사용한다. 본 연구는 자산군 간 이질성을 반영하기 위해 자산군별로 서로 다른 alpha를 고정한다.</w:t>
      </w:r>
    </w:p>
    <w:p>
      <w:pPr>
        <w:pStyle w:val="0"/>
        <w:widowControl w:val="off"/>
      </w:pPr>
      <w:r>
        <w:rPr/>
        <w:t xml:space="preserve">또한 Ridge의 규제 강도에 대한 민감도 분석으로 alpha </w:t>
      </w:r>
      <w:r>
        <w:rPr/>
        <w:t>∈</w:t>
      </w:r>
      <w:r>
        <w:rPr/>
        <w:t xml:space="preserve"> [ 0.001,5000] 범위에서 성능이 큰 폭으로 흔들리지 않음을 확인했다.</w:t>
      </w:r>
    </w:p>
    <w:p>
      <w:pPr>
        <w:pStyle w:val="0"/>
        <w:widowControl w:val="off"/>
      </w:pPr>
      <w:r>
        <w:rPr/>
        <w:t>ElasticNet은 L1(피처 선택)과 L2(다중공선성 완화)를 결합하여 확장 피처(59개) 환경에서 과적합을 줄이기 위한 모델로 포함되며, 22d에서 성능 개선이 보고되었다. 최적 파라미터는 alpha=0.01, l1_ratio=0.1(Ridge 성격 90% + LASSO 성격 10%)이다.</w:t>
      </w:r>
    </w:p>
    <w:p>
      <w:pPr>
        <w:pStyle w:val="0"/>
        <w:widowControl w:val="off"/>
      </w:pPr>
      <w:r>
        <w:rPr/>
        <w:t>BiLSTM-A(Bi-LSTM + Temporal Attention)는 37개 전체 피처 대신 3개 주요 range 피처(RS, GK, RC)만 입력으로 사용하며, 입력 시퀀스 길이는 22(거래일)이다. 과적합 방지를 위해 모델의 은닉층 크기, 학습률, 드롭아웃 등 상세 하이퍼파라미터 탐색 범위와 5개 시드를 이용한 재현성 확보 절차는 아래의 표6과 같다.</w:t>
      </w:r>
    </w:p>
    <w:p>
      <w:pPr>
        <w:pStyle w:val="0"/>
        <w:widowControl w:val="off"/>
      </w:pPr>
      <w:r>
        <w:rPr/>
        <w:t>표6. BiLSTM-A 하이퍼파라미터</w:t>
      </w:r>
    </w:p>
    <w:tbl>
      <w:tblPr>
        <w:tblOverlap w:val="never"/>
        <w:tblW w:w="4315"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1438"/>
        <w:gridCol w:w="1439"/>
        <w:gridCol w:w="1438"/>
      </w:tblGrid>
      <w:tr>
        <w:trPr>
          <w:trHeight w:val="236"/>
        </w:trPr>
        <w:tc>
          <w:tcPr>
            <w:tcW w:w="1438" w:type="dxa"/>
            <w:tcBorders>
              <w:top w:val="single" w:color="000000" w:sz="3"/>
              <w:left w:val="single" w:color="000000" w:sz="3"/>
              <w:bottom w:val="single" w:color="000000" w:sz="3"/>
              <w:right w:val="single" w:color="000000" w:sz="3"/>
            </w:tcBorders>
            <w:vAlign w:val="center"/>
          </w:tcPr>
          <w:p>
            <w:pPr>
              <w:pStyle w:val="78"/>
              <w:widowControl w:val="off"/>
            </w:pPr>
            <w:r>
              <w:rPr>
                <w:b/>
                <w:sz w:val="20"/>
              </w:rPr>
              <w:t>Parameter</w:t>
            </w:r>
          </w:p>
        </w:tc>
        <w:tc>
          <w:tcPr>
            <w:tcW w:w="1439" w:type="dxa"/>
            <w:tcBorders>
              <w:top w:val="single" w:color="000000" w:sz="3"/>
              <w:left w:val="single" w:color="000000" w:sz="3"/>
              <w:bottom w:val="single" w:color="000000" w:sz="3"/>
              <w:right w:val="single" w:color="000000" w:sz="3"/>
            </w:tcBorders>
            <w:vAlign w:val="center"/>
          </w:tcPr>
          <w:p>
            <w:pPr>
              <w:pStyle w:val="78"/>
              <w:widowControl w:val="off"/>
            </w:pPr>
            <w:r>
              <w:rPr>
                <w:b/>
                <w:sz w:val="20"/>
              </w:rPr>
              <w:t>Optimal</w:t>
            </w:r>
          </w:p>
        </w:tc>
        <w:tc>
          <w:tcPr>
            <w:tcW w:w="1438" w:type="dxa"/>
            <w:tcBorders>
              <w:top w:val="single" w:color="000000" w:sz="3"/>
              <w:left w:val="single" w:color="000000" w:sz="3"/>
              <w:bottom w:val="single" w:color="000000" w:sz="3"/>
              <w:right w:val="single" w:color="000000" w:sz="3"/>
            </w:tcBorders>
            <w:vAlign w:val="center"/>
          </w:tcPr>
          <w:p>
            <w:pPr>
              <w:pStyle w:val="78"/>
              <w:widowControl w:val="off"/>
            </w:pPr>
            <w:r>
              <w:rPr>
                <w:b/>
                <w:sz w:val="20"/>
              </w:rPr>
              <w:t>Search Range</w:t>
            </w:r>
          </w:p>
        </w:tc>
      </w:tr>
      <w:tr>
        <w:trPr>
          <w:trHeight w:val="416"/>
        </w:trPr>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hidden_dim (d_h)</w:t>
            </w:r>
          </w:p>
        </w:tc>
        <w:tc>
          <w:tcPr>
            <w:tcW w:w="1439" w:type="dxa"/>
            <w:tcBorders>
              <w:top w:val="single" w:color="000000" w:sz="3"/>
              <w:left w:val="single" w:color="000000" w:sz="3"/>
              <w:bottom w:val="single" w:color="000000" w:sz="3"/>
              <w:right w:val="single" w:color="000000" w:sz="3"/>
            </w:tcBorders>
            <w:vAlign w:val="center"/>
          </w:tcPr>
          <w:p>
            <w:pPr>
              <w:pStyle w:val="79"/>
              <w:widowControl w:val="off"/>
            </w:pPr>
            <w:r>
              <w:rPr>
                <w:sz w:val="20"/>
              </w:rPr>
              <w:t>32</w:t>
            </w:r>
          </w:p>
        </w:tc>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64, 128</w:t>
            </w:r>
          </w:p>
        </w:tc>
      </w:tr>
      <w:tr>
        <w:trPr>
          <w:trHeight w:val="416"/>
        </w:trPr>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learning_rate (eta)</w:t>
            </w:r>
          </w:p>
        </w:tc>
        <w:tc>
          <w:tcPr>
            <w:tcW w:w="1439" w:type="dxa"/>
            <w:tcBorders>
              <w:top w:val="single" w:color="000000" w:sz="3"/>
              <w:left w:val="single" w:color="000000" w:sz="3"/>
              <w:bottom w:val="single" w:color="000000" w:sz="3"/>
              <w:right w:val="single" w:color="000000" w:sz="3"/>
            </w:tcBorders>
            <w:vAlign w:val="center"/>
          </w:tcPr>
          <w:p>
            <w:pPr>
              <w:pStyle w:val="79"/>
              <w:widowControl w:val="off"/>
            </w:pPr>
            <w:r>
              <w:rPr>
                <w:sz w:val="20"/>
              </w:rPr>
              <w:t>0.001</w:t>
            </w:r>
          </w:p>
        </w:tc>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0001, 0.001, 0.01</w:t>
            </w:r>
          </w:p>
        </w:tc>
      </w:tr>
      <w:tr>
        <w:trPr>
          <w:trHeight w:val="417"/>
        </w:trPr>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dropout(p)</w:t>
            </w:r>
          </w:p>
        </w:tc>
        <w:tc>
          <w:tcPr>
            <w:tcW w:w="1439" w:type="dxa"/>
            <w:tcBorders>
              <w:top w:val="single" w:color="000000" w:sz="3"/>
              <w:left w:val="single" w:color="000000" w:sz="3"/>
              <w:bottom w:val="single" w:color="000000" w:sz="3"/>
              <w:right w:val="single" w:color="000000" w:sz="3"/>
            </w:tcBorders>
            <w:vAlign w:val="center"/>
          </w:tcPr>
          <w:p>
            <w:pPr>
              <w:pStyle w:val="79"/>
              <w:widowControl w:val="off"/>
            </w:pPr>
            <w:r>
              <w:rPr>
                <w:sz w:val="20"/>
              </w:rPr>
              <w:t>0.0</w:t>
            </w:r>
          </w:p>
        </w:tc>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0.0, 0.3, 0.5</w:t>
            </w:r>
          </w:p>
        </w:tc>
      </w:tr>
      <w:tr>
        <w:trPr>
          <w:trHeight w:val="236"/>
        </w:trPr>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seq_len(L)</w:t>
            </w:r>
          </w:p>
        </w:tc>
        <w:tc>
          <w:tcPr>
            <w:tcW w:w="1439" w:type="dxa"/>
            <w:tcBorders>
              <w:top w:val="single" w:color="000000" w:sz="3"/>
              <w:left w:val="single" w:color="000000" w:sz="3"/>
              <w:bottom w:val="single" w:color="000000" w:sz="3"/>
              <w:right w:val="single" w:color="000000" w:sz="3"/>
            </w:tcBorders>
            <w:vAlign w:val="center"/>
          </w:tcPr>
          <w:p>
            <w:pPr>
              <w:pStyle w:val="79"/>
              <w:widowControl w:val="off"/>
            </w:pPr>
            <w:r>
              <w:rPr>
                <w:sz w:val="20"/>
              </w:rPr>
              <w:t>22** {1</w:t>
            </w:r>
          </w:p>
        </w:tc>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0, 22, 44</w:t>
            </w:r>
          </w:p>
        </w:tc>
      </w:tr>
      <w:tr>
        <w:trPr>
          <w:trHeight w:val="236"/>
        </w:trPr>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batch_size</w:t>
            </w:r>
          </w:p>
        </w:tc>
        <w:tc>
          <w:tcPr>
            <w:tcW w:w="1439" w:type="dxa"/>
            <w:tcBorders>
              <w:top w:val="single" w:color="000000" w:sz="3"/>
              <w:left w:val="single" w:color="000000" w:sz="3"/>
              <w:bottom w:val="single" w:color="000000" w:sz="3"/>
              <w:right w:val="single" w:color="000000" w:sz="3"/>
            </w:tcBorders>
            <w:vAlign w:val="center"/>
          </w:tcPr>
          <w:p>
            <w:pPr>
              <w:pStyle w:val="80"/>
              <w:widowControl w:val="off"/>
            </w:pPr>
            <w:r>
              <w:rPr>
                <w:sz w:val="20"/>
              </w:rPr>
              <w:t>64</w:t>
            </w:r>
          </w:p>
        </w:tc>
        <w:tc>
          <w:tcPr>
            <w:tcW w:w="1438" w:type="dxa"/>
            <w:tcBorders>
              <w:top w:val="single" w:color="000000" w:sz="3"/>
              <w:left w:val="single" w:color="000000" w:sz="3"/>
              <w:bottom w:val="single" w:color="000000" w:sz="3"/>
              <w:right w:val="single" w:color="000000" w:sz="3"/>
            </w:tcBorders>
            <w:vAlign w:val="center"/>
          </w:tcPr>
          <w:p>
            <w:pPr>
              <w:pStyle w:val="81"/>
              <w:widowControl w:val="off"/>
            </w:pPr>
            <w:r>
              <w:rPr>
                <w:sz w:val="20"/>
              </w:rPr>
              <w:t>고정</w:t>
            </w:r>
          </w:p>
        </w:tc>
      </w:tr>
      <w:tr>
        <w:trPr>
          <w:trHeight w:val="236"/>
        </w:trPr>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epochs</w:t>
            </w:r>
          </w:p>
        </w:tc>
        <w:tc>
          <w:tcPr>
            <w:tcW w:w="1439" w:type="dxa"/>
            <w:tcBorders>
              <w:top w:val="single" w:color="000000" w:sz="3"/>
              <w:left w:val="single" w:color="000000" w:sz="3"/>
              <w:bottom w:val="single" w:color="000000" w:sz="3"/>
              <w:right w:val="single" w:color="000000" w:sz="3"/>
            </w:tcBorders>
            <w:vAlign w:val="center"/>
          </w:tcPr>
          <w:p>
            <w:pPr>
              <w:pStyle w:val="80"/>
              <w:widowControl w:val="off"/>
            </w:pPr>
            <w:r>
              <w:rPr>
                <w:sz w:val="20"/>
              </w:rPr>
              <w:t>20</w:t>
            </w:r>
          </w:p>
        </w:tc>
        <w:tc>
          <w:tcPr>
            <w:tcW w:w="1438" w:type="dxa"/>
            <w:tcBorders>
              <w:top w:val="single" w:color="000000" w:sz="3"/>
              <w:left w:val="single" w:color="000000" w:sz="3"/>
              <w:bottom w:val="single" w:color="000000" w:sz="3"/>
              <w:right w:val="single" w:color="000000" w:sz="3"/>
            </w:tcBorders>
            <w:vAlign w:val="center"/>
          </w:tcPr>
          <w:p>
            <w:pPr>
              <w:pStyle w:val="81"/>
              <w:widowControl w:val="off"/>
            </w:pPr>
            <w:r>
              <w:rPr>
                <w:sz w:val="20"/>
              </w:rPr>
              <w:t>고정</w:t>
            </w:r>
          </w:p>
        </w:tc>
      </w:tr>
      <w:tr>
        <w:trPr>
          <w:trHeight w:val="236"/>
        </w:trPr>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optimizer</w:t>
            </w:r>
          </w:p>
        </w:tc>
        <w:tc>
          <w:tcPr>
            <w:tcW w:w="1439" w:type="dxa"/>
            <w:tcBorders>
              <w:top w:val="single" w:color="000000" w:sz="3"/>
              <w:left w:val="single" w:color="000000" w:sz="3"/>
              <w:bottom w:val="single" w:color="000000" w:sz="3"/>
              <w:right w:val="single" w:color="000000" w:sz="3"/>
            </w:tcBorders>
            <w:vAlign w:val="center"/>
          </w:tcPr>
          <w:p>
            <w:pPr>
              <w:pStyle w:val="79"/>
              <w:widowControl w:val="off"/>
            </w:pPr>
            <w:r>
              <w:rPr>
                <w:sz w:val="20"/>
              </w:rPr>
              <w:t>Adam</w:t>
            </w:r>
          </w:p>
        </w:tc>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Fixed</w:t>
            </w:r>
          </w:p>
        </w:tc>
      </w:tr>
      <w:tr>
        <w:trPr>
          <w:trHeight w:val="236"/>
        </w:trPr>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loss</w:t>
            </w:r>
          </w:p>
        </w:tc>
        <w:tc>
          <w:tcPr>
            <w:tcW w:w="1439" w:type="dxa"/>
            <w:tcBorders>
              <w:top w:val="single" w:color="000000" w:sz="3"/>
              <w:left w:val="single" w:color="000000" w:sz="3"/>
              <w:bottom w:val="single" w:color="000000" w:sz="3"/>
              <w:right w:val="single" w:color="000000" w:sz="3"/>
            </w:tcBorders>
            <w:vAlign w:val="center"/>
          </w:tcPr>
          <w:p>
            <w:pPr>
              <w:pStyle w:val="79"/>
              <w:widowControl w:val="off"/>
            </w:pPr>
            <w:r>
              <w:rPr>
                <w:sz w:val="20"/>
              </w:rPr>
              <w:t>MSE</w:t>
            </w:r>
          </w:p>
        </w:tc>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Fixed</w:t>
            </w:r>
          </w:p>
        </w:tc>
      </w:tr>
      <w:tr>
        <w:trPr>
          <w:trHeight w:val="416"/>
        </w:trPr>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Input features</w:t>
            </w:r>
          </w:p>
        </w:tc>
        <w:tc>
          <w:tcPr>
            <w:tcW w:w="1439" w:type="dxa"/>
            <w:tcBorders>
              <w:top w:val="single" w:color="000000" w:sz="3"/>
              <w:left w:val="single" w:color="000000" w:sz="3"/>
              <w:bottom w:val="single" w:color="000000" w:sz="3"/>
              <w:right w:val="single" w:color="000000" w:sz="3"/>
            </w:tcBorders>
            <w:vAlign w:val="center"/>
          </w:tcPr>
          <w:p>
            <w:pPr>
              <w:pStyle w:val="79"/>
              <w:widowControl w:val="off"/>
            </w:pPr>
            <w:r>
              <w:rPr>
                <w:sz w:val="20"/>
              </w:rPr>
              <w:t>3</w:t>
            </w:r>
          </w:p>
        </w:tc>
        <w:tc>
          <w:tcPr>
            <w:tcW w:w="1438" w:type="dxa"/>
            <w:tcBorders>
              <w:top w:val="single" w:color="000000" w:sz="3"/>
              <w:left w:val="single" w:color="000000" w:sz="3"/>
              <w:bottom w:val="single" w:color="000000" w:sz="3"/>
              <w:right w:val="single" w:color="000000" w:sz="3"/>
            </w:tcBorders>
            <w:vAlign w:val="center"/>
          </w:tcPr>
          <w:p>
            <w:pPr>
              <w:pStyle w:val="79"/>
              <w:widowControl w:val="off"/>
            </w:pPr>
            <w:r>
              <w:rPr>
                <w:sz w:val="20"/>
              </w:rPr>
              <w:t>RS, GK, RC</w:t>
            </w:r>
          </w:p>
        </w:tc>
      </w:tr>
    </w:tbl>
    <w:p>
      <w:pPr>
        <w:pStyle w:val="0"/>
        <w:widowControl w:val="off"/>
      </w:pPr>
    </w:p>
    <w:p>
      <w:pPr>
        <w:pStyle w:val="0"/>
        <w:widowControl w:val="off"/>
      </w:pPr>
      <w:commentRangeStart w:id="47"/>
      <w:r>
        <w:rPr/>
        <w:commentReference w:id="47"/>
        <w:t>22d 지평에서는 Ridge와 XGBoost를 결합한 가중 앙상블을 사용한다. 가중치는 Ridge 70%, XGBoost 30%로 고정한다.</w:t>
      </w:r>
      <w:commentRangeEnd w:id="47"/>
    </w:p>
    <w:p>
      <w:pPr>
        <w:pStyle w:val="0"/>
        <w:widowControl w:val="off"/>
      </w:pPr>
      <w:r>
        <w:rPr/>
        <w:t>y_hat = 0.7y_hat_Ridge + 0.3y_hat_XGB</w:t>
      </w:r>
    </w:p>
    <w:p>
      <w:pPr>
        <w:pStyle w:val="0"/>
        <w:widowControl w:val="off"/>
      </w:pPr>
      <w:r>
        <w:rPr/>
        <w:t>WEns 앙상블 구조는 다음과 같다. 11개 자산의 OHLCV와 변동성 지표로부터 37개 피처를 구성한 뒤, 자산군별(Equity alpha=100, Bond/Commodity alpha=10)로 분리된 Ridge 모델의 예측(70%)과 전체 자산 통합 XGBoost 예측(30%)을 가중 결합하여 최종 RV_hat를 산출한다.</w:t>
      </w:r>
    </w:p>
    <w:p>
      <w:pPr>
        <w:pStyle w:val="0"/>
        <w:widowControl w:val="off"/>
      </w:pPr>
      <w:r>
        <w:rPr/>
        <w:t>Random Forest / XGBoost / LightGBM은 37개 피처 기반 비교군으로 포함되어, 지평별 성능을 비교한다. 구체적인 하이퍼파라미터 값은 부록 표(Appendix)에 기재한다.</w:t>
      </w:r>
    </w:p>
    <w:p>
      <w:pPr>
        <w:pStyle w:val="0"/>
        <w:widowControl w:val="off"/>
        <w:rPr/>
      </w:pPr>
    </w:p>
    <w:p>
      <w:pPr>
        <w:pStyle w:val="0"/>
        <w:widowControl w:val="off"/>
      </w:pPr>
      <w:r>
        <w:rPr/>
        <w:t>3.13 평가 지표 및 통계적 검정</w:t>
      </w:r>
    </w:p>
    <w:p>
      <w:pPr>
        <w:pStyle w:val="0"/>
        <w:widowControl w:val="off"/>
        <w:rPr/>
      </w:pPr>
    </w:p>
    <w:p>
      <w:pPr>
        <w:pStyle w:val="0"/>
        <w:widowControl w:val="off"/>
      </w:pPr>
      <w:r>
        <w:rPr/>
        <w:t>평가지표는 중위 R^2를 1순위, 풀링 R^2를 보조 지표로 보고한다(풀링 R^2는 자산 간 스케일 차이의 영향을 받을 수 있음).</w:t>
      </w:r>
    </w:p>
    <w:p>
      <w:pPr>
        <w:pStyle w:val="0"/>
        <w:widowControl w:val="off"/>
      </w:pPr>
      <w:r>
        <w:rPr/>
        <w:t>모델 간 차이의 통계적 유의성은 Diebold-Mariano(DM) 검정으로 평가한다. 예측 타겟이 일정 기간([t+1, t+h])의 평균으로 구성되어 인접한 날짜 간에 타겟 윈도우가 필연적으로 겹치므로, 예측오차 간에 최대 h-1 차 자기상관이 존재한다. 이에 따라 DM 검정에서는 지평 h를 Newey-West HAC 대역폭(bandwidth)으로 사용하여 중첩 구조에 의한 분산 과소추정을 보정한다. 장기 지평(h &gt;= 120)에서는 점근 근사의 한계를 보완하기 위해 블록 부트스트랩(block size=h, B=5,000)을 보조 검정으로 사용하여 유의성을 재확인한다.</w:t>
      </w:r>
    </w:p>
    <w:p>
      <w:pPr>
        <w:pStyle w:val="0"/>
        <w:widowControl w:val="off"/>
        <w:rPr/>
      </w:pPr>
    </w:p>
    <w:p>
      <w:pPr>
        <w:pStyle w:val="0"/>
        <w:widowControl w:val="off"/>
      </w:pPr>
      <w:commentRangeStart w:id="48"/>
      <w:r>
        <w:rPr/>
        <w:t>표7. WEns 앙상블의 지평별 성능</w:t>
      </w:r>
      <w:r>
        <w:commentReference w:id="48"/>
      </w:r>
      <w:commentRangeEnd w:id="48"/>
    </w:p>
    <w:tbl>
      <w:tblPr>
        <w:tblOverlap w:val="never"/>
        <w:tblW w:w="8522"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992"/>
        <w:gridCol w:w="1274"/>
        <w:gridCol w:w="1388"/>
        <w:gridCol w:w="1218"/>
        <w:gridCol w:w="1218"/>
        <w:gridCol w:w="1218"/>
        <w:gridCol w:w="1214"/>
      </w:tblGrid>
      <w:tr>
        <w:trPr>
          <w:trHeight w:val="236"/>
        </w:trPr>
        <w:tc>
          <w:tcPr>
            <w:tcW w:w="992"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h</w:t>
            </w:r>
          </w:p>
        </w:tc>
        <w:tc>
          <w:tcPr>
            <w:tcW w:w="127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Ridge(37)</w:t>
            </w:r>
          </w:p>
        </w:tc>
        <w:tc>
          <w:tcPr>
            <w:tcW w:w="1388"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BiLSTM-A(3)</w:t>
            </w:r>
          </w:p>
        </w:tc>
        <w:tc>
          <w:tcPr>
            <w:tcW w:w="1218"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HAR-3(3)</w:t>
            </w:r>
          </w:p>
        </w:tc>
        <w:tc>
          <w:tcPr>
            <w:tcW w:w="1218"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LASSO(37)</w:t>
            </w:r>
          </w:p>
        </w:tc>
        <w:tc>
          <w:tcPr>
            <w:tcW w:w="1218"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RF(37)</w:t>
            </w:r>
          </w:p>
        </w:tc>
        <w:tc>
          <w:tcPr>
            <w:tcW w:w="1214"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Champion</w:t>
            </w:r>
          </w:p>
        </w:tc>
      </w:tr>
      <w:tr>
        <w:trPr>
          <w:trHeight w:val="236"/>
        </w:trPr>
        <w:tc>
          <w:tcPr>
            <w:tcW w:w="992" w:type="dxa"/>
            <w:tcBorders>
              <w:top w:val="single" w:color="000000" w:sz="3"/>
              <w:left w:val="single" w:color="000000" w:sz="3"/>
              <w:bottom w:val="single" w:color="000000" w:sz="3"/>
              <w:right w:val="single" w:color="000000" w:sz="3"/>
            </w:tcBorders>
            <w:vAlign w:val="center"/>
          </w:tcPr>
          <w:p>
            <w:pPr>
              <w:pStyle w:val="80"/>
              <w:widowControl w:val="off"/>
              <w:wordWrap w:val="0"/>
              <w:jc w:val="both"/>
            </w:pPr>
            <w:r>
              <w:rPr>
                <w:rFonts w:ascii="휴먼명조"/>
                <w:sz w:val="20"/>
              </w:rPr>
              <w:t>1d</w:t>
            </w:r>
          </w:p>
        </w:tc>
        <w:tc>
          <w:tcPr>
            <w:tcW w:w="1274"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0.114</w:t>
            </w:r>
          </w:p>
        </w:tc>
        <w:tc>
          <w:tcPr>
            <w:tcW w:w="138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0.092</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0.109</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0.116</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0.113</w:t>
            </w:r>
          </w:p>
        </w:tc>
        <w:tc>
          <w:tcPr>
            <w:tcW w:w="1214" w:type="dxa"/>
            <w:tcBorders>
              <w:top w:val="single" w:color="000000" w:sz="3"/>
              <w:left w:val="single" w:color="000000" w:sz="3"/>
              <w:bottom w:val="single" w:color="000000" w:sz="3"/>
              <w:right w:val="single" w:color="000000" w:sz="3"/>
            </w:tcBorders>
            <w:vAlign w:val="center"/>
          </w:tcPr>
          <w:p>
            <w:pPr>
              <w:pStyle w:val="80"/>
              <w:widowControl w:val="off"/>
              <w:wordWrap w:val="0"/>
              <w:jc w:val="both"/>
            </w:pPr>
            <w:r>
              <w:rPr>
                <w:rFonts w:ascii="휴먼명조"/>
                <w:sz w:val="20"/>
              </w:rPr>
              <w:t>LASSO</w:t>
            </w:r>
          </w:p>
        </w:tc>
      </w:tr>
      <w:tr>
        <w:trPr>
          <w:trHeight w:val="236"/>
        </w:trPr>
        <w:tc>
          <w:tcPr>
            <w:tcW w:w="992" w:type="dxa"/>
            <w:tcBorders>
              <w:top w:val="single" w:color="000000" w:sz="3"/>
              <w:left w:val="single" w:color="000000" w:sz="3"/>
              <w:bottom w:val="single" w:color="000000" w:sz="3"/>
              <w:right w:val="single" w:color="000000" w:sz="3"/>
            </w:tcBorders>
            <w:vAlign w:val="center"/>
          </w:tcPr>
          <w:p>
            <w:pPr>
              <w:pStyle w:val="80"/>
              <w:widowControl w:val="off"/>
              <w:wordWrap w:val="0"/>
              <w:jc w:val="both"/>
            </w:pPr>
            <w:r>
              <w:rPr>
                <w:rFonts w:ascii="휴먼명조"/>
                <w:sz w:val="20"/>
              </w:rPr>
              <w:t>5d</w:t>
            </w:r>
          </w:p>
        </w:tc>
        <w:tc>
          <w:tcPr>
            <w:tcW w:w="1274"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0.625</w:t>
            </w:r>
          </w:p>
        </w:tc>
        <w:tc>
          <w:tcPr>
            <w:tcW w:w="138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0.577</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0.581</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0.625</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0.611</w:t>
            </w:r>
          </w:p>
        </w:tc>
        <w:tc>
          <w:tcPr>
            <w:tcW w:w="1214" w:type="dxa"/>
            <w:tcBorders>
              <w:top w:val="single" w:color="000000" w:sz="3"/>
              <w:left w:val="single" w:color="000000" w:sz="3"/>
              <w:bottom w:val="single" w:color="000000" w:sz="3"/>
              <w:right w:val="single" w:color="000000" w:sz="3"/>
            </w:tcBorders>
            <w:vAlign w:val="center"/>
          </w:tcPr>
          <w:p>
            <w:pPr>
              <w:pStyle w:val="80"/>
              <w:widowControl w:val="off"/>
              <w:wordWrap w:val="0"/>
              <w:jc w:val="both"/>
            </w:pPr>
            <w:r>
              <w:rPr>
                <w:rFonts w:ascii="휴먼명조"/>
                <w:sz w:val="20"/>
              </w:rPr>
              <w:t>Ridge</w:t>
            </w:r>
          </w:p>
        </w:tc>
      </w:tr>
      <w:tr>
        <w:trPr>
          <w:trHeight w:val="236"/>
        </w:trPr>
        <w:tc>
          <w:tcPr>
            <w:tcW w:w="992" w:type="dxa"/>
            <w:tcBorders>
              <w:top w:val="single" w:color="000000" w:sz="3"/>
              <w:left w:val="single" w:color="000000" w:sz="3"/>
              <w:bottom w:val="single" w:color="000000" w:sz="3"/>
              <w:right w:val="single" w:color="000000" w:sz="3"/>
            </w:tcBorders>
            <w:vAlign w:val="center"/>
          </w:tcPr>
          <w:p>
            <w:pPr>
              <w:pStyle w:val="80"/>
              <w:widowControl w:val="off"/>
              <w:wordWrap w:val="0"/>
              <w:jc w:val="both"/>
            </w:pPr>
            <w:r>
              <w:rPr>
                <w:rFonts w:ascii="휴먼명조"/>
                <w:sz w:val="20"/>
              </w:rPr>
              <w:t>22d</w:t>
            </w:r>
          </w:p>
        </w:tc>
        <w:tc>
          <w:tcPr>
            <w:tcW w:w="1274" w:type="dxa"/>
            <w:tcBorders>
              <w:top w:val="single" w:color="000000" w:sz="3"/>
              <w:left w:val="single" w:color="000000" w:sz="3"/>
              <w:bottom w:val="single" w:color="000000" w:sz="3"/>
              <w:right w:val="single" w:color="000000" w:sz="3"/>
            </w:tcBorders>
            <w:vAlign w:val="center"/>
          </w:tcPr>
          <w:p>
            <w:pPr>
              <w:pStyle w:val="84"/>
              <w:widowControl w:val="off"/>
              <w:wordWrap w:val="0"/>
              <w:jc w:val="both"/>
            </w:pPr>
            <w:r>
              <w:rPr>
                <w:rFonts w:ascii="휴먼명조"/>
                <w:sz w:val="20"/>
              </w:rPr>
              <w:t>0.798</w:t>
            </w:r>
          </w:p>
        </w:tc>
        <w:tc>
          <w:tcPr>
            <w:tcW w:w="138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0.78</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0.761</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0.79</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0.77</w:t>
            </w:r>
          </w:p>
        </w:tc>
        <w:tc>
          <w:tcPr>
            <w:tcW w:w="1214" w:type="dxa"/>
            <w:tcBorders>
              <w:top w:val="single" w:color="000000" w:sz="3"/>
              <w:left w:val="single" w:color="000000" w:sz="3"/>
              <w:bottom w:val="single" w:color="000000" w:sz="3"/>
              <w:right w:val="single" w:color="000000" w:sz="3"/>
            </w:tcBorders>
            <w:vAlign w:val="center"/>
          </w:tcPr>
          <w:p>
            <w:pPr>
              <w:pStyle w:val="83"/>
              <w:widowControl w:val="off"/>
              <w:wordWrap w:val="0"/>
              <w:jc w:val="both"/>
            </w:pPr>
            <w:r>
              <w:rPr>
                <w:rFonts w:ascii="휴먼명조"/>
                <w:sz w:val="20"/>
              </w:rPr>
              <w:t>Ridge</w:t>
            </w:r>
          </w:p>
        </w:tc>
      </w:tr>
      <w:tr>
        <w:trPr>
          <w:trHeight w:val="236"/>
        </w:trPr>
        <w:tc>
          <w:tcPr>
            <w:tcW w:w="992" w:type="dxa"/>
            <w:tcBorders>
              <w:top w:val="single" w:color="000000" w:sz="3"/>
              <w:left w:val="single" w:color="000000" w:sz="3"/>
              <w:bottom w:val="single" w:color="000000" w:sz="3"/>
              <w:right w:val="single" w:color="000000" w:sz="3"/>
            </w:tcBorders>
            <w:vAlign w:val="center"/>
          </w:tcPr>
          <w:p>
            <w:pPr>
              <w:pStyle w:val="80"/>
              <w:widowControl w:val="off"/>
              <w:wordWrap w:val="0"/>
              <w:jc w:val="both"/>
            </w:pPr>
            <w:r>
              <w:rPr>
                <w:rFonts w:ascii="휴먼명조"/>
                <w:sz w:val="20"/>
              </w:rPr>
              <w:t>60d</w:t>
            </w:r>
          </w:p>
        </w:tc>
        <w:tc>
          <w:tcPr>
            <w:tcW w:w="1274"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0.774</w:t>
            </w:r>
          </w:p>
        </w:tc>
        <w:tc>
          <w:tcPr>
            <w:tcW w:w="1388" w:type="dxa"/>
            <w:tcBorders>
              <w:top w:val="single" w:color="000000" w:sz="3"/>
              <w:left w:val="single" w:color="000000" w:sz="3"/>
              <w:bottom w:val="single" w:color="000000" w:sz="3"/>
              <w:right w:val="single" w:color="000000" w:sz="3"/>
            </w:tcBorders>
            <w:vAlign w:val="center"/>
          </w:tcPr>
          <w:p>
            <w:pPr>
              <w:pStyle w:val="84"/>
              <w:widowControl w:val="off"/>
              <w:wordWrap w:val="0"/>
              <w:jc w:val="both"/>
            </w:pPr>
            <w:r>
              <w:rPr>
                <w:rFonts w:ascii="휴먼명조"/>
                <w:sz w:val="20"/>
              </w:rPr>
              <w:t>0.796</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0.784</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0.782</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0.752</w:t>
            </w:r>
          </w:p>
        </w:tc>
        <w:tc>
          <w:tcPr>
            <w:tcW w:w="1214" w:type="dxa"/>
            <w:tcBorders>
              <w:top w:val="single" w:color="000000" w:sz="3"/>
              <w:left w:val="single" w:color="000000" w:sz="3"/>
              <w:bottom w:val="single" w:color="000000" w:sz="3"/>
              <w:right w:val="single" w:color="000000" w:sz="3"/>
            </w:tcBorders>
            <w:vAlign w:val="center"/>
          </w:tcPr>
          <w:p>
            <w:pPr>
              <w:pStyle w:val="83"/>
              <w:widowControl w:val="off"/>
              <w:wordWrap w:val="0"/>
              <w:jc w:val="both"/>
            </w:pPr>
            <w:r>
              <w:rPr>
                <w:rFonts w:ascii="휴먼명조"/>
                <w:sz w:val="20"/>
              </w:rPr>
              <w:t>BiLSTM-A</w:t>
            </w:r>
          </w:p>
        </w:tc>
      </w:tr>
      <w:tr>
        <w:trPr>
          <w:trHeight w:val="236"/>
        </w:trPr>
        <w:tc>
          <w:tcPr>
            <w:tcW w:w="992" w:type="dxa"/>
            <w:tcBorders>
              <w:top w:val="single" w:color="000000" w:sz="3"/>
              <w:left w:val="single" w:color="000000" w:sz="3"/>
              <w:bottom w:val="single" w:color="000000" w:sz="3"/>
              <w:right w:val="single" w:color="000000" w:sz="3"/>
            </w:tcBorders>
            <w:vAlign w:val="center"/>
          </w:tcPr>
          <w:p>
            <w:pPr>
              <w:pStyle w:val="80"/>
              <w:widowControl w:val="off"/>
              <w:wordWrap w:val="0"/>
              <w:jc w:val="both"/>
            </w:pPr>
            <w:r>
              <w:rPr>
                <w:rFonts w:ascii="휴먼명조"/>
                <w:sz w:val="20"/>
              </w:rPr>
              <w:t>90d</w:t>
            </w:r>
          </w:p>
        </w:tc>
        <w:tc>
          <w:tcPr>
            <w:tcW w:w="1274"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0.752</w:t>
            </w:r>
          </w:p>
        </w:tc>
        <w:tc>
          <w:tcPr>
            <w:tcW w:w="1388" w:type="dxa"/>
            <w:tcBorders>
              <w:top w:val="single" w:color="000000" w:sz="3"/>
              <w:left w:val="single" w:color="000000" w:sz="3"/>
              <w:bottom w:val="single" w:color="000000" w:sz="3"/>
              <w:right w:val="single" w:color="000000" w:sz="3"/>
            </w:tcBorders>
            <w:vAlign w:val="center"/>
          </w:tcPr>
          <w:p>
            <w:pPr>
              <w:pStyle w:val="84"/>
              <w:widowControl w:val="off"/>
              <w:wordWrap w:val="0"/>
              <w:jc w:val="both"/>
            </w:pPr>
            <w:r>
              <w:rPr>
                <w:rFonts w:ascii="휴먼명조"/>
                <w:sz w:val="20"/>
              </w:rPr>
              <w:t>0.788</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0.781</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0.763</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0.737</w:t>
            </w:r>
          </w:p>
        </w:tc>
        <w:tc>
          <w:tcPr>
            <w:tcW w:w="1214" w:type="dxa"/>
            <w:tcBorders>
              <w:top w:val="single" w:color="000000" w:sz="3"/>
              <w:left w:val="single" w:color="000000" w:sz="3"/>
              <w:bottom w:val="single" w:color="000000" w:sz="3"/>
              <w:right w:val="single" w:color="000000" w:sz="3"/>
            </w:tcBorders>
            <w:vAlign w:val="center"/>
          </w:tcPr>
          <w:p>
            <w:pPr>
              <w:pStyle w:val="83"/>
              <w:widowControl w:val="off"/>
              <w:wordWrap w:val="0"/>
              <w:jc w:val="both"/>
            </w:pPr>
            <w:r>
              <w:rPr>
                <w:rFonts w:ascii="휴먼명조"/>
                <w:sz w:val="20"/>
              </w:rPr>
              <w:t>BiLSTM-A</w:t>
            </w:r>
          </w:p>
        </w:tc>
      </w:tr>
      <w:tr>
        <w:trPr>
          <w:trHeight w:val="236"/>
        </w:trPr>
        <w:tc>
          <w:tcPr>
            <w:tcW w:w="992" w:type="dxa"/>
            <w:tcBorders>
              <w:top w:val="single" w:color="000000" w:sz="3"/>
              <w:left w:val="single" w:color="000000" w:sz="3"/>
              <w:bottom w:val="single" w:color="000000" w:sz="3"/>
              <w:right w:val="single" w:color="000000" w:sz="3"/>
            </w:tcBorders>
            <w:vAlign w:val="center"/>
          </w:tcPr>
          <w:p>
            <w:pPr>
              <w:pStyle w:val="80"/>
              <w:widowControl w:val="off"/>
              <w:wordWrap w:val="0"/>
              <w:jc w:val="both"/>
            </w:pPr>
            <w:r>
              <w:rPr>
                <w:rFonts w:ascii="휴먼명조"/>
                <w:sz w:val="20"/>
              </w:rPr>
              <w:t>120d</w:t>
            </w:r>
          </w:p>
        </w:tc>
        <w:tc>
          <w:tcPr>
            <w:tcW w:w="1274"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0.737</w:t>
            </w:r>
          </w:p>
        </w:tc>
        <w:tc>
          <w:tcPr>
            <w:tcW w:w="138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0.751</w:t>
            </w:r>
          </w:p>
        </w:tc>
        <w:tc>
          <w:tcPr>
            <w:tcW w:w="1218" w:type="dxa"/>
            <w:tcBorders>
              <w:top w:val="single" w:color="000000" w:sz="3"/>
              <w:left w:val="single" w:color="000000" w:sz="3"/>
              <w:bottom w:val="single" w:color="000000" w:sz="3"/>
              <w:right w:val="single" w:color="000000" w:sz="3"/>
            </w:tcBorders>
            <w:vAlign w:val="center"/>
          </w:tcPr>
          <w:p>
            <w:pPr>
              <w:pStyle w:val="84"/>
              <w:widowControl w:val="off"/>
              <w:wordWrap w:val="0"/>
              <w:jc w:val="both"/>
            </w:pPr>
            <w:r>
              <w:rPr>
                <w:rFonts w:ascii="휴먼명조"/>
                <w:sz w:val="20"/>
              </w:rPr>
              <w:t>0.758</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0.748</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0.73</w:t>
            </w:r>
          </w:p>
        </w:tc>
        <w:tc>
          <w:tcPr>
            <w:tcW w:w="1214" w:type="dxa"/>
            <w:tcBorders>
              <w:top w:val="single" w:color="000000" w:sz="3"/>
              <w:left w:val="single" w:color="000000" w:sz="3"/>
              <w:bottom w:val="single" w:color="000000" w:sz="3"/>
              <w:right w:val="single" w:color="000000" w:sz="3"/>
            </w:tcBorders>
            <w:vAlign w:val="center"/>
          </w:tcPr>
          <w:p>
            <w:pPr>
              <w:pStyle w:val="80"/>
              <w:widowControl w:val="off"/>
              <w:wordWrap w:val="0"/>
              <w:jc w:val="both"/>
            </w:pPr>
            <w:r>
              <w:rPr>
                <w:rFonts w:ascii="휴먼명조"/>
                <w:sz w:val="20"/>
              </w:rPr>
              <w:t>HAR-3</w:t>
            </w:r>
          </w:p>
        </w:tc>
      </w:tr>
      <w:tr>
        <w:trPr>
          <w:trHeight w:val="236"/>
        </w:trPr>
        <w:tc>
          <w:tcPr>
            <w:tcW w:w="992" w:type="dxa"/>
            <w:tcBorders>
              <w:top w:val="single" w:color="000000" w:sz="3"/>
              <w:left w:val="single" w:color="000000" w:sz="3"/>
              <w:bottom w:val="single" w:color="000000" w:sz="3"/>
              <w:right w:val="single" w:color="000000" w:sz="3"/>
            </w:tcBorders>
            <w:vAlign w:val="center"/>
          </w:tcPr>
          <w:p>
            <w:pPr>
              <w:pStyle w:val="80"/>
              <w:widowControl w:val="off"/>
              <w:wordWrap w:val="0"/>
              <w:jc w:val="both"/>
            </w:pPr>
            <w:r>
              <w:rPr>
                <w:rFonts w:ascii="휴먼명조"/>
                <w:sz w:val="20"/>
              </w:rPr>
              <w:t>180d</w:t>
            </w:r>
          </w:p>
        </w:tc>
        <w:tc>
          <w:tcPr>
            <w:tcW w:w="1274"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0.691</w:t>
            </w:r>
          </w:p>
        </w:tc>
        <w:tc>
          <w:tcPr>
            <w:tcW w:w="138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0.708</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0.705</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0.707</w:t>
            </w:r>
          </w:p>
        </w:tc>
        <w:tc>
          <w:tcPr>
            <w:tcW w:w="1218" w:type="dxa"/>
            <w:tcBorders>
              <w:top w:val="single" w:color="000000" w:sz="3"/>
              <w:left w:val="single" w:color="000000" w:sz="3"/>
              <w:bottom w:val="single" w:color="000000" w:sz="3"/>
              <w:right w:val="single" w:color="000000" w:sz="3"/>
            </w:tcBorders>
            <w:vAlign w:val="center"/>
          </w:tcPr>
          <w:p>
            <w:pPr>
              <w:pStyle w:val="84"/>
              <w:widowControl w:val="off"/>
              <w:wordWrap w:val="0"/>
              <w:jc w:val="both"/>
            </w:pPr>
            <w:r>
              <w:rPr>
                <w:rFonts w:ascii="휴먼명조"/>
                <w:sz w:val="20"/>
              </w:rPr>
              <w:t>0.719</w:t>
            </w:r>
          </w:p>
        </w:tc>
        <w:tc>
          <w:tcPr>
            <w:tcW w:w="1214" w:type="dxa"/>
            <w:tcBorders>
              <w:top w:val="single" w:color="000000" w:sz="3"/>
              <w:left w:val="single" w:color="000000" w:sz="3"/>
              <w:bottom w:val="single" w:color="000000" w:sz="3"/>
              <w:right w:val="single" w:color="000000" w:sz="3"/>
            </w:tcBorders>
            <w:vAlign w:val="center"/>
          </w:tcPr>
          <w:p>
            <w:pPr>
              <w:pStyle w:val="83"/>
              <w:widowControl w:val="off"/>
              <w:wordWrap w:val="0"/>
              <w:jc w:val="both"/>
            </w:pPr>
            <w:r>
              <w:rPr>
                <w:rFonts w:ascii="휴먼명조"/>
                <w:sz w:val="20"/>
              </w:rPr>
              <w:t>RF</w:t>
            </w:r>
          </w:p>
        </w:tc>
      </w:tr>
      <w:tr>
        <w:trPr>
          <w:trHeight w:val="236"/>
        </w:trPr>
        <w:tc>
          <w:tcPr>
            <w:tcW w:w="992" w:type="dxa"/>
            <w:tcBorders>
              <w:top w:val="single" w:color="000000" w:sz="3"/>
              <w:left w:val="single" w:color="000000" w:sz="3"/>
              <w:bottom w:val="single" w:color="000000" w:sz="3"/>
              <w:right w:val="single" w:color="000000" w:sz="3"/>
            </w:tcBorders>
            <w:vAlign w:val="center"/>
          </w:tcPr>
          <w:p>
            <w:pPr>
              <w:pStyle w:val="80"/>
              <w:widowControl w:val="off"/>
              <w:wordWrap w:val="0"/>
              <w:jc w:val="both"/>
            </w:pPr>
            <w:r>
              <w:rPr>
                <w:rFonts w:ascii="휴먼명조"/>
                <w:sz w:val="20"/>
              </w:rPr>
              <w:t>252d</w:t>
            </w:r>
          </w:p>
        </w:tc>
        <w:tc>
          <w:tcPr>
            <w:tcW w:w="1274"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0.516</w:t>
            </w:r>
          </w:p>
        </w:tc>
        <w:tc>
          <w:tcPr>
            <w:tcW w:w="138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0.589</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0.611</w:t>
            </w:r>
          </w:p>
        </w:tc>
        <w:tc>
          <w:tcPr>
            <w:tcW w:w="1218" w:type="dxa"/>
            <w:tcBorders>
              <w:top w:val="single" w:color="000000" w:sz="3"/>
              <w:left w:val="single" w:color="000000" w:sz="3"/>
              <w:bottom w:val="single" w:color="000000" w:sz="3"/>
              <w:right w:val="single" w:color="000000" w:sz="3"/>
            </w:tcBorders>
            <w:vAlign w:val="center"/>
          </w:tcPr>
          <w:p>
            <w:pPr>
              <w:pStyle w:val="81"/>
              <w:widowControl w:val="off"/>
              <w:wordWrap w:val="0"/>
              <w:jc w:val="both"/>
            </w:pPr>
            <w:r>
              <w:rPr>
                <w:rFonts w:ascii="휴먼명조"/>
                <w:sz w:val="20"/>
              </w:rPr>
              <w:t>0.555</w:t>
            </w:r>
          </w:p>
        </w:tc>
        <w:tc>
          <w:tcPr>
            <w:tcW w:w="1218" w:type="dxa"/>
            <w:tcBorders>
              <w:top w:val="single" w:color="000000" w:sz="3"/>
              <w:left w:val="single" w:color="000000" w:sz="3"/>
              <w:bottom w:val="single" w:color="000000" w:sz="3"/>
              <w:right w:val="single" w:color="000000" w:sz="3"/>
            </w:tcBorders>
            <w:vAlign w:val="center"/>
          </w:tcPr>
          <w:p>
            <w:pPr>
              <w:pStyle w:val="84"/>
              <w:widowControl w:val="off"/>
              <w:wordWrap w:val="0"/>
              <w:jc w:val="both"/>
            </w:pPr>
            <w:r>
              <w:rPr>
                <w:rFonts w:ascii="휴먼명조"/>
                <w:sz w:val="20"/>
              </w:rPr>
              <w:t>0.705</w:t>
            </w:r>
          </w:p>
        </w:tc>
        <w:tc>
          <w:tcPr>
            <w:tcW w:w="1214" w:type="dxa"/>
            <w:tcBorders>
              <w:top w:val="single" w:color="000000" w:sz="3"/>
              <w:left w:val="single" w:color="000000" w:sz="3"/>
              <w:bottom w:val="single" w:color="000000" w:sz="3"/>
              <w:right w:val="single" w:color="000000" w:sz="3"/>
            </w:tcBorders>
            <w:vAlign w:val="center"/>
          </w:tcPr>
          <w:p>
            <w:pPr>
              <w:pStyle w:val="83"/>
              <w:widowControl w:val="off"/>
              <w:wordWrap w:val="0"/>
              <w:jc w:val="both"/>
            </w:pPr>
            <w:r>
              <w:rPr>
                <w:rFonts w:ascii="휴먼명조"/>
                <w:sz w:val="20"/>
              </w:rPr>
              <w:t>RF</w:t>
            </w:r>
          </w:p>
        </w:tc>
      </w:tr>
    </w:tbl>
    <w:p>
      <w:pPr>
        <w:pStyle w:val="0"/>
        <w:widowControl w:val="off"/>
        <w:rPr/>
      </w:pPr>
    </w:p>
    <w:p>
      <w:pPr>
        <w:pStyle w:val="0"/>
        <w:widowControl w:val="off"/>
        <w:wordWrap w:val="1"/>
        <w:jc w:val="center"/>
      </w:pPr>
      <w:r>
        <w:rPr>
          <w:rFonts w:ascii="HCI Hollyhock"/>
          <w:sz w:val="22"/>
        </w:rPr>
        <w:t>I</w:t>
      </w:r>
      <w:commentRangeStart w:id="49"/>
      <w:r>
        <w:rPr>
          <w:rFonts w:ascii="HCI Hollyhock" w:eastAsia="휴먼고딕"/>
          <w:sz w:val="22"/>
        </w:rPr>
        <w:commentReference w:id="49"/>
        <w:t>V. 실험 결과</w:t>
      </w:r>
      <w:commentRangeEnd w:id="49"/>
    </w:p>
    <w:p>
      <w:pPr>
        <w:pStyle w:val="0"/>
        <w:widowControl w:val="off"/>
        <w:rPr/>
      </w:pPr>
    </w:p>
    <w:p>
      <w:pPr>
        <w:pStyle w:val="0"/>
        <w:widowControl w:val="off"/>
      </w:pPr>
      <w:r>
        <w:rPr/>
        <w:t>4.1 실험 개요</w:t>
      </w:r>
    </w:p>
    <w:p>
      <w:pPr>
        <w:pStyle w:val="0"/>
        <w:widowControl w:val="off"/>
        <w:rPr/>
      </w:pPr>
    </w:p>
    <w:p>
      <w:pPr>
        <w:pStyle w:val="0"/>
        <w:widowControl w:val="off"/>
      </w:pPr>
      <w:r>
        <w:rPr/>
        <w:t xml:space="preserve">본 연구는 11개 ETF 패널 자료를 대상으로, 8개 예측 지평(표 1 참조)에서 3.6.2절의 2단계 구조에 따라 전방 실현분산을 예측하고, 내재분산 대용치와 결합해 VRP_hat_i,t(h) = IV_t^2 </w:t>
      </w:r>
      <w:r>
        <w:rPr/>
        <w:t>–</w:t>
      </w:r>
      <w:r>
        <w:rPr/>
        <w:t xml:space="preserve"> RV_hat_i,t(h) 를 산출한다.</w:t>
      </w:r>
    </w:p>
    <w:p>
      <w:pPr>
        <w:pStyle w:val="0"/>
        <w:widowControl w:val="off"/>
      </w:pPr>
      <w:r>
        <w:rPr/>
        <w:t>본 연구에서 예측 시점의 내재분산 대용치(IV_t^2)는 이미 관측된 값이므로, VRP 예측 오차는 RV 예측 오차와 부호만 반대이고 기계적으로 절대적 크기가 동일하다. 따라서 모델 간 우열 비교와 선택은 1단계 RV 예측 성능 비교로 일관되게 수행할 수 있다.</w:t>
      </w:r>
    </w:p>
    <w:p>
      <w:pPr>
        <w:pStyle w:val="0"/>
        <w:widowControl w:val="off"/>
      </w:pPr>
      <w:r>
        <w:rPr/>
        <w:t>성능 지표는 횡단면 변동의 영향을 배제한 순수 시계열 예측력을 보기 위해 중위 R^2(자산별 R^2 중위값)를 1순위로, 풀링 R^2를 보조 지표로 보고한다.</w:t>
      </w:r>
    </w:p>
    <w:p>
      <w:pPr>
        <w:pStyle w:val="0"/>
        <w:widowControl w:val="off"/>
        <w:rPr/>
      </w:pPr>
    </w:p>
    <w:p>
      <w:pPr>
        <w:pStyle w:val="0"/>
        <w:widowControl w:val="off"/>
      </w:pPr>
      <w:r>
        <w:rPr/>
        <w:t>4.2 지평별 대표 모델 요약</w:t>
      </w:r>
    </w:p>
    <w:p>
      <w:pPr>
        <w:pStyle w:val="0"/>
        <w:widowControl w:val="off"/>
        <w:rPr/>
      </w:pPr>
    </w:p>
    <w:p>
      <w:pPr>
        <w:pStyle w:val="0"/>
        <w:widowControl w:val="off"/>
      </w:pPr>
      <w:r>
        <w:rPr/>
        <w:t>지평별로 가장 높은 성능을 보인 모델은 다음과 같이 요약된다. 1~22d 구간에서는 ElasticNet-59(풀링 R^2 0.807), 60~90d에서는 BiLSTM-A(3 range 피처, 풀링 R^2 0.796), 120d에서는 HAR-3(0.758), 180~252d에서는 Random Forest(각각 0.719, 0.705)가 가장 높은 풀링 R^2를 기록하였다. 이처럼 예측 지평이 바뀌면 유리한 모델 구조가 달라지는 패턴이 관측된다.</w:t>
      </w:r>
    </w:p>
    <w:p>
      <w:pPr>
        <w:pStyle w:val="0"/>
        <w:widowControl w:val="off"/>
      </w:pPr>
      <w:r>
        <w:rPr/>
        <w:t>1~22d 구간에서는 피처가 많을수록(특히 range/기간구조/거래량 포함) 선형 결합과 앙상블 모델이 가장 우수하였다. 반면 60~90d 지평에서는 37개 전체 피처 대신 3개의 핵심 range 피처만 압축적으로 채택한 LSTM 모델이 오히려 가장 우수한 예측력을 보였다(60d 풀링 R^2 0.796). 더 길어진 180~252d 지평에서는 트리 구조 알고리즘인 Random Forest가 가장 높은 풀링 R^2를 기록하는 이질적인 결과를 확인하였다.</w:t>
      </w:r>
    </w:p>
    <w:p>
      <w:pPr>
        <w:pStyle w:val="0"/>
        <w:widowControl w:val="off"/>
      </w:pPr>
      <w:commentRangeStart w:id="50"/>
      <w:r>
        <w:rPr/>
        <w:t>표 7는 주요 모델의 지평별 풀링 R^2를 종합적으로 비교한 것이다. 1~22d에서 WEns Ridge가 우위, 60~90d에서 BiLSTM-A이 우위, 180~252d에서 RF/HAR-3가 우위를 보이는 교차 패턴이 뚜렷이 관측된다.</w:t>
      </w:r>
    </w:p>
    <w:p>
      <w:pPr>
        <w:pStyle w:val="0"/>
        <w:widowControl w:val="off"/>
      </w:pPr>
      <w:r>
        <w:rPr/>
        <w:commentReference w:id="50"/>
        <w:t>표 8. 지평별 챔피언 모델의 중위 R^2</w:t>
      </w:r>
      <w:commentRangeEnd w:id="50"/>
    </w:p>
    <w:tbl>
      <w:tblPr>
        <w:tblOverlap w:val="never"/>
        <w:tblW w:w="4094"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684"/>
        <w:gridCol w:w="1703"/>
        <w:gridCol w:w="797"/>
        <w:gridCol w:w="910"/>
      </w:tblGrid>
      <w:tr>
        <w:trPr>
          <w:trHeight w:val="400"/>
        </w:trPr>
        <w:tc>
          <w:tcPr>
            <w:tcW w:w="684" w:type="dxa"/>
            <w:tcBorders>
              <w:top w:val="single" w:color="000000" w:sz="3"/>
              <w:left w:val="single" w:color="000000" w:sz="3"/>
              <w:bottom w:val="single" w:color="000000" w:sz="3"/>
              <w:right w:val="single" w:color="000000" w:sz="3"/>
            </w:tcBorders>
            <w:vAlign w:val="center"/>
          </w:tcPr>
          <w:p>
            <w:pPr>
              <w:pStyle w:val="78"/>
              <w:widowControl w:val="off"/>
            </w:pPr>
            <w:r>
              <w:rPr>
                <w:sz w:val="20"/>
              </w:rPr>
              <w:t>h</w:t>
            </w:r>
          </w:p>
        </w:tc>
        <w:tc>
          <w:tcPr>
            <w:tcW w:w="1703" w:type="dxa"/>
            <w:tcBorders>
              <w:top w:val="single" w:color="000000" w:sz="3"/>
              <w:left w:val="single" w:color="000000" w:sz="3"/>
              <w:bottom w:val="single" w:color="000000" w:sz="3"/>
              <w:right w:val="single" w:color="000000" w:sz="3"/>
            </w:tcBorders>
            <w:vAlign w:val="center"/>
          </w:tcPr>
          <w:p>
            <w:pPr>
              <w:pStyle w:val="78"/>
              <w:widowControl w:val="off"/>
            </w:pPr>
            <w:r>
              <w:rPr>
                <w:sz w:val="20"/>
              </w:rPr>
              <w:t>Best Model (Type)</w:t>
            </w:r>
          </w:p>
        </w:tc>
        <w:tc>
          <w:tcPr>
            <w:tcW w:w="797" w:type="dxa"/>
            <w:tcBorders>
              <w:top w:val="single" w:color="000000" w:sz="3"/>
              <w:left w:val="single" w:color="000000" w:sz="3"/>
              <w:bottom w:val="single" w:color="000000" w:sz="3"/>
              <w:right w:val="single" w:color="000000" w:sz="3"/>
            </w:tcBorders>
            <w:vAlign w:val="center"/>
          </w:tcPr>
          <w:p>
            <w:pPr>
              <w:pStyle w:val="79"/>
              <w:widowControl w:val="off"/>
            </w:pPr>
            <w:r>
              <w:rPr>
                <w:sz w:val="20"/>
              </w:rPr>
              <w:t>Pooled R^2</w:t>
            </w:r>
          </w:p>
        </w:tc>
        <w:tc>
          <w:tcPr>
            <w:tcW w:w="910" w:type="dxa"/>
            <w:tcBorders>
              <w:top w:val="single" w:color="000000" w:sz="3"/>
              <w:left w:val="single" w:color="000000" w:sz="3"/>
              <w:bottom w:val="single" w:color="000000" w:sz="3"/>
              <w:right w:val="single" w:color="000000" w:sz="3"/>
            </w:tcBorders>
            <w:vAlign w:val="center"/>
          </w:tcPr>
          <w:p>
            <w:pPr>
              <w:pStyle w:val="79"/>
              <w:widowControl w:val="off"/>
            </w:pPr>
            <w:r>
              <w:rPr>
                <w:sz w:val="20"/>
              </w:rPr>
              <w:t>Median R^2</w:t>
            </w:r>
          </w:p>
        </w:tc>
      </w:tr>
      <w:tr>
        <w:trPr>
          <w:trHeight w:val="457"/>
        </w:trPr>
        <w:tc>
          <w:tcPr>
            <w:tcW w:w="684" w:type="dxa"/>
            <w:tcBorders>
              <w:top w:val="single" w:color="000000" w:sz="3"/>
              <w:left w:val="single" w:color="000000" w:sz="3"/>
              <w:bottom w:val="single" w:color="000000" w:sz="3"/>
              <w:right w:val="single" w:color="000000" w:sz="3"/>
            </w:tcBorders>
            <w:vAlign w:val="center"/>
          </w:tcPr>
          <w:p>
            <w:pPr>
              <w:pStyle w:val="80"/>
              <w:widowControl w:val="off"/>
            </w:pPr>
            <w:r>
              <w:rPr>
                <w:sz w:val="20"/>
              </w:rPr>
              <w:t>1d</w:t>
            </w:r>
          </w:p>
        </w:tc>
        <w:tc>
          <w:tcPr>
            <w:tcW w:w="1703" w:type="dxa"/>
            <w:tcBorders>
              <w:top w:val="single" w:color="000000" w:sz="3"/>
              <w:left w:val="single" w:color="000000" w:sz="3"/>
              <w:bottom w:val="single" w:color="000000" w:sz="3"/>
              <w:right w:val="single" w:color="000000" w:sz="3"/>
            </w:tcBorders>
            <w:vAlign w:val="center"/>
          </w:tcPr>
          <w:p>
            <w:pPr>
              <w:pStyle w:val="80"/>
              <w:widowControl w:val="off"/>
            </w:pPr>
            <w:r>
              <w:rPr>
                <w:sz w:val="20"/>
              </w:rPr>
              <w:t>LASSO(Linear)</w:t>
            </w:r>
          </w:p>
        </w:tc>
        <w:tc>
          <w:tcPr>
            <w:tcW w:w="797" w:type="dxa"/>
            <w:tcBorders>
              <w:top w:val="single" w:color="000000" w:sz="3"/>
              <w:left w:val="single" w:color="000000" w:sz="3"/>
              <w:bottom w:val="single" w:color="000000" w:sz="3"/>
              <w:right w:val="single" w:color="000000" w:sz="3"/>
            </w:tcBorders>
            <w:vAlign w:val="center"/>
          </w:tcPr>
          <w:p>
            <w:pPr>
              <w:pStyle w:val="81"/>
              <w:widowControl w:val="off"/>
            </w:pPr>
            <w:r>
              <w:rPr>
                <w:sz w:val="20"/>
              </w:rPr>
              <w:t>0.116</w:t>
            </w:r>
          </w:p>
        </w:tc>
        <w:tc>
          <w:tcPr>
            <w:tcW w:w="910" w:type="dxa"/>
            <w:tcBorders>
              <w:top w:val="single" w:color="000000" w:sz="3"/>
              <w:left w:val="single" w:color="000000" w:sz="3"/>
              <w:bottom w:val="single" w:color="000000" w:sz="3"/>
              <w:right w:val="single" w:color="000000" w:sz="3"/>
            </w:tcBorders>
            <w:vAlign w:val="center"/>
          </w:tcPr>
          <w:p>
            <w:pPr>
              <w:pStyle w:val="81"/>
              <w:widowControl w:val="off"/>
            </w:pPr>
            <w:r>
              <w:rPr>
                <w:sz w:val="20"/>
              </w:rPr>
              <w:t>0.019 (WEns)</w:t>
            </w:r>
          </w:p>
        </w:tc>
      </w:tr>
      <w:tr>
        <w:trPr>
          <w:trHeight w:val="456"/>
        </w:trPr>
        <w:tc>
          <w:tcPr>
            <w:tcW w:w="684" w:type="dxa"/>
            <w:tcBorders>
              <w:top w:val="single" w:color="000000" w:sz="3"/>
              <w:left w:val="single" w:color="000000" w:sz="3"/>
              <w:bottom w:val="single" w:color="000000" w:sz="3"/>
              <w:right w:val="single" w:color="000000" w:sz="3"/>
            </w:tcBorders>
            <w:vAlign w:val="center"/>
          </w:tcPr>
          <w:p>
            <w:pPr>
              <w:pStyle w:val="80"/>
              <w:widowControl w:val="off"/>
            </w:pPr>
            <w:r>
              <w:rPr>
                <w:sz w:val="20"/>
              </w:rPr>
              <w:t>5d</w:t>
            </w:r>
          </w:p>
        </w:tc>
        <w:tc>
          <w:tcPr>
            <w:tcW w:w="1703" w:type="dxa"/>
            <w:tcBorders>
              <w:top w:val="single" w:color="000000" w:sz="3"/>
              <w:left w:val="single" w:color="000000" w:sz="3"/>
              <w:bottom w:val="single" w:color="000000" w:sz="3"/>
              <w:right w:val="single" w:color="000000" w:sz="3"/>
            </w:tcBorders>
            <w:vAlign w:val="center"/>
          </w:tcPr>
          <w:p>
            <w:pPr>
              <w:pStyle w:val="80"/>
              <w:widowControl w:val="off"/>
            </w:pPr>
            <w:r>
              <w:rPr>
                <w:sz w:val="20"/>
              </w:rPr>
              <w:t>Ridge(Linear)</w:t>
            </w:r>
          </w:p>
        </w:tc>
        <w:tc>
          <w:tcPr>
            <w:tcW w:w="797" w:type="dxa"/>
            <w:tcBorders>
              <w:top w:val="single" w:color="000000" w:sz="3"/>
              <w:left w:val="single" w:color="000000" w:sz="3"/>
              <w:bottom w:val="single" w:color="000000" w:sz="3"/>
              <w:right w:val="single" w:color="000000" w:sz="3"/>
            </w:tcBorders>
            <w:vAlign w:val="center"/>
          </w:tcPr>
          <w:p>
            <w:pPr>
              <w:pStyle w:val="81"/>
              <w:widowControl w:val="off"/>
            </w:pPr>
            <w:r>
              <w:rPr>
                <w:sz w:val="20"/>
              </w:rPr>
              <w:t>0.621</w:t>
            </w:r>
          </w:p>
        </w:tc>
        <w:tc>
          <w:tcPr>
            <w:tcW w:w="910" w:type="dxa"/>
            <w:tcBorders>
              <w:top w:val="single" w:color="000000" w:sz="3"/>
              <w:left w:val="single" w:color="000000" w:sz="3"/>
              <w:bottom w:val="single" w:color="000000" w:sz="3"/>
              <w:right w:val="single" w:color="000000" w:sz="3"/>
            </w:tcBorders>
            <w:vAlign w:val="center"/>
          </w:tcPr>
          <w:p>
            <w:pPr>
              <w:pStyle w:val="81"/>
              <w:widowControl w:val="off"/>
            </w:pPr>
            <w:r>
              <w:rPr>
                <w:sz w:val="20"/>
              </w:rPr>
              <w:t>0.203 (WEns)</w:t>
            </w:r>
          </w:p>
        </w:tc>
      </w:tr>
      <w:tr>
        <w:trPr>
          <w:trHeight w:val="765"/>
        </w:trPr>
        <w:tc>
          <w:tcPr>
            <w:tcW w:w="684" w:type="dxa"/>
            <w:tcBorders>
              <w:top w:val="single" w:color="000000" w:sz="3"/>
              <w:left w:val="single" w:color="000000" w:sz="3"/>
              <w:bottom w:val="single" w:color="000000" w:sz="3"/>
              <w:right w:val="single" w:color="000000" w:sz="3"/>
            </w:tcBorders>
            <w:vAlign w:val="center"/>
          </w:tcPr>
          <w:p>
            <w:pPr>
              <w:pStyle w:val="80"/>
              <w:widowControl w:val="off"/>
            </w:pPr>
            <w:r>
              <w:rPr>
                <w:sz w:val="20"/>
              </w:rPr>
              <w:t>22d</w:t>
            </w:r>
          </w:p>
        </w:tc>
        <w:tc>
          <w:tcPr>
            <w:tcW w:w="1703" w:type="dxa"/>
            <w:tcBorders>
              <w:top w:val="single" w:color="000000" w:sz="3"/>
              <w:left w:val="single" w:color="000000" w:sz="3"/>
              <w:bottom w:val="single" w:color="000000" w:sz="3"/>
              <w:right w:val="single" w:color="000000" w:sz="3"/>
            </w:tcBorders>
            <w:vAlign w:val="center"/>
          </w:tcPr>
          <w:p>
            <w:pPr>
              <w:pStyle w:val="80"/>
              <w:widowControl w:val="off"/>
            </w:pPr>
            <w:r>
              <w:rPr>
                <w:sz w:val="20"/>
              </w:rPr>
              <w:t>ElasticNet-59/ WEns (Linear/Ensemble)</w:t>
            </w:r>
          </w:p>
        </w:tc>
        <w:tc>
          <w:tcPr>
            <w:tcW w:w="797" w:type="dxa"/>
            <w:tcBorders>
              <w:top w:val="single" w:color="000000" w:sz="3"/>
              <w:left w:val="single" w:color="000000" w:sz="3"/>
              <w:bottom w:val="single" w:color="000000" w:sz="3"/>
              <w:right w:val="single" w:color="000000" w:sz="3"/>
            </w:tcBorders>
            <w:vAlign w:val="center"/>
          </w:tcPr>
          <w:p>
            <w:pPr>
              <w:pStyle w:val="81"/>
              <w:widowControl w:val="off"/>
            </w:pPr>
            <w:r>
              <w:rPr>
                <w:sz w:val="20"/>
              </w:rPr>
              <w:t>0.807/</w:t>
            </w:r>
            <w:r>
              <w:br/>
              <w:rPr>
                <w:sz w:val="20"/>
              </w:rPr>
              <w:t>0.803</w:t>
            </w:r>
          </w:p>
        </w:tc>
        <w:tc>
          <w:tcPr>
            <w:tcW w:w="910" w:type="dxa"/>
            <w:tcBorders>
              <w:top w:val="single" w:color="000000" w:sz="3"/>
              <w:left w:val="single" w:color="000000" w:sz="3"/>
              <w:bottom w:val="single" w:color="000000" w:sz="3"/>
              <w:right w:val="single" w:color="000000" w:sz="3"/>
            </w:tcBorders>
            <w:vAlign w:val="center"/>
          </w:tcPr>
          <w:p>
            <w:pPr>
              <w:pStyle w:val="81"/>
              <w:widowControl w:val="off"/>
            </w:pPr>
            <w:r>
              <w:rPr>
                <w:sz w:val="20"/>
              </w:rPr>
              <w:t>0.097/ 0.215</w:t>
            </w:r>
          </w:p>
        </w:tc>
      </w:tr>
      <w:tr>
        <w:trPr>
          <w:trHeight w:val="278"/>
        </w:trPr>
        <w:tc>
          <w:tcPr>
            <w:tcW w:w="684" w:type="dxa"/>
            <w:tcBorders>
              <w:top w:val="single" w:color="000000" w:sz="3"/>
              <w:left w:val="single" w:color="000000" w:sz="3"/>
              <w:bottom w:val="single" w:color="000000" w:sz="3"/>
              <w:right w:val="single" w:color="000000" w:sz="3"/>
            </w:tcBorders>
            <w:vAlign w:val="center"/>
          </w:tcPr>
          <w:p>
            <w:pPr>
              <w:pStyle w:val="80"/>
              <w:widowControl w:val="off"/>
            </w:pPr>
            <w:r>
              <w:rPr>
                <w:sz w:val="20"/>
              </w:rPr>
              <w:t>60d</w:t>
            </w:r>
          </w:p>
        </w:tc>
        <w:tc>
          <w:tcPr>
            <w:tcW w:w="1703" w:type="dxa"/>
            <w:tcBorders>
              <w:top w:val="single" w:color="000000" w:sz="3"/>
              <w:left w:val="single" w:color="000000" w:sz="3"/>
              <w:bottom w:val="single" w:color="000000" w:sz="3"/>
              <w:right w:val="single" w:color="000000" w:sz="3"/>
            </w:tcBorders>
            <w:vAlign w:val="center"/>
          </w:tcPr>
          <w:p>
            <w:pPr>
              <w:pStyle w:val="80"/>
              <w:widowControl w:val="off"/>
            </w:pPr>
            <w:r>
              <w:rPr>
                <w:sz w:val="20"/>
              </w:rPr>
              <w:t>BiLSTM-A (DL)</w:t>
            </w:r>
          </w:p>
        </w:tc>
        <w:tc>
          <w:tcPr>
            <w:tcW w:w="797" w:type="dxa"/>
            <w:tcBorders>
              <w:top w:val="single" w:color="000000" w:sz="3"/>
              <w:left w:val="single" w:color="000000" w:sz="3"/>
              <w:bottom w:val="single" w:color="000000" w:sz="3"/>
              <w:right w:val="single" w:color="000000" w:sz="3"/>
            </w:tcBorders>
            <w:vAlign w:val="center"/>
          </w:tcPr>
          <w:p>
            <w:pPr>
              <w:pStyle w:val="81"/>
              <w:widowControl w:val="off"/>
            </w:pPr>
            <w:r>
              <w:rPr>
                <w:sz w:val="20"/>
              </w:rPr>
              <w:t>0.796</w:t>
            </w:r>
          </w:p>
        </w:tc>
        <w:tc>
          <w:tcPr>
            <w:tcW w:w="910" w:type="dxa"/>
            <w:tcBorders>
              <w:top w:val="single" w:color="000000" w:sz="3"/>
              <w:left w:val="single" w:color="000000" w:sz="3"/>
              <w:bottom w:val="single" w:color="000000" w:sz="3"/>
              <w:right w:val="single" w:color="000000" w:sz="3"/>
            </w:tcBorders>
            <w:vAlign w:val="center"/>
          </w:tcPr>
          <w:p>
            <w:pPr>
              <w:pStyle w:val="81"/>
              <w:widowControl w:val="off"/>
            </w:pPr>
            <w:r>
              <w:rPr>
                <w:sz w:val="20"/>
              </w:rPr>
              <w:t>0.15</w:t>
            </w:r>
          </w:p>
        </w:tc>
      </w:tr>
      <w:tr>
        <w:trPr>
          <w:trHeight w:val="278"/>
        </w:trPr>
        <w:tc>
          <w:tcPr>
            <w:tcW w:w="684" w:type="dxa"/>
            <w:tcBorders>
              <w:top w:val="single" w:color="000000" w:sz="3"/>
              <w:left w:val="single" w:color="000000" w:sz="3"/>
              <w:bottom w:val="single" w:color="000000" w:sz="3"/>
              <w:right w:val="single" w:color="000000" w:sz="3"/>
            </w:tcBorders>
            <w:vAlign w:val="center"/>
          </w:tcPr>
          <w:p>
            <w:pPr>
              <w:pStyle w:val="80"/>
              <w:widowControl w:val="off"/>
            </w:pPr>
            <w:r>
              <w:rPr>
                <w:sz w:val="20"/>
              </w:rPr>
              <w:t>180d</w:t>
            </w:r>
          </w:p>
        </w:tc>
        <w:tc>
          <w:tcPr>
            <w:tcW w:w="1703" w:type="dxa"/>
            <w:tcBorders>
              <w:top w:val="single" w:color="000000" w:sz="3"/>
              <w:left w:val="single" w:color="000000" w:sz="3"/>
              <w:bottom w:val="single" w:color="000000" w:sz="3"/>
              <w:right w:val="single" w:color="000000" w:sz="3"/>
            </w:tcBorders>
            <w:vAlign w:val="center"/>
          </w:tcPr>
          <w:p>
            <w:pPr>
              <w:pStyle w:val="80"/>
              <w:widowControl w:val="off"/>
            </w:pPr>
            <w:r>
              <w:rPr>
                <w:sz w:val="20"/>
              </w:rPr>
              <w:t>RF (Tree)</w:t>
            </w:r>
          </w:p>
        </w:tc>
        <w:tc>
          <w:tcPr>
            <w:tcW w:w="797" w:type="dxa"/>
            <w:tcBorders>
              <w:top w:val="single" w:color="000000" w:sz="3"/>
              <w:left w:val="single" w:color="000000" w:sz="3"/>
              <w:bottom w:val="single" w:color="000000" w:sz="3"/>
              <w:right w:val="single" w:color="000000" w:sz="3"/>
            </w:tcBorders>
            <w:vAlign w:val="center"/>
          </w:tcPr>
          <w:p>
            <w:pPr>
              <w:pStyle w:val="81"/>
              <w:widowControl w:val="off"/>
            </w:pPr>
            <w:r>
              <w:rPr>
                <w:sz w:val="20"/>
              </w:rPr>
              <w:t>0.719</w:t>
            </w:r>
          </w:p>
        </w:tc>
        <w:tc>
          <w:tcPr>
            <w:tcW w:w="910" w:type="dxa"/>
            <w:tcBorders>
              <w:top w:val="single" w:color="000000" w:sz="3"/>
              <w:left w:val="single" w:color="000000" w:sz="3"/>
              <w:bottom w:val="single" w:color="000000" w:sz="3"/>
              <w:right w:val="single" w:color="000000" w:sz="3"/>
            </w:tcBorders>
            <w:vAlign w:val="center"/>
          </w:tcPr>
          <w:p>
            <w:pPr>
              <w:pStyle w:val="81"/>
              <w:widowControl w:val="off"/>
            </w:pPr>
            <w:r>
              <w:rPr>
                <w:sz w:val="20"/>
              </w:rPr>
              <w:t>-0.456</w:t>
            </w:r>
          </w:p>
        </w:tc>
      </w:tr>
      <w:tr>
        <w:trPr>
          <w:trHeight w:val="276"/>
        </w:trPr>
        <w:tc>
          <w:tcPr>
            <w:tcW w:w="684" w:type="dxa"/>
            <w:tcBorders>
              <w:top w:val="single" w:color="000000" w:sz="3"/>
              <w:left w:val="single" w:color="000000" w:sz="3"/>
              <w:bottom w:val="single" w:color="000000" w:sz="3"/>
              <w:right w:val="single" w:color="000000" w:sz="3"/>
            </w:tcBorders>
            <w:vAlign w:val="center"/>
          </w:tcPr>
          <w:p>
            <w:pPr>
              <w:pStyle w:val="80"/>
              <w:widowControl w:val="off"/>
            </w:pPr>
            <w:r>
              <w:rPr>
                <w:sz w:val="20"/>
              </w:rPr>
              <w:t>252d</w:t>
            </w:r>
          </w:p>
        </w:tc>
        <w:tc>
          <w:tcPr>
            <w:tcW w:w="1703" w:type="dxa"/>
            <w:tcBorders>
              <w:top w:val="single" w:color="000000" w:sz="3"/>
              <w:left w:val="single" w:color="000000" w:sz="3"/>
              <w:bottom w:val="single" w:color="000000" w:sz="3"/>
              <w:right w:val="single" w:color="000000" w:sz="3"/>
            </w:tcBorders>
            <w:vAlign w:val="center"/>
          </w:tcPr>
          <w:p>
            <w:pPr>
              <w:pStyle w:val="80"/>
              <w:widowControl w:val="off"/>
            </w:pPr>
            <w:r>
              <w:rPr>
                <w:sz w:val="20"/>
              </w:rPr>
              <w:t>RF (Tree)</w:t>
            </w:r>
          </w:p>
        </w:tc>
        <w:tc>
          <w:tcPr>
            <w:tcW w:w="797" w:type="dxa"/>
            <w:tcBorders>
              <w:top w:val="single" w:color="000000" w:sz="3"/>
              <w:left w:val="single" w:color="000000" w:sz="3"/>
              <w:bottom w:val="single" w:color="000000" w:sz="3"/>
              <w:right w:val="single" w:color="000000" w:sz="3"/>
            </w:tcBorders>
            <w:vAlign w:val="center"/>
          </w:tcPr>
          <w:p>
            <w:pPr>
              <w:pStyle w:val="81"/>
              <w:widowControl w:val="off"/>
            </w:pPr>
            <w:r>
              <w:rPr>
                <w:sz w:val="20"/>
              </w:rPr>
              <w:t>0.705</w:t>
            </w:r>
          </w:p>
        </w:tc>
        <w:tc>
          <w:tcPr>
            <w:tcW w:w="910" w:type="dxa"/>
            <w:tcBorders>
              <w:top w:val="single" w:color="000000" w:sz="3"/>
              <w:left w:val="single" w:color="000000" w:sz="3"/>
              <w:bottom w:val="single" w:color="000000" w:sz="3"/>
              <w:right w:val="single" w:color="000000" w:sz="3"/>
            </w:tcBorders>
            <w:vAlign w:val="center"/>
          </w:tcPr>
          <w:p>
            <w:pPr>
              <w:pStyle w:val="81"/>
              <w:widowControl w:val="off"/>
            </w:pPr>
            <w:r>
              <w:rPr>
                <w:sz w:val="20"/>
              </w:rPr>
              <w:t>-0.482</w:t>
            </w:r>
          </w:p>
        </w:tc>
      </w:tr>
    </w:tbl>
    <w:p>
      <w:pPr>
        <w:pStyle w:val="0"/>
        <w:widowControl w:val="off"/>
      </w:pPr>
    </w:p>
    <w:p>
      <w:pPr>
        <w:pStyle w:val="0"/>
        <w:widowControl w:val="off"/>
      </w:pPr>
      <w:r>
        <w:rPr/>
        <w:t>4.3 22거래일 지평에서의 주요 결과</w:t>
      </w:r>
    </w:p>
    <w:p>
      <w:pPr>
        <w:pStyle w:val="0"/>
        <w:widowControl w:val="off"/>
        <w:rPr/>
      </w:pPr>
    </w:p>
    <w:p>
      <w:pPr>
        <w:pStyle w:val="0"/>
        <w:widowControl w:val="off"/>
      </w:pPr>
      <w:r>
        <w:rPr/>
        <w:t>22거래일 예측에서 대표적인 최고 성능 모델은 WEns(Ridge 70% + XGBoost 30% 가중 앙상블, 37피처)이며, 풀링 R^2 0.803, 중위 R^2 0.215를 기록하였다.</w:t>
      </w:r>
    </w:p>
    <w:tbl>
      <w:tblPr>
        <w:tblOverlap w:val="never"/>
        <w:tblW w:w="8574"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1429"/>
        <w:gridCol w:w="1430"/>
        <w:gridCol w:w="1429"/>
        <w:gridCol w:w="1430"/>
        <w:gridCol w:w="1429"/>
        <w:gridCol w:w="1427"/>
      </w:tblGrid>
      <w:tr>
        <w:trPr>
          <w:trHeight w:val="456"/>
        </w:trPr>
        <w:tc>
          <w:tcPr>
            <w:tcW w:w="1429" w:type="dxa"/>
            <w:tcBorders>
              <w:top w:val="none" w:color="ffffff" w:sz="2"/>
              <w:left w:val="none" w:color="ffffff" w:sz="2"/>
              <w:bottom w:val="single" w:color="000000" w:sz="7"/>
              <w:right w:val="none" w:color="ffffff" w:sz="2"/>
            </w:tcBorders>
            <w:vAlign w:val="center"/>
          </w:tcPr>
          <w:p>
            <w:pPr>
              <w:pStyle w:val="78"/>
              <w:widowControl w:val="off"/>
            </w:pPr>
            <w:r>
              <w:rPr>
                <w:sz w:val="20"/>
              </w:rPr>
              <w:t>h</w:t>
            </w:r>
          </w:p>
        </w:tc>
        <w:tc>
          <w:tcPr>
            <w:tcW w:w="1430" w:type="dxa"/>
            <w:tcBorders>
              <w:top w:val="none" w:color="ffffff" w:sz="2"/>
              <w:left w:val="none" w:color="ffffff" w:sz="2"/>
              <w:bottom w:val="single" w:color="000000" w:sz="7"/>
              <w:right w:val="none" w:color="ffffff" w:sz="2"/>
            </w:tcBorders>
            <w:vAlign w:val="center"/>
          </w:tcPr>
          <w:p>
            <w:pPr>
              <w:pStyle w:val="79"/>
              <w:widowControl w:val="off"/>
            </w:pPr>
            <w:r>
              <w:rPr>
                <w:sz w:val="20"/>
              </w:rPr>
              <w:t>Pooled R^2</w:t>
            </w:r>
          </w:p>
        </w:tc>
        <w:tc>
          <w:tcPr>
            <w:tcW w:w="1429" w:type="dxa"/>
            <w:tcBorders>
              <w:top w:val="none" w:color="ffffff" w:sz="2"/>
              <w:left w:val="none" w:color="ffffff" w:sz="2"/>
              <w:bottom w:val="single" w:color="000000" w:sz="7"/>
              <w:right w:val="none" w:color="ffffff" w:sz="2"/>
            </w:tcBorders>
            <w:vAlign w:val="center"/>
          </w:tcPr>
          <w:p>
            <w:pPr>
              <w:pStyle w:val="79"/>
              <w:widowControl w:val="off"/>
            </w:pPr>
            <w:r>
              <w:rPr>
                <w:sz w:val="20"/>
              </w:rPr>
              <w:t>RMSE</w:t>
            </w:r>
          </w:p>
        </w:tc>
        <w:tc>
          <w:tcPr>
            <w:tcW w:w="1430" w:type="dxa"/>
            <w:tcBorders>
              <w:top w:val="none" w:color="ffffff" w:sz="2"/>
              <w:left w:val="none" w:color="ffffff" w:sz="2"/>
              <w:bottom w:val="single" w:color="000000" w:sz="7"/>
              <w:right w:val="none" w:color="ffffff" w:sz="2"/>
            </w:tcBorders>
            <w:vAlign w:val="center"/>
          </w:tcPr>
          <w:p>
            <w:pPr>
              <w:pStyle w:val="79"/>
              <w:widowControl w:val="off"/>
            </w:pPr>
            <w:r>
              <w:rPr>
                <w:sz w:val="20"/>
              </w:rPr>
              <w:t>MAE</w:t>
            </w:r>
          </w:p>
        </w:tc>
        <w:tc>
          <w:tcPr>
            <w:tcW w:w="1429" w:type="dxa"/>
            <w:tcBorders>
              <w:top w:val="none" w:color="ffffff" w:sz="2"/>
              <w:left w:val="none" w:color="ffffff" w:sz="2"/>
              <w:bottom w:val="single" w:color="000000" w:sz="7"/>
              <w:right w:val="none" w:color="ffffff" w:sz="2"/>
            </w:tcBorders>
            <w:vAlign w:val="center"/>
          </w:tcPr>
          <w:p>
            <w:pPr>
              <w:pStyle w:val="79"/>
              <w:widowControl w:val="off"/>
            </w:pPr>
            <w:r>
              <w:rPr>
                <w:sz w:val="20"/>
              </w:rPr>
              <w:t>QLIKE</w:t>
            </w:r>
          </w:p>
        </w:tc>
        <w:tc>
          <w:tcPr>
            <w:tcW w:w="1427" w:type="dxa"/>
            <w:tcBorders>
              <w:top w:val="none" w:color="ffffff" w:sz="2"/>
              <w:left w:val="none" w:color="ffffff" w:sz="2"/>
              <w:bottom w:val="single" w:color="000000" w:sz="7"/>
              <w:right w:val="none" w:color="ffffff" w:sz="2"/>
            </w:tcBorders>
            <w:vAlign w:val="center"/>
          </w:tcPr>
          <w:p>
            <w:pPr>
              <w:pStyle w:val="79"/>
              <w:widowControl w:val="off"/>
            </w:pPr>
            <w:r>
              <w:rPr>
                <w:sz w:val="20"/>
              </w:rPr>
              <w:t>Median R^2</w:t>
            </w:r>
          </w:p>
        </w:tc>
      </w:tr>
      <w:tr>
        <w:trPr>
          <w:trHeight w:val="257"/>
        </w:trPr>
        <w:tc>
          <w:tcPr>
            <w:tcW w:w="1429" w:type="dxa"/>
            <w:tcBorders>
              <w:top w:val="none" w:color="ffffff" w:sz="2"/>
              <w:left w:val="none" w:color="ffffff" w:sz="2"/>
              <w:bottom w:val="none" w:color="ffffff" w:sz="2"/>
              <w:right w:val="none" w:color="ffffff" w:sz="2"/>
            </w:tcBorders>
            <w:vAlign w:val="center"/>
          </w:tcPr>
          <w:p>
            <w:pPr>
              <w:pStyle w:val="80"/>
              <w:widowControl w:val="off"/>
              <w:wordWrap w:val="0"/>
              <w:jc w:val="both"/>
            </w:pPr>
            <w:r>
              <w:rPr>
                <w:sz w:val="20"/>
              </w:rPr>
              <w:t>1d</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0.1171</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2.492</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1.7489</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3.4463</w:t>
            </w:r>
          </w:p>
        </w:tc>
        <w:tc>
          <w:tcPr>
            <w:tcW w:w="1427"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0.0238</w:t>
            </w:r>
          </w:p>
        </w:tc>
      </w:tr>
      <w:tr>
        <w:trPr>
          <w:trHeight w:val="256"/>
        </w:trPr>
        <w:tc>
          <w:tcPr>
            <w:tcW w:w="1429" w:type="dxa"/>
            <w:tcBorders>
              <w:top w:val="none" w:color="ffffff" w:sz="2"/>
              <w:left w:val="none" w:color="ffffff" w:sz="2"/>
              <w:bottom w:val="none" w:color="ffffff" w:sz="2"/>
              <w:right w:val="none" w:color="ffffff" w:sz="2"/>
            </w:tcBorders>
            <w:vAlign w:val="center"/>
          </w:tcPr>
          <w:p>
            <w:pPr>
              <w:pStyle w:val="80"/>
              <w:widowControl w:val="off"/>
              <w:wordWrap w:val="0"/>
              <w:jc w:val="both"/>
            </w:pPr>
            <w:r>
              <w:rPr>
                <w:sz w:val="20"/>
              </w:rPr>
              <w:t>5d</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0.6265</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0.7464</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0.5891</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0.3203</w:t>
            </w:r>
          </w:p>
        </w:tc>
        <w:tc>
          <w:tcPr>
            <w:tcW w:w="1427"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0.1825</w:t>
            </w:r>
          </w:p>
        </w:tc>
      </w:tr>
      <w:tr>
        <w:trPr>
          <w:trHeight w:val="256"/>
        </w:trPr>
        <w:tc>
          <w:tcPr>
            <w:tcW w:w="1429" w:type="dxa"/>
            <w:tcBorders>
              <w:top w:val="none" w:color="ffffff" w:sz="2"/>
              <w:left w:val="none" w:color="ffffff" w:sz="2"/>
              <w:bottom w:val="none" w:color="ffffff" w:sz="2"/>
              <w:right w:val="none" w:color="ffffff" w:sz="2"/>
            </w:tcBorders>
            <w:vAlign w:val="center"/>
          </w:tcPr>
          <w:p>
            <w:pPr>
              <w:pStyle w:val="83"/>
              <w:widowControl w:val="off"/>
              <w:wordWrap w:val="0"/>
              <w:jc w:val="both"/>
            </w:pPr>
            <w:r>
              <w:rPr>
                <w:sz w:val="20"/>
              </w:rPr>
              <w:t>22d</w:t>
            </w:r>
          </w:p>
        </w:tc>
        <w:tc>
          <w:tcPr>
            <w:tcW w:w="1430" w:type="dxa"/>
            <w:tcBorders>
              <w:top w:val="none" w:color="ffffff" w:sz="2"/>
              <w:left w:val="none" w:color="ffffff" w:sz="2"/>
              <w:bottom w:val="none" w:color="ffffff" w:sz="2"/>
              <w:right w:val="none" w:color="ffffff" w:sz="2"/>
            </w:tcBorders>
            <w:vAlign w:val="center"/>
          </w:tcPr>
          <w:p>
            <w:pPr>
              <w:pStyle w:val="84"/>
              <w:widowControl w:val="off"/>
              <w:wordWrap w:val="0"/>
              <w:jc w:val="both"/>
            </w:pPr>
            <w:r>
              <w:rPr>
                <w:sz w:val="20"/>
              </w:rPr>
              <w:t>0.797</w:t>
            </w:r>
          </w:p>
        </w:tc>
        <w:tc>
          <w:tcPr>
            <w:tcW w:w="1429" w:type="dxa"/>
            <w:tcBorders>
              <w:top w:val="none" w:color="ffffff" w:sz="2"/>
              <w:left w:val="none" w:color="ffffff" w:sz="2"/>
              <w:bottom w:val="none" w:color="ffffff" w:sz="2"/>
              <w:right w:val="none" w:color="ffffff" w:sz="2"/>
            </w:tcBorders>
            <w:vAlign w:val="center"/>
          </w:tcPr>
          <w:p>
            <w:pPr>
              <w:pStyle w:val="84"/>
              <w:widowControl w:val="off"/>
              <w:wordWrap w:val="0"/>
              <w:jc w:val="both"/>
            </w:pPr>
            <w:r>
              <w:rPr>
                <w:sz w:val="20"/>
              </w:rPr>
              <w:t>0.4677</w:t>
            </w:r>
          </w:p>
        </w:tc>
        <w:tc>
          <w:tcPr>
            <w:tcW w:w="1430" w:type="dxa"/>
            <w:tcBorders>
              <w:top w:val="none" w:color="ffffff" w:sz="2"/>
              <w:left w:val="none" w:color="ffffff" w:sz="2"/>
              <w:bottom w:val="none" w:color="ffffff" w:sz="2"/>
              <w:right w:val="none" w:color="ffffff" w:sz="2"/>
            </w:tcBorders>
            <w:vAlign w:val="center"/>
          </w:tcPr>
          <w:p>
            <w:pPr>
              <w:pStyle w:val="84"/>
              <w:widowControl w:val="off"/>
              <w:wordWrap w:val="0"/>
              <w:jc w:val="both"/>
            </w:pPr>
            <w:r>
              <w:rPr>
                <w:sz w:val="20"/>
              </w:rPr>
              <w:t>0.3753</w:t>
            </w:r>
          </w:p>
        </w:tc>
        <w:tc>
          <w:tcPr>
            <w:tcW w:w="1429" w:type="dxa"/>
            <w:tcBorders>
              <w:top w:val="none" w:color="ffffff" w:sz="2"/>
              <w:left w:val="none" w:color="ffffff" w:sz="2"/>
              <w:bottom w:val="none" w:color="ffffff" w:sz="2"/>
              <w:right w:val="none" w:color="ffffff" w:sz="2"/>
            </w:tcBorders>
            <w:vAlign w:val="center"/>
          </w:tcPr>
          <w:p>
            <w:pPr>
              <w:pStyle w:val="84"/>
              <w:widowControl w:val="off"/>
              <w:wordWrap w:val="0"/>
              <w:jc w:val="both"/>
            </w:pPr>
            <w:r>
              <w:rPr>
                <w:sz w:val="20"/>
              </w:rPr>
              <w:t>0.1279</w:t>
            </w:r>
          </w:p>
        </w:tc>
        <w:tc>
          <w:tcPr>
            <w:tcW w:w="1427" w:type="dxa"/>
            <w:tcBorders>
              <w:top w:val="none" w:color="ffffff" w:sz="2"/>
              <w:left w:val="none" w:color="ffffff" w:sz="2"/>
              <w:bottom w:val="none" w:color="ffffff" w:sz="2"/>
              <w:right w:val="none" w:color="ffffff" w:sz="2"/>
            </w:tcBorders>
            <w:vAlign w:val="center"/>
          </w:tcPr>
          <w:p>
            <w:pPr>
              <w:pStyle w:val="84"/>
              <w:widowControl w:val="off"/>
              <w:wordWrap w:val="0"/>
              <w:jc w:val="both"/>
            </w:pPr>
            <w:r>
              <w:rPr>
                <w:sz w:val="20"/>
              </w:rPr>
              <w:t>0.1753</w:t>
            </w:r>
          </w:p>
        </w:tc>
      </w:tr>
      <w:tr>
        <w:trPr>
          <w:trHeight w:val="257"/>
        </w:trPr>
        <w:tc>
          <w:tcPr>
            <w:tcW w:w="1429" w:type="dxa"/>
            <w:tcBorders>
              <w:top w:val="none" w:color="ffffff" w:sz="2"/>
              <w:left w:val="none" w:color="ffffff" w:sz="2"/>
              <w:bottom w:val="none" w:color="ffffff" w:sz="2"/>
              <w:right w:val="none" w:color="ffffff" w:sz="2"/>
            </w:tcBorders>
            <w:vAlign w:val="center"/>
          </w:tcPr>
          <w:p>
            <w:pPr>
              <w:pStyle w:val="80"/>
              <w:widowControl w:val="off"/>
              <w:wordWrap w:val="0"/>
              <w:jc w:val="both"/>
            </w:pPr>
            <w:r>
              <w:rPr>
                <w:sz w:val="20"/>
              </w:rPr>
              <w:t>60d</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0.7924</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0.4521</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0.3548</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0.1246</w:t>
            </w:r>
          </w:p>
        </w:tc>
        <w:tc>
          <w:tcPr>
            <w:tcW w:w="1427"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-0.035</w:t>
            </w:r>
          </w:p>
        </w:tc>
      </w:tr>
      <w:tr>
        <w:trPr>
          <w:trHeight w:val="256"/>
        </w:trPr>
        <w:tc>
          <w:tcPr>
            <w:tcW w:w="1429" w:type="dxa"/>
            <w:tcBorders>
              <w:top w:val="none" w:color="ffffff" w:sz="2"/>
              <w:left w:val="none" w:color="ffffff" w:sz="2"/>
              <w:bottom w:val="none" w:color="ffffff" w:sz="2"/>
              <w:right w:val="none" w:color="ffffff" w:sz="2"/>
            </w:tcBorders>
            <w:vAlign w:val="center"/>
          </w:tcPr>
          <w:p>
            <w:pPr>
              <w:pStyle w:val="80"/>
              <w:widowControl w:val="off"/>
              <w:wordWrap w:val="0"/>
              <w:jc w:val="both"/>
            </w:pPr>
            <w:r>
              <w:rPr>
                <w:sz w:val="20"/>
              </w:rPr>
              <w:t>90d</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0.7756</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0.4626</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0.3668</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0.1311</w:t>
            </w:r>
          </w:p>
        </w:tc>
        <w:tc>
          <w:tcPr>
            <w:tcW w:w="1427"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-0.373</w:t>
            </w:r>
          </w:p>
        </w:tc>
      </w:tr>
      <w:tr>
        <w:trPr>
          <w:trHeight w:val="257"/>
        </w:trPr>
        <w:tc>
          <w:tcPr>
            <w:tcW w:w="1429" w:type="dxa"/>
            <w:tcBorders>
              <w:top w:val="none" w:color="ffffff" w:sz="2"/>
              <w:left w:val="none" w:color="ffffff" w:sz="2"/>
              <w:bottom w:val="none" w:color="ffffff" w:sz="2"/>
              <w:right w:val="none" w:color="ffffff" w:sz="2"/>
            </w:tcBorders>
            <w:vAlign w:val="center"/>
          </w:tcPr>
          <w:p>
            <w:pPr>
              <w:pStyle w:val="80"/>
              <w:widowControl w:val="off"/>
              <w:wordWrap w:val="0"/>
              <w:jc w:val="both"/>
            </w:pPr>
            <w:r>
              <w:rPr>
                <w:sz w:val="20"/>
              </w:rPr>
              <w:t>120d</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0.7586</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0.4744</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0.3788</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0.1394</w:t>
            </w:r>
          </w:p>
        </w:tc>
        <w:tc>
          <w:tcPr>
            <w:tcW w:w="1427"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-0.7204</w:t>
            </w:r>
          </w:p>
        </w:tc>
      </w:tr>
      <w:tr>
        <w:trPr>
          <w:trHeight w:val="256"/>
        </w:trPr>
        <w:tc>
          <w:tcPr>
            <w:tcW w:w="1429" w:type="dxa"/>
            <w:tcBorders>
              <w:top w:val="none" w:color="ffffff" w:sz="2"/>
              <w:left w:val="none" w:color="ffffff" w:sz="2"/>
              <w:bottom w:val="none" w:color="ffffff" w:sz="2"/>
              <w:right w:val="none" w:color="ffffff" w:sz="2"/>
            </w:tcBorders>
            <w:vAlign w:val="center"/>
          </w:tcPr>
          <w:p>
            <w:pPr>
              <w:pStyle w:val="80"/>
              <w:widowControl w:val="off"/>
              <w:wordWrap w:val="0"/>
              <w:jc w:val="both"/>
            </w:pPr>
            <w:r>
              <w:rPr>
                <w:sz w:val="20"/>
              </w:rPr>
              <w:t>180d</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0.7476</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0.4778</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0.3808</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0.1421</w:t>
            </w:r>
          </w:p>
        </w:tc>
        <w:tc>
          <w:tcPr>
            <w:tcW w:w="1427"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-0.9055</w:t>
            </w:r>
          </w:p>
        </w:tc>
      </w:tr>
      <w:tr>
        <w:trPr>
          <w:trHeight w:val="256"/>
        </w:trPr>
        <w:tc>
          <w:tcPr>
            <w:tcW w:w="1429" w:type="dxa"/>
            <w:tcBorders>
              <w:top w:val="none" w:color="ffffff" w:sz="2"/>
              <w:left w:val="none" w:color="ffffff" w:sz="2"/>
              <w:bottom w:val="none" w:color="ffffff" w:sz="2"/>
              <w:right w:val="none" w:color="ffffff" w:sz="2"/>
            </w:tcBorders>
            <w:vAlign w:val="center"/>
          </w:tcPr>
          <w:p>
            <w:pPr>
              <w:pStyle w:val="80"/>
              <w:widowControl w:val="off"/>
              <w:wordWrap w:val="0"/>
              <w:jc w:val="both"/>
            </w:pPr>
            <w:r>
              <w:rPr>
                <w:sz w:val="20"/>
              </w:rPr>
              <w:t>252d</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0.7077</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0.5065</w:t>
            </w:r>
          </w:p>
        </w:tc>
        <w:tc>
          <w:tcPr>
            <w:tcW w:w="1430"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0.4078</w:t>
            </w:r>
          </w:p>
        </w:tc>
        <w:tc>
          <w:tcPr>
            <w:tcW w:w="1429"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0.1633</w:t>
            </w:r>
          </w:p>
        </w:tc>
        <w:tc>
          <w:tcPr>
            <w:tcW w:w="1427" w:type="dxa"/>
            <w:tcBorders>
              <w:top w:val="none" w:color="ffffff" w:sz="2"/>
              <w:left w:val="none" w:color="ffffff" w:sz="2"/>
              <w:bottom w:val="none" w:color="ffffff" w:sz="2"/>
              <w:right w:val="none" w:color="ffffff" w:sz="2"/>
            </w:tcBorders>
            <w:vAlign w:val="center"/>
          </w:tcPr>
          <w:p>
            <w:pPr>
              <w:pStyle w:val="81"/>
              <w:widowControl w:val="off"/>
              <w:wordWrap w:val="0"/>
              <w:jc w:val="both"/>
            </w:pPr>
            <w:r>
              <w:rPr>
                <w:sz w:val="20"/>
              </w:rPr>
              <w:t>-2.1004</w:t>
            </w:r>
          </w:p>
        </w:tc>
      </w:tr>
    </w:tbl>
    <w:p>
      <w:pPr>
        <w:pStyle w:val="0"/>
        <w:widowControl w:val="off"/>
      </w:pPr>
      <w:r>
        <w:rPr/>
        <w:t>표 9. WEns 앙상블의 지평별 성능</w:t>
      </w:r>
    </w:p>
    <w:p>
      <w:pPr>
        <w:pStyle w:val="0"/>
        <w:widowControl w:val="off"/>
        <w:rPr/>
      </w:pPr>
    </w:p>
    <w:p>
      <w:pPr>
        <w:pStyle w:val="0"/>
        <w:widowControl w:val="off"/>
      </w:pPr>
      <w:commentRangeStart w:id="51"/>
      <w:r>
        <w:rPr/>
        <w:commentReference w:id="51"/>
        <w:t>표 9</w:t>
      </w:r>
      <w:commentRangeEnd w:id="51"/>
      <w:r>
        <w:rPr/>
        <w:t>에 나타나듯, WEns 앙상블은 22거래일(월간) 지평에서 최적의 예측력을 보이지만, 60거래일(분기) 이상으로 지평이 확장될 경우 시계열 설명력을</w:t>
      </w:r>
      <w:r>
        <w:br/>
        <w:rPr/>
        <w:t xml:space="preserve"> 엄밀히 대변하는 중위 R^2가 음수(-) 영역으로 진입한다. 이는 단일 풀링(pooling) 모델이 180~252d 지평에서 각 자산군이 갖는 독자적인 변동성 구조를 동시에 모두 적합(fit)시키는 데 한계가 있음을 시사한다.</w:t>
      </w:r>
    </w:p>
    <w:p>
      <w:pPr>
        <w:pStyle w:val="0"/>
        <w:widowControl w:val="off"/>
      </w:pPr>
      <w:r>
        <w:rPr/>
        <w:t>장기 지평에서 중위 R^2가 음수로 전환되는 현상은 (1) Equity/Bond/Commodity 간 변동성 동학 이질성으로 인해 단일 풀링 모델이 모든 자산 패턴을 동시에 포착하기 어렵고, (2) 지평이 길어질수록 조건부 모델의 상대적 우위가 감소하여 비조건부 평균이 더 강한 예측기가 되는 SNR 감소를 반영한다. 180~252d 예측에서는 자산군별 적응 전략이 필요함을 시사한다.</w:t>
      </w:r>
    </w:p>
    <w:p>
      <w:pPr>
        <w:pStyle w:val="0"/>
        <w:widowControl w:val="off"/>
      </w:pPr>
      <w:r>
        <w:rPr/>
        <w:t>자산군별 252d 중위 R^2를 분해하면, Equity(5종) -1.82, Bond(3종) -4.31, Commodity(3종) -5.64로 채권과 원자재가 주식 대비 훨씬 낮다. 이 중 Equity 내에서도 SPY·QQQ는 양수를 유지하나 EEM·EFA는 큰 음수를 기록한다.</w:t>
      </w:r>
    </w:p>
    <w:p>
      <w:pPr>
        <w:pStyle w:val="0"/>
        <w:widowControl w:val="off"/>
      </w:pPr>
      <w:r>
        <w:rPr/>
        <w:t>채권과 원자재 자산군은 180~252d 이상 지평에서 눈에 띄게 더 낮은 R^2 성과를 보인다. 주식과 뚜렷이 구별되는 채권의 듀레이션 리스크 분포, 그리고 원자재의 콘탱고/백워데이션 구조 차이 등이 단일 풀링 모델 구축 시 교란 요인으로 작용했음을 시사한다.</w:t>
      </w:r>
    </w:p>
    <w:p>
      <w:pPr>
        <w:pStyle w:val="0"/>
        <w:widowControl w:val="off"/>
      </w:pPr>
      <w:r>
        <w:rPr/>
        <w:t>표 10는 WEns 앙상블의 22거래일 지평에서 11개 ETF 각각의 개별 R^2를 보고한다. 풀링 R^2(0.803)는 자산 간 수준 차이(횡단면 변동)를 포함하므로 높은 값을 보이지만, 개별 자산 R^2는 순수 시계열 예측 정확도를 반영하여 상대적으로 낮다. 주식(Equity) 자산군, 특히 SPY와 QQQ가 가장 높은 개별 R^2를 기록하였으며, 채권(Bond)은 예측 난이도</w:t>
      </w:r>
      <w:r>
        <w:rPr/>
        <w:t>가 높은 것으로 나타났다.</w:t>
      </w:r>
    </w:p>
    <w:tbl>
      <w:tblPr>
        <w:tblOverlap w:val="never"/>
        <w:tblW w:w="4268"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740"/>
        <w:gridCol w:w="1104"/>
        <w:gridCol w:w="741"/>
        <w:gridCol w:w="833"/>
        <w:gridCol w:w="850"/>
      </w:tblGrid>
      <w:tr>
        <w:trPr>
          <w:trHeight w:val="243"/>
        </w:trPr>
        <w:tc>
          <w:tcPr>
            <w:tcW w:w="4268" w:type="dxa"/>
            <w:gridSpan w:val="5"/>
            <w:tcBorders>
              <w:top w:val="single" w:color="000000" w:sz="3"/>
              <w:left w:val="single" w:color="000000" w:sz="3"/>
              <w:bottom w:val="single" w:color="000000" w:sz="3"/>
              <w:right w:val="single" w:color="000000" w:sz="3"/>
            </w:tcBorders>
            <w:vAlign w:val="center"/>
          </w:tcPr>
          <w:p>
            <w:pPr>
              <w:pStyle w:val="85"/>
              <w:widowControl w:val="off"/>
              <w:jc w:val="left"/>
            </w:pPr>
            <w:r>
              <w:rPr>
                <w:sz w:val="18"/>
              </w:rPr>
              <w:t>표10. WEns 앙상블 자산별 성능(22d전방RV)</w:t>
            </w:r>
          </w:p>
        </w:tc>
      </w:tr>
      <w:tr>
        <w:trPr>
          <w:trHeight w:val="244"/>
        </w:trPr>
        <w:tc>
          <w:tcPr>
            <w:tcW w:w="740" w:type="dxa"/>
            <w:tcBorders>
              <w:top w:val="single" w:color="000000" w:sz="3"/>
              <w:left w:val="single" w:color="000000" w:sz="3"/>
              <w:bottom w:val="single" w:color="000000" w:sz="3"/>
              <w:right w:val="single" w:color="000000" w:sz="3"/>
            </w:tcBorders>
            <w:vAlign w:val="center"/>
          </w:tcPr>
          <w:p>
            <w:pPr>
              <w:pStyle w:val="78"/>
              <w:widowControl w:val="off"/>
            </w:pPr>
            <w:r>
              <w:rPr>
                <w:sz w:val="18"/>
              </w:rPr>
              <w:t>Asset</w:t>
            </w:r>
          </w:p>
        </w:tc>
        <w:tc>
          <w:tcPr>
            <w:tcW w:w="1104" w:type="dxa"/>
            <w:tcBorders>
              <w:top w:val="single" w:color="000000" w:sz="3"/>
              <w:left w:val="single" w:color="000000" w:sz="3"/>
              <w:bottom w:val="single" w:color="000000" w:sz="3"/>
              <w:right w:val="single" w:color="000000" w:sz="3"/>
            </w:tcBorders>
            <w:vAlign w:val="center"/>
          </w:tcPr>
          <w:p>
            <w:pPr>
              <w:pStyle w:val="78"/>
              <w:widowControl w:val="off"/>
            </w:pPr>
            <w:r>
              <w:rPr>
                <w:sz w:val="18"/>
              </w:rPr>
              <w:t>Class</w:t>
            </w:r>
          </w:p>
        </w:tc>
        <w:tc>
          <w:tcPr>
            <w:tcW w:w="741" w:type="dxa"/>
            <w:tcBorders>
              <w:top w:val="single" w:color="000000" w:sz="3"/>
              <w:left w:val="single" w:color="000000" w:sz="3"/>
              <w:bottom w:val="single" w:color="000000" w:sz="3"/>
              <w:right w:val="single" w:color="000000" w:sz="3"/>
            </w:tcBorders>
            <w:vAlign w:val="center"/>
          </w:tcPr>
          <w:p>
            <w:pPr>
              <w:pStyle w:val="79"/>
              <w:widowControl w:val="off"/>
            </w:pPr>
            <w:r>
              <w:rPr>
                <w:sz w:val="18"/>
              </w:rPr>
              <w:t>R^2</w:t>
            </w:r>
          </w:p>
        </w:tc>
        <w:tc>
          <w:tcPr>
            <w:tcW w:w="833" w:type="dxa"/>
            <w:tcBorders>
              <w:top w:val="single" w:color="000000" w:sz="3"/>
              <w:left w:val="single" w:color="000000" w:sz="3"/>
              <w:bottom w:val="single" w:color="000000" w:sz="3"/>
              <w:right w:val="single" w:color="000000" w:sz="3"/>
            </w:tcBorders>
            <w:vAlign w:val="center"/>
          </w:tcPr>
          <w:p>
            <w:pPr>
              <w:pStyle w:val="79"/>
              <w:widowControl w:val="off"/>
            </w:pPr>
            <w:r>
              <w:rPr>
                <w:sz w:val="18"/>
              </w:rPr>
              <w:t>RMSE</w:t>
            </w:r>
          </w:p>
        </w:tc>
        <w:tc>
          <w:tcPr>
            <w:tcW w:w="850" w:type="dxa"/>
            <w:tcBorders>
              <w:top w:val="single" w:color="000000" w:sz="3"/>
              <w:left w:val="single" w:color="000000" w:sz="3"/>
              <w:bottom w:val="single" w:color="000000" w:sz="3"/>
              <w:right w:val="single" w:color="000000" w:sz="3"/>
            </w:tcBorders>
            <w:vAlign w:val="center"/>
          </w:tcPr>
          <w:p>
            <w:pPr>
              <w:pStyle w:val="78"/>
              <w:widowControl w:val="off"/>
            </w:pPr>
            <w:r>
              <w:rPr>
                <w:sz w:val="18"/>
              </w:rPr>
              <w:t>Rating</w:t>
            </w:r>
          </w:p>
        </w:tc>
      </w:tr>
      <w:tr>
        <w:trPr>
          <w:trHeight w:val="243"/>
        </w:trPr>
        <w:tc>
          <w:tcPr>
            <w:tcW w:w="740" w:type="dxa"/>
            <w:tcBorders>
              <w:top w:val="single" w:color="000000" w:sz="3"/>
              <w:left w:val="single" w:color="000000" w:sz="3"/>
              <w:bottom w:val="single" w:color="000000" w:sz="3"/>
              <w:right w:val="single" w:color="000000" w:sz="3"/>
            </w:tcBorders>
            <w:vAlign w:val="center"/>
          </w:tcPr>
          <w:p>
            <w:pPr>
              <w:pStyle w:val="80"/>
              <w:widowControl w:val="off"/>
            </w:pPr>
            <w:r>
              <w:rPr>
                <w:sz w:val="18"/>
              </w:rPr>
              <w:t>SPY</w:t>
            </w:r>
          </w:p>
        </w:tc>
        <w:tc>
          <w:tcPr>
            <w:tcW w:w="1104" w:type="dxa"/>
            <w:tcBorders>
              <w:top w:val="single" w:color="000000" w:sz="3"/>
              <w:left w:val="single" w:color="000000" w:sz="3"/>
              <w:bottom w:val="single" w:color="000000" w:sz="3"/>
              <w:right w:val="single" w:color="000000" w:sz="3"/>
            </w:tcBorders>
            <w:vAlign w:val="center"/>
          </w:tcPr>
          <w:p>
            <w:pPr>
              <w:pStyle w:val="80"/>
              <w:widowControl w:val="off"/>
            </w:pPr>
            <w:r>
              <w:rPr>
                <w:sz w:val="18"/>
              </w:rPr>
              <w:t>Equity</w:t>
            </w:r>
          </w:p>
        </w:tc>
        <w:tc>
          <w:tcPr>
            <w:tcW w:w="741" w:type="dxa"/>
            <w:tcBorders>
              <w:top w:val="single" w:color="000000" w:sz="3"/>
              <w:left w:val="single" w:color="000000" w:sz="3"/>
              <w:bottom w:val="single" w:color="000000" w:sz="3"/>
              <w:right w:val="single" w:color="000000" w:sz="3"/>
            </w:tcBorders>
            <w:vAlign w:val="center"/>
          </w:tcPr>
          <w:p>
            <w:pPr>
              <w:pStyle w:val="81"/>
              <w:widowControl w:val="off"/>
            </w:pPr>
            <w:r>
              <w:rPr>
                <w:sz w:val="18"/>
              </w:rPr>
              <w:t>0.299</w:t>
            </w:r>
          </w:p>
        </w:tc>
        <w:tc>
          <w:tcPr>
            <w:tcW w:w="833" w:type="dxa"/>
            <w:tcBorders>
              <w:top w:val="single" w:color="000000" w:sz="3"/>
              <w:left w:val="single" w:color="000000" w:sz="3"/>
              <w:bottom w:val="single" w:color="000000" w:sz="3"/>
              <w:right w:val="single" w:color="000000" w:sz="3"/>
            </w:tcBorders>
            <w:vAlign w:val="center"/>
          </w:tcPr>
          <w:p>
            <w:pPr>
              <w:pStyle w:val="81"/>
              <w:widowControl w:val="off"/>
            </w:pPr>
            <w:r>
              <w:rPr>
                <w:sz w:val="18"/>
              </w:rPr>
              <w:t>0.379</w:t>
            </w:r>
          </w:p>
        </w:tc>
        <w:tc>
          <w:tcPr>
            <w:tcW w:w="850" w:type="dxa"/>
            <w:tcBorders>
              <w:top w:val="single" w:color="000000" w:sz="3"/>
              <w:left w:val="single" w:color="000000" w:sz="3"/>
              <w:bottom w:val="single" w:color="000000" w:sz="3"/>
              <w:right w:val="single" w:color="000000" w:sz="3"/>
            </w:tcBorders>
            <w:vAlign w:val="center"/>
          </w:tcPr>
          <w:p>
            <w:pPr>
              <w:pStyle w:val="80"/>
              <w:widowControl w:val="off"/>
            </w:pPr>
            <w:r>
              <w:rPr>
                <w:sz w:val="18"/>
              </w:rPr>
              <w:t>Good</w:t>
            </w:r>
          </w:p>
        </w:tc>
      </w:tr>
      <w:tr>
        <w:trPr>
          <w:trHeight w:val="244"/>
        </w:trPr>
        <w:tc>
          <w:tcPr>
            <w:tcW w:w="740" w:type="dxa"/>
            <w:tcBorders>
              <w:top w:val="single" w:color="000000" w:sz="3"/>
              <w:left w:val="single" w:color="000000" w:sz="3"/>
              <w:bottom w:val="single" w:color="000000" w:sz="3"/>
              <w:right w:val="single" w:color="000000" w:sz="3"/>
            </w:tcBorders>
            <w:vAlign w:val="center"/>
          </w:tcPr>
          <w:p>
            <w:pPr>
              <w:pStyle w:val="80"/>
              <w:widowControl w:val="off"/>
            </w:pPr>
            <w:r>
              <w:rPr>
                <w:sz w:val="18"/>
              </w:rPr>
              <w:t>QQQ</w:t>
            </w:r>
          </w:p>
        </w:tc>
        <w:tc>
          <w:tcPr>
            <w:tcW w:w="1104" w:type="dxa"/>
            <w:tcBorders>
              <w:top w:val="single" w:color="000000" w:sz="3"/>
              <w:left w:val="single" w:color="000000" w:sz="3"/>
              <w:bottom w:val="single" w:color="000000" w:sz="3"/>
              <w:right w:val="single" w:color="000000" w:sz="3"/>
            </w:tcBorders>
            <w:vAlign w:val="center"/>
          </w:tcPr>
          <w:p>
            <w:pPr>
              <w:pStyle w:val="80"/>
              <w:widowControl w:val="off"/>
            </w:pPr>
            <w:r>
              <w:rPr>
                <w:sz w:val="18"/>
              </w:rPr>
              <w:t>Equity</w:t>
            </w:r>
          </w:p>
        </w:tc>
        <w:tc>
          <w:tcPr>
            <w:tcW w:w="741" w:type="dxa"/>
            <w:tcBorders>
              <w:top w:val="single" w:color="000000" w:sz="3"/>
              <w:left w:val="single" w:color="000000" w:sz="3"/>
              <w:bottom w:val="single" w:color="000000" w:sz="3"/>
              <w:right w:val="single" w:color="000000" w:sz="3"/>
            </w:tcBorders>
            <w:vAlign w:val="center"/>
          </w:tcPr>
          <w:p>
            <w:pPr>
              <w:pStyle w:val="81"/>
              <w:widowControl w:val="off"/>
            </w:pPr>
            <w:r>
              <w:rPr>
                <w:sz w:val="18"/>
              </w:rPr>
              <w:t>0.262</w:t>
            </w:r>
          </w:p>
        </w:tc>
        <w:tc>
          <w:tcPr>
            <w:tcW w:w="833" w:type="dxa"/>
            <w:tcBorders>
              <w:top w:val="single" w:color="000000" w:sz="3"/>
              <w:left w:val="single" w:color="000000" w:sz="3"/>
              <w:bottom w:val="single" w:color="000000" w:sz="3"/>
              <w:right w:val="single" w:color="000000" w:sz="3"/>
            </w:tcBorders>
            <w:vAlign w:val="center"/>
          </w:tcPr>
          <w:p>
            <w:pPr>
              <w:pStyle w:val="81"/>
              <w:widowControl w:val="off"/>
            </w:pPr>
            <w:r>
              <w:rPr>
                <w:sz w:val="18"/>
              </w:rPr>
              <w:t>0.437</w:t>
            </w:r>
          </w:p>
        </w:tc>
        <w:tc>
          <w:tcPr>
            <w:tcW w:w="850" w:type="dxa"/>
            <w:tcBorders>
              <w:top w:val="single" w:color="000000" w:sz="3"/>
              <w:left w:val="single" w:color="000000" w:sz="3"/>
              <w:bottom w:val="single" w:color="000000" w:sz="3"/>
              <w:right w:val="single" w:color="000000" w:sz="3"/>
            </w:tcBorders>
            <w:vAlign w:val="center"/>
          </w:tcPr>
          <w:p>
            <w:pPr>
              <w:pStyle w:val="80"/>
              <w:widowControl w:val="off"/>
            </w:pPr>
            <w:r>
              <w:rPr>
                <w:sz w:val="18"/>
              </w:rPr>
              <w:t>Good</w:t>
            </w:r>
          </w:p>
        </w:tc>
      </w:tr>
      <w:tr>
        <w:trPr>
          <w:trHeight w:val="243"/>
        </w:trPr>
        <w:tc>
          <w:tcPr>
            <w:tcW w:w="740" w:type="dxa"/>
            <w:tcBorders>
              <w:top w:val="single" w:color="000000" w:sz="3"/>
              <w:left w:val="single" w:color="000000" w:sz="3"/>
              <w:bottom w:val="single" w:color="000000" w:sz="3"/>
              <w:right w:val="single" w:color="000000" w:sz="3"/>
            </w:tcBorders>
            <w:vAlign w:val="center"/>
          </w:tcPr>
          <w:p>
            <w:pPr>
              <w:pStyle w:val="80"/>
              <w:widowControl w:val="off"/>
            </w:pPr>
            <w:r>
              <w:rPr>
                <w:sz w:val="18"/>
              </w:rPr>
              <w:t>IWM</w:t>
            </w:r>
          </w:p>
        </w:tc>
        <w:tc>
          <w:tcPr>
            <w:tcW w:w="1104" w:type="dxa"/>
            <w:tcBorders>
              <w:top w:val="single" w:color="000000" w:sz="3"/>
              <w:left w:val="single" w:color="000000" w:sz="3"/>
              <w:bottom w:val="single" w:color="000000" w:sz="3"/>
              <w:right w:val="single" w:color="000000" w:sz="3"/>
            </w:tcBorders>
            <w:vAlign w:val="center"/>
          </w:tcPr>
          <w:p>
            <w:pPr>
              <w:pStyle w:val="80"/>
              <w:widowControl w:val="off"/>
            </w:pPr>
            <w:r>
              <w:rPr>
                <w:sz w:val="18"/>
              </w:rPr>
              <w:t>Equity</w:t>
            </w:r>
          </w:p>
        </w:tc>
        <w:tc>
          <w:tcPr>
            <w:tcW w:w="741" w:type="dxa"/>
            <w:tcBorders>
              <w:top w:val="single" w:color="000000" w:sz="3"/>
              <w:left w:val="single" w:color="000000" w:sz="3"/>
              <w:bottom w:val="single" w:color="000000" w:sz="3"/>
              <w:right w:val="single" w:color="000000" w:sz="3"/>
            </w:tcBorders>
            <w:vAlign w:val="center"/>
          </w:tcPr>
          <w:p>
            <w:pPr>
              <w:pStyle w:val="81"/>
              <w:widowControl w:val="off"/>
            </w:pPr>
            <w:r>
              <w:rPr>
                <w:sz w:val="18"/>
              </w:rPr>
              <w:t>0.215</w:t>
            </w:r>
          </w:p>
        </w:tc>
        <w:tc>
          <w:tcPr>
            <w:tcW w:w="833" w:type="dxa"/>
            <w:tcBorders>
              <w:top w:val="single" w:color="000000" w:sz="3"/>
              <w:left w:val="single" w:color="000000" w:sz="3"/>
              <w:bottom w:val="single" w:color="000000" w:sz="3"/>
              <w:right w:val="single" w:color="000000" w:sz="3"/>
            </w:tcBorders>
            <w:vAlign w:val="center"/>
          </w:tcPr>
          <w:p>
            <w:pPr>
              <w:pStyle w:val="81"/>
              <w:widowControl w:val="off"/>
            </w:pPr>
            <w:r>
              <w:rPr>
                <w:sz w:val="18"/>
              </w:rPr>
              <w:t>0.409</w:t>
            </w:r>
          </w:p>
        </w:tc>
        <w:tc>
          <w:tcPr>
            <w:tcW w:w="850" w:type="dxa"/>
            <w:tcBorders>
              <w:top w:val="single" w:color="000000" w:sz="3"/>
              <w:left w:val="single" w:color="000000" w:sz="3"/>
              <w:bottom w:val="single" w:color="000000" w:sz="3"/>
              <w:right w:val="single" w:color="000000" w:sz="3"/>
            </w:tcBorders>
            <w:vAlign w:val="center"/>
          </w:tcPr>
          <w:p>
            <w:pPr>
              <w:pStyle w:val="80"/>
              <w:widowControl w:val="off"/>
            </w:pPr>
            <w:r>
              <w:rPr>
                <w:sz w:val="18"/>
              </w:rPr>
              <w:t>Fair</w:t>
            </w:r>
          </w:p>
        </w:tc>
      </w:tr>
      <w:tr>
        <w:trPr>
          <w:trHeight w:val="243"/>
        </w:trPr>
        <w:tc>
          <w:tcPr>
            <w:tcW w:w="740" w:type="dxa"/>
            <w:tcBorders>
              <w:top w:val="single" w:color="000000" w:sz="3"/>
              <w:left w:val="single" w:color="000000" w:sz="3"/>
              <w:bottom w:val="single" w:color="000000" w:sz="3"/>
              <w:right w:val="single" w:color="000000" w:sz="3"/>
            </w:tcBorders>
            <w:vAlign w:val="center"/>
          </w:tcPr>
          <w:p>
            <w:pPr>
              <w:pStyle w:val="80"/>
              <w:widowControl w:val="off"/>
            </w:pPr>
            <w:r>
              <w:rPr>
                <w:sz w:val="18"/>
              </w:rPr>
              <w:t>EFA</w:t>
            </w:r>
          </w:p>
        </w:tc>
        <w:tc>
          <w:tcPr>
            <w:tcW w:w="1104" w:type="dxa"/>
            <w:tcBorders>
              <w:top w:val="single" w:color="000000" w:sz="3"/>
              <w:left w:val="single" w:color="000000" w:sz="3"/>
              <w:bottom w:val="single" w:color="000000" w:sz="3"/>
              <w:right w:val="single" w:color="000000" w:sz="3"/>
            </w:tcBorders>
            <w:vAlign w:val="center"/>
          </w:tcPr>
          <w:p>
            <w:pPr>
              <w:pStyle w:val="80"/>
              <w:widowControl w:val="off"/>
            </w:pPr>
            <w:r>
              <w:rPr>
                <w:sz w:val="18"/>
              </w:rPr>
              <w:t>Equity</w:t>
            </w:r>
          </w:p>
        </w:tc>
        <w:tc>
          <w:tcPr>
            <w:tcW w:w="741" w:type="dxa"/>
            <w:tcBorders>
              <w:top w:val="single" w:color="000000" w:sz="3"/>
              <w:left w:val="single" w:color="000000" w:sz="3"/>
              <w:bottom w:val="single" w:color="000000" w:sz="3"/>
              <w:right w:val="single" w:color="000000" w:sz="3"/>
            </w:tcBorders>
            <w:vAlign w:val="center"/>
          </w:tcPr>
          <w:p>
            <w:pPr>
              <w:pStyle w:val="81"/>
              <w:widowControl w:val="off"/>
            </w:pPr>
            <w:r>
              <w:rPr>
                <w:sz w:val="18"/>
              </w:rPr>
              <w:t>0.139</w:t>
            </w:r>
          </w:p>
        </w:tc>
        <w:tc>
          <w:tcPr>
            <w:tcW w:w="833" w:type="dxa"/>
            <w:tcBorders>
              <w:top w:val="single" w:color="000000" w:sz="3"/>
              <w:left w:val="single" w:color="000000" w:sz="3"/>
              <w:bottom w:val="single" w:color="000000" w:sz="3"/>
              <w:right w:val="single" w:color="000000" w:sz="3"/>
            </w:tcBorders>
            <w:vAlign w:val="center"/>
          </w:tcPr>
          <w:p>
            <w:pPr>
              <w:pStyle w:val="81"/>
              <w:widowControl w:val="off"/>
            </w:pPr>
            <w:r>
              <w:rPr>
                <w:sz w:val="18"/>
              </w:rPr>
              <w:t>0.405</w:t>
            </w:r>
          </w:p>
        </w:tc>
        <w:tc>
          <w:tcPr>
            <w:tcW w:w="850" w:type="dxa"/>
            <w:tcBorders>
              <w:top w:val="single" w:color="000000" w:sz="3"/>
              <w:left w:val="single" w:color="000000" w:sz="3"/>
              <w:bottom w:val="single" w:color="000000" w:sz="3"/>
              <w:right w:val="single" w:color="000000" w:sz="3"/>
            </w:tcBorders>
            <w:vAlign w:val="center"/>
          </w:tcPr>
          <w:p>
            <w:pPr>
              <w:pStyle w:val="80"/>
              <w:widowControl w:val="off"/>
            </w:pPr>
            <w:r>
              <w:rPr>
                <w:sz w:val="18"/>
              </w:rPr>
              <w:t>Fair</w:t>
            </w:r>
          </w:p>
        </w:tc>
      </w:tr>
      <w:tr>
        <w:trPr>
          <w:trHeight w:val="244"/>
        </w:trPr>
        <w:tc>
          <w:tcPr>
            <w:tcW w:w="740" w:type="dxa"/>
            <w:tcBorders>
              <w:top w:val="single" w:color="000000" w:sz="3"/>
              <w:left w:val="single" w:color="000000" w:sz="3"/>
              <w:bottom w:val="single" w:color="000000" w:sz="3"/>
              <w:right w:val="single" w:color="000000" w:sz="3"/>
            </w:tcBorders>
            <w:vAlign w:val="center"/>
          </w:tcPr>
          <w:p>
            <w:pPr>
              <w:pStyle w:val="80"/>
              <w:widowControl w:val="off"/>
            </w:pPr>
            <w:r>
              <w:rPr>
                <w:sz w:val="18"/>
              </w:rPr>
              <w:t>EEM</w:t>
            </w:r>
          </w:p>
        </w:tc>
        <w:tc>
          <w:tcPr>
            <w:tcW w:w="1104" w:type="dxa"/>
            <w:tcBorders>
              <w:top w:val="single" w:color="000000" w:sz="3"/>
              <w:left w:val="single" w:color="000000" w:sz="3"/>
              <w:bottom w:val="single" w:color="000000" w:sz="3"/>
              <w:right w:val="single" w:color="000000" w:sz="3"/>
            </w:tcBorders>
            <w:vAlign w:val="center"/>
          </w:tcPr>
          <w:p>
            <w:pPr>
              <w:pStyle w:val="80"/>
              <w:widowControl w:val="off"/>
            </w:pPr>
            <w:r>
              <w:rPr>
                <w:sz w:val="18"/>
              </w:rPr>
              <w:t>Equity</w:t>
            </w:r>
          </w:p>
        </w:tc>
        <w:tc>
          <w:tcPr>
            <w:tcW w:w="741" w:type="dxa"/>
            <w:tcBorders>
              <w:top w:val="single" w:color="000000" w:sz="3"/>
              <w:left w:val="single" w:color="000000" w:sz="3"/>
              <w:bottom w:val="single" w:color="000000" w:sz="3"/>
              <w:right w:val="single" w:color="000000" w:sz="3"/>
            </w:tcBorders>
            <w:vAlign w:val="center"/>
          </w:tcPr>
          <w:p>
            <w:pPr>
              <w:pStyle w:val="81"/>
              <w:widowControl w:val="off"/>
            </w:pPr>
            <w:r>
              <w:rPr>
                <w:sz w:val="18"/>
              </w:rPr>
              <w:t>0.059</w:t>
            </w:r>
          </w:p>
        </w:tc>
        <w:tc>
          <w:tcPr>
            <w:tcW w:w="833" w:type="dxa"/>
            <w:tcBorders>
              <w:top w:val="single" w:color="000000" w:sz="3"/>
              <w:left w:val="single" w:color="000000" w:sz="3"/>
              <w:bottom w:val="single" w:color="000000" w:sz="3"/>
              <w:right w:val="single" w:color="000000" w:sz="3"/>
            </w:tcBorders>
            <w:vAlign w:val="center"/>
          </w:tcPr>
          <w:p>
            <w:pPr>
              <w:pStyle w:val="81"/>
              <w:widowControl w:val="off"/>
            </w:pPr>
            <w:r>
              <w:rPr>
                <w:sz w:val="18"/>
              </w:rPr>
              <w:t>0.441</w:t>
            </w:r>
          </w:p>
        </w:tc>
        <w:tc>
          <w:tcPr>
            <w:tcW w:w="850" w:type="dxa"/>
            <w:tcBorders>
              <w:top w:val="single" w:color="000000" w:sz="3"/>
              <w:left w:val="single" w:color="000000" w:sz="3"/>
              <w:bottom w:val="single" w:color="000000" w:sz="3"/>
              <w:right w:val="single" w:color="000000" w:sz="3"/>
            </w:tcBorders>
            <w:vAlign w:val="center"/>
          </w:tcPr>
          <w:p>
            <w:pPr>
              <w:pStyle w:val="80"/>
              <w:widowControl w:val="off"/>
            </w:pPr>
            <w:r>
              <w:rPr>
                <w:sz w:val="18"/>
              </w:rPr>
              <w:t>Fair</w:t>
            </w:r>
          </w:p>
        </w:tc>
      </w:tr>
      <w:tr>
        <w:trPr>
          <w:trHeight w:val="243"/>
        </w:trPr>
        <w:tc>
          <w:tcPr>
            <w:tcW w:w="740" w:type="dxa"/>
            <w:tcBorders>
              <w:top w:val="single" w:color="000000" w:sz="3"/>
              <w:left w:val="single" w:color="000000" w:sz="3"/>
              <w:bottom w:val="single" w:color="000000" w:sz="3"/>
              <w:right w:val="single" w:color="000000" w:sz="3"/>
            </w:tcBorders>
            <w:vAlign w:val="center"/>
          </w:tcPr>
          <w:p>
            <w:pPr>
              <w:pStyle w:val="80"/>
              <w:widowControl w:val="off"/>
            </w:pPr>
            <w:r>
              <w:rPr>
                <w:sz w:val="18"/>
              </w:rPr>
              <w:t>TLT</w:t>
            </w:r>
          </w:p>
        </w:tc>
        <w:tc>
          <w:tcPr>
            <w:tcW w:w="1104" w:type="dxa"/>
            <w:tcBorders>
              <w:top w:val="single" w:color="000000" w:sz="3"/>
              <w:left w:val="single" w:color="000000" w:sz="3"/>
              <w:bottom w:val="single" w:color="000000" w:sz="3"/>
              <w:right w:val="single" w:color="000000" w:sz="3"/>
            </w:tcBorders>
            <w:vAlign w:val="center"/>
          </w:tcPr>
          <w:p>
            <w:pPr>
              <w:pStyle w:val="80"/>
              <w:widowControl w:val="off"/>
            </w:pPr>
            <w:r>
              <w:rPr>
                <w:sz w:val="18"/>
              </w:rPr>
              <w:t>Bond</w:t>
            </w:r>
          </w:p>
        </w:tc>
        <w:tc>
          <w:tcPr>
            <w:tcW w:w="741" w:type="dxa"/>
            <w:tcBorders>
              <w:top w:val="single" w:color="000000" w:sz="3"/>
              <w:left w:val="single" w:color="000000" w:sz="3"/>
              <w:bottom w:val="single" w:color="000000" w:sz="3"/>
              <w:right w:val="single" w:color="000000" w:sz="3"/>
            </w:tcBorders>
            <w:vAlign w:val="center"/>
          </w:tcPr>
          <w:p>
            <w:pPr>
              <w:pStyle w:val="81"/>
              <w:widowControl w:val="off"/>
            </w:pPr>
            <w:r>
              <w:rPr>
                <w:sz w:val="18"/>
              </w:rPr>
              <w:t>-0.003</w:t>
            </w:r>
          </w:p>
        </w:tc>
        <w:tc>
          <w:tcPr>
            <w:tcW w:w="833" w:type="dxa"/>
            <w:tcBorders>
              <w:top w:val="single" w:color="000000" w:sz="3"/>
              <w:left w:val="single" w:color="000000" w:sz="3"/>
              <w:bottom w:val="single" w:color="000000" w:sz="3"/>
              <w:right w:val="single" w:color="000000" w:sz="3"/>
            </w:tcBorders>
            <w:vAlign w:val="center"/>
          </w:tcPr>
          <w:p>
            <w:pPr>
              <w:pStyle w:val="81"/>
              <w:widowControl w:val="off"/>
            </w:pPr>
            <w:r>
              <w:rPr>
                <w:sz w:val="18"/>
              </w:rPr>
              <w:t>0.568</w:t>
            </w:r>
          </w:p>
        </w:tc>
        <w:tc>
          <w:tcPr>
            <w:tcW w:w="850" w:type="dxa"/>
            <w:tcBorders>
              <w:top w:val="single" w:color="000000" w:sz="3"/>
              <w:left w:val="single" w:color="000000" w:sz="3"/>
              <w:bottom w:val="single" w:color="000000" w:sz="3"/>
              <w:right w:val="single" w:color="000000" w:sz="3"/>
            </w:tcBorders>
            <w:vAlign w:val="center"/>
          </w:tcPr>
          <w:p>
            <w:pPr>
              <w:pStyle w:val="80"/>
              <w:widowControl w:val="off"/>
            </w:pPr>
            <w:r>
              <w:rPr>
                <w:sz w:val="18"/>
              </w:rPr>
              <w:t>Poor</w:t>
            </w:r>
          </w:p>
        </w:tc>
      </w:tr>
      <w:tr>
        <w:trPr>
          <w:trHeight w:val="244"/>
        </w:trPr>
        <w:tc>
          <w:tcPr>
            <w:tcW w:w="740" w:type="dxa"/>
            <w:tcBorders>
              <w:top w:val="single" w:color="000000" w:sz="3"/>
              <w:left w:val="single" w:color="000000" w:sz="3"/>
              <w:bottom w:val="single" w:color="000000" w:sz="3"/>
              <w:right w:val="single" w:color="000000" w:sz="3"/>
            </w:tcBorders>
            <w:vAlign w:val="center"/>
          </w:tcPr>
          <w:p>
            <w:pPr>
              <w:pStyle w:val="80"/>
              <w:widowControl w:val="off"/>
            </w:pPr>
            <w:r>
              <w:rPr>
                <w:sz w:val="18"/>
              </w:rPr>
              <w:t>IEF</w:t>
            </w:r>
          </w:p>
        </w:tc>
        <w:tc>
          <w:tcPr>
            <w:tcW w:w="1104" w:type="dxa"/>
            <w:tcBorders>
              <w:top w:val="single" w:color="000000" w:sz="3"/>
              <w:left w:val="single" w:color="000000" w:sz="3"/>
              <w:bottom w:val="single" w:color="000000" w:sz="3"/>
              <w:right w:val="single" w:color="000000" w:sz="3"/>
            </w:tcBorders>
            <w:vAlign w:val="center"/>
          </w:tcPr>
          <w:p>
            <w:pPr>
              <w:pStyle w:val="80"/>
              <w:widowControl w:val="off"/>
            </w:pPr>
            <w:r>
              <w:rPr>
                <w:sz w:val="18"/>
              </w:rPr>
              <w:t>Bond</w:t>
            </w:r>
          </w:p>
        </w:tc>
        <w:tc>
          <w:tcPr>
            <w:tcW w:w="741" w:type="dxa"/>
            <w:tcBorders>
              <w:top w:val="single" w:color="000000" w:sz="3"/>
              <w:left w:val="single" w:color="000000" w:sz="3"/>
              <w:bottom w:val="single" w:color="000000" w:sz="3"/>
              <w:right w:val="single" w:color="000000" w:sz="3"/>
            </w:tcBorders>
            <w:vAlign w:val="center"/>
          </w:tcPr>
          <w:p>
            <w:pPr>
              <w:pStyle w:val="81"/>
              <w:widowControl w:val="off"/>
            </w:pPr>
            <w:r>
              <w:rPr>
                <w:sz w:val="18"/>
              </w:rPr>
              <w:t>0.03</w:t>
            </w:r>
          </w:p>
        </w:tc>
        <w:tc>
          <w:tcPr>
            <w:tcW w:w="833" w:type="dxa"/>
            <w:tcBorders>
              <w:top w:val="single" w:color="000000" w:sz="3"/>
              <w:left w:val="single" w:color="000000" w:sz="3"/>
              <w:bottom w:val="single" w:color="000000" w:sz="3"/>
              <w:right w:val="single" w:color="000000" w:sz="3"/>
            </w:tcBorders>
            <w:vAlign w:val="center"/>
          </w:tcPr>
          <w:p>
            <w:pPr>
              <w:pStyle w:val="81"/>
              <w:widowControl w:val="off"/>
            </w:pPr>
            <w:r>
              <w:rPr>
                <w:sz w:val="18"/>
              </w:rPr>
              <w:t>0.523</w:t>
            </w:r>
          </w:p>
        </w:tc>
        <w:tc>
          <w:tcPr>
            <w:tcW w:w="850" w:type="dxa"/>
            <w:tcBorders>
              <w:top w:val="single" w:color="000000" w:sz="3"/>
              <w:left w:val="single" w:color="000000" w:sz="3"/>
              <w:bottom w:val="single" w:color="000000" w:sz="3"/>
              <w:right w:val="single" w:color="000000" w:sz="3"/>
            </w:tcBorders>
            <w:vAlign w:val="center"/>
          </w:tcPr>
          <w:p>
            <w:pPr>
              <w:pStyle w:val="80"/>
              <w:widowControl w:val="off"/>
            </w:pPr>
            <w:r>
              <w:rPr>
                <w:sz w:val="18"/>
              </w:rPr>
              <w:t>Fair</w:t>
            </w:r>
          </w:p>
        </w:tc>
      </w:tr>
      <w:tr>
        <w:trPr>
          <w:trHeight w:val="243"/>
        </w:trPr>
        <w:tc>
          <w:tcPr>
            <w:tcW w:w="740" w:type="dxa"/>
            <w:tcBorders>
              <w:top w:val="single" w:color="000000" w:sz="3"/>
              <w:left w:val="single" w:color="000000" w:sz="3"/>
              <w:bottom w:val="single" w:color="000000" w:sz="3"/>
              <w:right w:val="single" w:color="000000" w:sz="3"/>
            </w:tcBorders>
            <w:vAlign w:val="center"/>
          </w:tcPr>
          <w:p>
            <w:pPr>
              <w:pStyle w:val="80"/>
              <w:widowControl w:val="off"/>
            </w:pPr>
            <w:r>
              <w:rPr>
                <w:sz w:val="18"/>
              </w:rPr>
              <w:t>AGG</w:t>
            </w:r>
          </w:p>
        </w:tc>
        <w:tc>
          <w:tcPr>
            <w:tcW w:w="1104" w:type="dxa"/>
            <w:tcBorders>
              <w:top w:val="single" w:color="000000" w:sz="3"/>
              <w:left w:val="single" w:color="000000" w:sz="3"/>
              <w:bottom w:val="single" w:color="000000" w:sz="3"/>
              <w:right w:val="single" w:color="000000" w:sz="3"/>
            </w:tcBorders>
            <w:vAlign w:val="center"/>
          </w:tcPr>
          <w:p>
            <w:pPr>
              <w:pStyle w:val="80"/>
              <w:widowControl w:val="off"/>
            </w:pPr>
            <w:r>
              <w:rPr>
                <w:sz w:val="18"/>
              </w:rPr>
              <w:t>Bond</w:t>
            </w:r>
          </w:p>
        </w:tc>
        <w:tc>
          <w:tcPr>
            <w:tcW w:w="741" w:type="dxa"/>
            <w:tcBorders>
              <w:top w:val="single" w:color="000000" w:sz="3"/>
              <w:left w:val="single" w:color="000000" w:sz="3"/>
              <w:bottom w:val="single" w:color="000000" w:sz="3"/>
              <w:right w:val="single" w:color="000000" w:sz="3"/>
            </w:tcBorders>
            <w:vAlign w:val="center"/>
          </w:tcPr>
          <w:p>
            <w:pPr>
              <w:pStyle w:val="81"/>
              <w:widowControl w:val="off"/>
            </w:pPr>
            <w:r>
              <w:rPr>
                <w:sz w:val="18"/>
              </w:rPr>
              <w:t>0.019</w:t>
            </w:r>
          </w:p>
        </w:tc>
        <w:tc>
          <w:tcPr>
            <w:tcW w:w="833" w:type="dxa"/>
            <w:tcBorders>
              <w:top w:val="single" w:color="000000" w:sz="3"/>
              <w:left w:val="single" w:color="000000" w:sz="3"/>
              <w:bottom w:val="single" w:color="000000" w:sz="3"/>
              <w:right w:val="single" w:color="000000" w:sz="3"/>
            </w:tcBorders>
            <w:vAlign w:val="center"/>
          </w:tcPr>
          <w:p>
            <w:pPr>
              <w:pStyle w:val="81"/>
              <w:widowControl w:val="off"/>
            </w:pPr>
            <w:r>
              <w:rPr>
                <w:sz w:val="18"/>
              </w:rPr>
              <w:t>0.481</w:t>
            </w:r>
          </w:p>
        </w:tc>
        <w:tc>
          <w:tcPr>
            <w:tcW w:w="850" w:type="dxa"/>
            <w:tcBorders>
              <w:top w:val="single" w:color="000000" w:sz="3"/>
              <w:left w:val="single" w:color="000000" w:sz="3"/>
              <w:bottom w:val="single" w:color="000000" w:sz="3"/>
              <w:right w:val="single" w:color="000000" w:sz="3"/>
            </w:tcBorders>
            <w:vAlign w:val="center"/>
          </w:tcPr>
          <w:p>
            <w:pPr>
              <w:pStyle w:val="80"/>
              <w:widowControl w:val="off"/>
            </w:pPr>
            <w:r>
              <w:rPr>
                <w:sz w:val="18"/>
              </w:rPr>
              <w:t>Fair</w:t>
            </w:r>
          </w:p>
        </w:tc>
      </w:tr>
      <w:tr>
        <w:trPr>
          <w:trHeight w:val="429"/>
        </w:trPr>
        <w:tc>
          <w:tcPr>
            <w:tcW w:w="740" w:type="dxa"/>
            <w:tcBorders>
              <w:top w:val="single" w:color="000000" w:sz="3"/>
              <w:left w:val="single" w:color="000000" w:sz="3"/>
              <w:bottom w:val="single" w:color="000000" w:sz="3"/>
              <w:right w:val="single" w:color="000000" w:sz="3"/>
            </w:tcBorders>
            <w:vAlign w:val="center"/>
          </w:tcPr>
          <w:p>
            <w:pPr>
              <w:pStyle w:val="80"/>
              <w:widowControl w:val="off"/>
            </w:pPr>
            <w:r>
              <w:rPr>
                <w:sz w:val="18"/>
              </w:rPr>
              <w:t>GLD</w:t>
            </w:r>
          </w:p>
        </w:tc>
        <w:tc>
          <w:tcPr>
            <w:tcW w:w="1104" w:type="dxa"/>
            <w:tcBorders>
              <w:top w:val="single" w:color="000000" w:sz="3"/>
              <w:left w:val="single" w:color="000000" w:sz="3"/>
              <w:bottom w:val="single" w:color="000000" w:sz="3"/>
              <w:right w:val="single" w:color="000000" w:sz="3"/>
            </w:tcBorders>
            <w:vAlign w:val="center"/>
          </w:tcPr>
          <w:p>
            <w:pPr>
              <w:pStyle w:val="80"/>
              <w:widowControl w:val="off"/>
            </w:pPr>
            <w:r>
              <w:rPr>
                <w:sz w:val="18"/>
              </w:rPr>
              <w:t>Commodity</w:t>
            </w:r>
          </w:p>
        </w:tc>
        <w:tc>
          <w:tcPr>
            <w:tcW w:w="741" w:type="dxa"/>
            <w:tcBorders>
              <w:top w:val="single" w:color="000000" w:sz="3"/>
              <w:left w:val="single" w:color="000000" w:sz="3"/>
              <w:bottom w:val="single" w:color="000000" w:sz="3"/>
              <w:right w:val="single" w:color="000000" w:sz="3"/>
            </w:tcBorders>
            <w:vAlign w:val="center"/>
          </w:tcPr>
          <w:p>
            <w:pPr>
              <w:pStyle w:val="81"/>
              <w:widowControl w:val="off"/>
            </w:pPr>
            <w:r>
              <w:rPr>
                <w:sz w:val="18"/>
              </w:rPr>
              <w:t>0.105</w:t>
            </w:r>
          </w:p>
        </w:tc>
        <w:tc>
          <w:tcPr>
            <w:tcW w:w="833" w:type="dxa"/>
            <w:tcBorders>
              <w:top w:val="single" w:color="000000" w:sz="3"/>
              <w:left w:val="single" w:color="000000" w:sz="3"/>
              <w:bottom w:val="single" w:color="000000" w:sz="3"/>
              <w:right w:val="single" w:color="000000" w:sz="3"/>
            </w:tcBorders>
            <w:vAlign w:val="center"/>
          </w:tcPr>
          <w:p>
            <w:pPr>
              <w:pStyle w:val="81"/>
              <w:widowControl w:val="off"/>
            </w:pPr>
            <w:r>
              <w:rPr>
                <w:sz w:val="18"/>
              </w:rPr>
              <w:t>0.413</w:t>
            </w:r>
          </w:p>
        </w:tc>
        <w:tc>
          <w:tcPr>
            <w:tcW w:w="850" w:type="dxa"/>
            <w:tcBorders>
              <w:top w:val="single" w:color="000000" w:sz="3"/>
              <w:left w:val="single" w:color="000000" w:sz="3"/>
              <w:bottom w:val="single" w:color="000000" w:sz="3"/>
              <w:right w:val="single" w:color="000000" w:sz="3"/>
            </w:tcBorders>
            <w:vAlign w:val="center"/>
          </w:tcPr>
          <w:p>
            <w:pPr>
              <w:pStyle w:val="80"/>
              <w:widowControl w:val="off"/>
            </w:pPr>
            <w:r>
              <w:rPr>
                <w:sz w:val="18"/>
              </w:rPr>
              <w:t>Fair</w:t>
            </w:r>
          </w:p>
        </w:tc>
      </w:tr>
      <w:tr>
        <w:trPr>
          <w:trHeight w:val="428"/>
        </w:trPr>
        <w:tc>
          <w:tcPr>
            <w:tcW w:w="740" w:type="dxa"/>
            <w:tcBorders>
              <w:top w:val="single" w:color="000000" w:sz="3"/>
              <w:left w:val="single" w:color="000000" w:sz="3"/>
              <w:bottom w:val="single" w:color="000000" w:sz="3"/>
              <w:right w:val="single" w:color="000000" w:sz="3"/>
            </w:tcBorders>
            <w:vAlign w:val="center"/>
          </w:tcPr>
          <w:p>
            <w:pPr>
              <w:pStyle w:val="80"/>
              <w:widowControl w:val="off"/>
            </w:pPr>
            <w:r>
              <w:rPr>
                <w:sz w:val="18"/>
              </w:rPr>
              <w:t>SLV</w:t>
            </w:r>
          </w:p>
        </w:tc>
        <w:tc>
          <w:tcPr>
            <w:tcW w:w="1104" w:type="dxa"/>
            <w:tcBorders>
              <w:top w:val="single" w:color="000000" w:sz="3"/>
              <w:left w:val="single" w:color="000000" w:sz="3"/>
              <w:bottom w:val="single" w:color="000000" w:sz="3"/>
              <w:right w:val="single" w:color="000000" w:sz="3"/>
            </w:tcBorders>
            <w:vAlign w:val="center"/>
          </w:tcPr>
          <w:p>
            <w:pPr>
              <w:pStyle w:val="80"/>
              <w:widowControl w:val="off"/>
            </w:pPr>
            <w:r>
              <w:rPr>
                <w:sz w:val="18"/>
              </w:rPr>
              <w:t>Commodity</w:t>
            </w:r>
          </w:p>
        </w:tc>
        <w:tc>
          <w:tcPr>
            <w:tcW w:w="741" w:type="dxa"/>
            <w:tcBorders>
              <w:top w:val="single" w:color="000000" w:sz="3"/>
              <w:left w:val="single" w:color="000000" w:sz="3"/>
              <w:bottom w:val="single" w:color="000000" w:sz="3"/>
              <w:right w:val="single" w:color="000000" w:sz="3"/>
            </w:tcBorders>
            <w:vAlign w:val="center"/>
          </w:tcPr>
          <w:p>
            <w:pPr>
              <w:pStyle w:val="81"/>
              <w:widowControl w:val="off"/>
            </w:pPr>
            <w:r>
              <w:rPr>
                <w:sz w:val="18"/>
              </w:rPr>
              <w:t>0.119</w:t>
            </w:r>
          </w:p>
        </w:tc>
        <w:tc>
          <w:tcPr>
            <w:tcW w:w="833" w:type="dxa"/>
            <w:tcBorders>
              <w:top w:val="single" w:color="000000" w:sz="3"/>
              <w:left w:val="single" w:color="000000" w:sz="3"/>
              <w:bottom w:val="single" w:color="000000" w:sz="3"/>
              <w:right w:val="single" w:color="000000" w:sz="3"/>
            </w:tcBorders>
            <w:vAlign w:val="center"/>
          </w:tcPr>
          <w:p>
            <w:pPr>
              <w:pStyle w:val="81"/>
              <w:widowControl w:val="off"/>
            </w:pPr>
            <w:r>
              <w:rPr>
                <w:sz w:val="18"/>
              </w:rPr>
              <w:t>0.475</w:t>
            </w:r>
          </w:p>
        </w:tc>
        <w:tc>
          <w:tcPr>
            <w:tcW w:w="850" w:type="dxa"/>
            <w:tcBorders>
              <w:top w:val="single" w:color="000000" w:sz="3"/>
              <w:left w:val="single" w:color="000000" w:sz="3"/>
              <w:bottom w:val="single" w:color="000000" w:sz="3"/>
              <w:right w:val="single" w:color="000000" w:sz="3"/>
            </w:tcBorders>
            <w:vAlign w:val="center"/>
          </w:tcPr>
          <w:p>
            <w:pPr>
              <w:pStyle w:val="80"/>
              <w:widowControl w:val="off"/>
            </w:pPr>
            <w:r>
              <w:rPr>
                <w:sz w:val="18"/>
              </w:rPr>
              <w:t>Fair</w:t>
            </w:r>
          </w:p>
        </w:tc>
      </w:tr>
      <w:tr>
        <w:trPr>
          <w:trHeight w:val="429"/>
        </w:trPr>
        <w:tc>
          <w:tcPr>
            <w:tcW w:w="740" w:type="dxa"/>
            <w:tcBorders>
              <w:top w:val="single" w:color="000000" w:sz="3"/>
              <w:left w:val="single" w:color="000000" w:sz="3"/>
              <w:bottom w:val="single" w:color="000000" w:sz="3"/>
              <w:right w:val="single" w:color="000000" w:sz="3"/>
            </w:tcBorders>
            <w:vAlign w:val="center"/>
          </w:tcPr>
          <w:p>
            <w:pPr>
              <w:pStyle w:val="80"/>
              <w:widowControl w:val="off"/>
            </w:pPr>
            <w:r>
              <w:rPr>
                <w:sz w:val="18"/>
              </w:rPr>
              <w:t>USO</w:t>
            </w:r>
          </w:p>
        </w:tc>
        <w:tc>
          <w:tcPr>
            <w:tcW w:w="1104" w:type="dxa"/>
            <w:tcBorders>
              <w:top w:val="single" w:color="000000" w:sz="3"/>
              <w:left w:val="single" w:color="000000" w:sz="3"/>
              <w:bottom w:val="single" w:color="000000" w:sz="3"/>
              <w:right w:val="single" w:color="000000" w:sz="3"/>
            </w:tcBorders>
            <w:vAlign w:val="center"/>
          </w:tcPr>
          <w:p>
            <w:pPr>
              <w:pStyle w:val="80"/>
              <w:widowControl w:val="off"/>
            </w:pPr>
            <w:r>
              <w:rPr>
                <w:sz w:val="18"/>
              </w:rPr>
              <w:t>Commodity</w:t>
            </w:r>
          </w:p>
        </w:tc>
        <w:tc>
          <w:tcPr>
            <w:tcW w:w="741" w:type="dxa"/>
            <w:tcBorders>
              <w:top w:val="single" w:color="000000" w:sz="3"/>
              <w:left w:val="single" w:color="000000" w:sz="3"/>
              <w:bottom w:val="single" w:color="000000" w:sz="3"/>
              <w:right w:val="single" w:color="000000" w:sz="3"/>
            </w:tcBorders>
            <w:vAlign w:val="center"/>
          </w:tcPr>
          <w:p>
            <w:pPr>
              <w:pStyle w:val="81"/>
              <w:widowControl w:val="off"/>
            </w:pPr>
            <w:r>
              <w:rPr>
                <w:sz w:val="18"/>
              </w:rPr>
              <w:t>-0.081</w:t>
            </w:r>
          </w:p>
        </w:tc>
        <w:tc>
          <w:tcPr>
            <w:tcW w:w="833" w:type="dxa"/>
            <w:tcBorders>
              <w:top w:val="single" w:color="000000" w:sz="3"/>
              <w:left w:val="single" w:color="000000" w:sz="3"/>
              <w:bottom w:val="single" w:color="000000" w:sz="3"/>
              <w:right w:val="single" w:color="000000" w:sz="3"/>
            </w:tcBorders>
            <w:vAlign w:val="center"/>
          </w:tcPr>
          <w:p>
            <w:pPr>
              <w:pStyle w:val="81"/>
              <w:widowControl w:val="off"/>
            </w:pPr>
            <w:r>
              <w:rPr>
                <w:sz w:val="18"/>
              </w:rPr>
              <w:t>0.592</w:t>
            </w:r>
          </w:p>
        </w:tc>
        <w:tc>
          <w:tcPr>
            <w:tcW w:w="850" w:type="dxa"/>
            <w:tcBorders>
              <w:top w:val="single" w:color="000000" w:sz="3"/>
              <w:left w:val="single" w:color="000000" w:sz="3"/>
              <w:bottom w:val="single" w:color="000000" w:sz="3"/>
              <w:right w:val="single" w:color="000000" w:sz="3"/>
            </w:tcBorders>
            <w:vAlign w:val="center"/>
          </w:tcPr>
          <w:p>
            <w:pPr>
              <w:pStyle w:val="80"/>
              <w:widowControl w:val="off"/>
            </w:pPr>
            <w:r>
              <w:rPr>
                <w:sz w:val="18"/>
              </w:rPr>
              <w:t>Poor</w:t>
            </w:r>
          </w:p>
        </w:tc>
      </w:tr>
      <w:tr>
        <w:trPr>
          <w:trHeight w:val="243"/>
        </w:trPr>
        <w:tc>
          <w:tcPr>
            <w:tcW w:w="740" w:type="dxa"/>
            <w:tcBorders>
              <w:top w:val="single" w:color="000000" w:sz="3"/>
              <w:left w:val="single" w:color="000000" w:sz="3"/>
              <w:bottom w:val="single" w:color="000000" w:sz="3"/>
              <w:right w:val="single" w:color="000000" w:sz="3"/>
            </w:tcBorders>
            <w:vAlign w:val="center"/>
          </w:tcPr>
          <w:p>
            <w:pPr>
              <w:pStyle w:val="83"/>
              <w:widowControl w:val="off"/>
            </w:pPr>
            <w:r>
              <w:rPr>
                <w:sz w:val="18"/>
              </w:rPr>
              <w:t>Pooled</w:t>
            </w:r>
          </w:p>
        </w:tc>
        <w:tc>
          <w:tcPr>
            <w:tcW w:w="1104" w:type="dxa"/>
            <w:tcBorders>
              <w:top w:val="single" w:color="000000" w:sz="3"/>
              <w:left w:val="single" w:color="000000" w:sz="3"/>
              <w:bottom w:val="single" w:color="000000" w:sz="3"/>
              <w:right w:val="single" w:color="000000" w:sz="3"/>
            </w:tcBorders>
            <w:vAlign w:val="center"/>
          </w:tcPr>
          <w:p>
            <w:pPr>
              <w:pStyle w:val="83"/>
              <w:widowControl w:val="off"/>
            </w:pPr>
            <w:r>
              <w:rPr>
                <w:sz w:val="18"/>
              </w:rPr>
              <w:t>All</w:t>
            </w:r>
          </w:p>
        </w:tc>
        <w:tc>
          <w:tcPr>
            <w:tcW w:w="741" w:type="dxa"/>
            <w:tcBorders>
              <w:top w:val="single" w:color="000000" w:sz="3"/>
              <w:left w:val="single" w:color="000000" w:sz="3"/>
              <w:bottom w:val="single" w:color="000000" w:sz="3"/>
              <w:right w:val="single" w:color="000000" w:sz="3"/>
            </w:tcBorders>
            <w:vAlign w:val="center"/>
          </w:tcPr>
          <w:p>
            <w:pPr>
              <w:pStyle w:val="84"/>
              <w:widowControl w:val="off"/>
              <w:jc w:val="left"/>
            </w:pPr>
            <w:r>
              <w:rPr>
                <w:sz w:val="18"/>
              </w:rPr>
              <w:t>0.803</w:t>
            </w:r>
          </w:p>
        </w:tc>
        <w:tc>
          <w:tcPr>
            <w:tcW w:w="833" w:type="dxa"/>
            <w:tcBorders>
              <w:top w:val="single" w:color="000000" w:sz="3"/>
              <w:left w:val="single" w:color="000000" w:sz="3"/>
              <w:bottom w:val="single" w:color="000000" w:sz="3"/>
              <w:right w:val="single" w:color="000000" w:sz="3"/>
            </w:tcBorders>
            <w:vAlign w:val="center"/>
          </w:tcPr>
          <w:p>
            <w:pPr>
              <w:pStyle w:val="84"/>
              <w:widowControl w:val="off"/>
              <w:jc w:val="left"/>
            </w:pPr>
            <w:r>
              <w:rPr>
                <w:sz w:val="18"/>
              </w:rPr>
              <w:t>0.468</w:t>
            </w:r>
          </w:p>
        </w:tc>
        <w:tc>
          <w:tcPr>
            <w:tcW w:w="850" w:type="dxa"/>
            <w:tcBorders>
              <w:top w:val="single" w:color="000000" w:sz="3"/>
              <w:left w:val="single" w:color="000000" w:sz="3"/>
              <w:bottom w:val="single" w:color="000000" w:sz="3"/>
              <w:right w:val="single" w:color="000000" w:sz="3"/>
            </w:tcBorders>
            <w:vAlign w:val="center"/>
          </w:tcPr>
          <w:p>
            <w:pPr>
              <w:pStyle w:val="83"/>
              <w:widowControl w:val="off"/>
            </w:pPr>
            <w:r>
              <w:rPr>
                <w:sz w:val="18"/>
              </w:rPr>
              <w:t>Overall</w:t>
            </w:r>
          </w:p>
        </w:tc>
      </w:tr>
    </w:tbl>
    <w:p>
      <w:pPr>
        <w:pStyle w:val="0"/>
        <w:widowControl w:val="off"/>
        <w:rPr/>
      </w:pPr>
    </w:p>
    <w:p>
      <w:pPr>
        <w:pStyle w:val="0"/>
        <w:widowControl w:val="off"/>
      </w:pPr>
      <w:r>
        <w:rPr/>
        <w:t>개별 자산 R^2와 풀링 R^2의 큰 괴리는 모델의 예측력이 상당 부분 자산 간 횡단면 변동에 의존하고 있음을 시사하며, 이는 중위 R^2를 1순위 지표로 사용하는 본 연구의 보고 방식의 타당성을 뒷받침한다.</w:t>
      </w:r>
    </w:p>
    <w:p>
      <w:pPr>
        <w:pStyle w:val="0"/>
        <w:widowControl w:val="off"/>
        <w:rPr/>
      </w:pPr>
    </w:p>
    <w:p>
      <w:pPr>
        <w:pStyle w:val="0"/>
        <w:widowControl w:val="off"/>
      </w:pPr>
      <w:r>
        <w:rPr/>
        <w:t>4.4 다중 모델 22d 비교</w:t>
      </w:r>
    </w:p>
    <w:p>
      <w:pPr>
        <w:pStyle w:val="0"/>
        <w:widowControl w:val="off"/>
      </w:pPr>
      <w:r>
        <w:rPr/>
        <w:t>표11은 대표 8개 모델의 성능을 비교한 결과이다. 풀링 R^2 기준으로는 선형 모델(Lasso/ElasticNet)이 상위권을 차지하며, 중위 R^2 기준으로는 Random Forest가 상대적으로 높게 나타난다. SVR, MLP는 중위 R^2가 크게 음수로 나타나 안정적 일반화가 어려웠다.</w:t>
      </w:r>
    </w:p>
    <w:tbl>
      <w:tblPr>
        <w:tblOverlap w:val="never"/>
        <w:tblW w:w="8622"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2386"/>
        <w:gridCol w:w="1699"/>
        <w:gridCol w:w="2271"/>
        <w:gridCol w:w="2266"/>
      </w:tblGrid>
      <w:tr>
        <w:trPr>
          <w:trHeight w:val="256"/>
        </w:trPr>
        <w:tc>
          <w:tcPr>
            <w:tcW w:w="2386" w:type="dxa"/>
            <w:tcBorders>
              <w:top w:val="single" w:color="000000" w:sz="3"/>
              <w:left w:val="single" w:color="000000" w:sz="3"/>
              <w:bottom w:val="single" w:color="000000" w:sz="3"/>
              <w:right w:val="single" w:color="000000" w:sz="3"/>
            </w:tcBorders>
            <w:vAlign w:val="center"/>
          </w:tcPr>
          <w:p>
            <w:pPr>
              <w:pStyle w:val="78"/>
              <w:widowControl w:val="off"/>
            </w:pPr>
            <w:r>
              <w:rPr>
                <w:sz w:val="20"/>
              </w:rPr>
              <w:t>Model</w:t>
            </w:r>
          </w:p>
        </w:tc>
        <w:tc>
          <w:tcPr>
            <w:tcW w:w="1699" w:type="dxa"/>
            <w:tcBorders>
              <w:top w:val="single" w:color="000000" w:sz="3"/>
              <w:left w:val="single" w:color="000000" w:sz="3"/>
              <w:bottom w:val="single" w:color="000000" w:sz="3"/>
              <w:right w:val="single" w:color="000000" w:sz="3"/>
            </w:tcBorders>
            <w:vAlign w:val="center"/>
          </w:tcPr>
          <w:p>
            <w:pPr>
              <w:pStyle w:val="78"/>
              <w:widowControl w:val="off"/>
            </w:pPr>
            <w:r>
              <w:rPr>
                <w:sz w:val="20"/>
              </w:rPr>
              <w:t>Type</w:t>
            </w:r>
          </w:p>
        </w:tc>
        <w:tc>
          <w:tcPr>
            <w:tcW w:w="2271" w:type="dxa"/>
            <w:tcBorders>
              <w:top w:val="single" w:color="000000" w:sz="3"/>
              <w:left w:val="single" w:color="000000" w:sz="3"/>
              <w:bottom w:val="single" w:color="000000" w:sz="3"/>
              <w:right w:val="single" w:color="000000" w:sz="3"/>
            </w:tcBorders>
            <w:vAlign w:val="center"/>
          </w:tcPr>
          <w:p>
            <w:pPr>
              <w:pStyle w:val="78"/>
              <w:widowControl w:val="off"/>
            </w:pPr>
            <w:r>
              <w:rPr>
                <w:sz w:val="20"/>
              </w:rPr>
              <w:t xml:space="preserve">Pooled R^2 </w:t>
            </w:r>
          </w:p>
        </w:tc>
        <w:tc>
          <w:tcPr>
            <w:tcW w:w="2266" w:type="dxa"/>
            <w:tcBorders>
              <w:top w:val="single" w:color="000000" w:sz="3"/>
              <w:left w:val="single" w:color="000000" w:sz="3"/>
              <w:bottom w:val="single" w:color="000000" w:sz="3"/>
              <w:right w:val="single" w:color="000000" w:sz="3"/>
            </w:tcBorders>
            <w:vAlign w:val="center"/>
          </w:tcPr>
          <w:p>
            <w:pPr>
              <w:pStyle w:val="78"/>
              <w:widowControl w:val="off"/>
            </w:pPr>
            <w:r>
              <w:rPr>
                <w:sz w:val="20"/>
              </w:rPr>
              <w:t>Median R^2</w:t>
            </w:r>
          </w:p>
        </w:tc>
      </w:tr>
      <w:tr>
        <w:trPr>
          <w:trHeight w:val="236"/>
        </w:trPr>
        <w:tc>
          <w:tcPr>
            <w:tcW w:w="2386" w:type="dxa"/>
            <w:tcBorders>
              <w:top w:val="single" w:color="000000" w:sz="3"/>
              <w:left w:val="single" w:color="000000" w:sz="3"/>
              <w:bottom w:val="single" w:color="000000" w:sz="3"/>
              <w:right w:val="single" w:color="000000" w:sz="3"/>
            </w:tcBorders>
            <w:vAlign w:val="center"/>
          </w:tcPr>
          <w:p>
            <w:pPr>
              <w:pStyle w:val="79"/>
              <w:widowControl w:val="off"/>
            </w:pPr>
            <w:r>
              <w:rPr>
                <w:sz w:val="20"/>
              </w:rPr>
              <w:t>Lasso</w:t>
            </w:r>
          </w:p>
        </w:tc>
        <w:tc>
          <w:tcPr>
            <w:tcW w:w="1699" w:type="dxa"/>
            <w:tcBorders>
              <w:top w:val="single" w:color="000000" w:sz="3"/>
              <w:left w:val="single" w:color="000000" w:sz="3"/>
              <w:bottom w:val="single" w:color="000000" w:sz="3"/>
              <w:right w:val="single" w:color="000000" w:sz="3"/>
            </w:tcBorders>
            <w:vAlign w:val="center"/>
          </w:tcPr>
          <w:p>
            <w:pPr>
              <w:pStyle w:val="79"/>
              <w:widowControl w:val="off"/>
            </w:pPr>
            <w:r>
              <w:rPr>
                <w:sz w:val="20"/>
              </w:rPr>
              <w:t>Linear</w:t>
            </w:r>
          </w:p>
        </w:tc>
        <w:tc>
          <w:tcPr>
            <w:tcW w:w="2271" w:type="dxa"/>
            <w:tcBorders>
              <w:top w:val="single" w:color="000000" w:sz="3"/>
              <w:left w:val="single" w:color="000000" w:sz="3"/>
              <w:bottom w:val="single" w:color="000000" w:sz="3"/>
              <w:right w:val="single" w:color="000000" w:sz="3"/>
            </w:tcBorders>
            <w:vAlign w:val="center"/>
          </w:tcPr>
          <w:p>
            <w:pPr>
              <w:pStyle w:val="79"/>
              <w:widowControl w:val="off"/>
            </w:pPr>
            <w:r>
              <w:rPr>
                <w:sz w:val="20"/>
              </w:rPr>
              <w:t>0.7712</w:t>
            </w:r>
          </w:p>
        </w:tc>
        <w:tc>
          <w:tcPr>
            <w:tcW w:w="2266" w:type="dxa"/>
            <w:tcBorders>
              <w:top w:val="single" w:color="000000" w:sz="3"/>
              <w:left w:val="single" w:color="000000" w:sz="3"/>
              <w:bottom w:val="single" w:color="000000" w:sz="3"/>
              <w:right w:val="single" w:color="000000" w:sz="3"/>
            </w:tcBorders>
            <w:vAlign w:val="center"/>
          </w:tcPr>
          <w:p>
            <w:pPr>
              <w:pStyle w:val="79"/>
              <w:widowControl w:val="off"/>
            </w:pPr>
            <w:r>
              <w:rPr>
                <w:sz w:val="20"/>
              </w:rPr>
              <w:t>0.0998</w:t>
            </w:r>
          </w:p>
        </w:tc>
      </w:tr>
      <w:tr>
        <w:trPr>
          <w:trHeight w:val="236"/>
        </w:trPr>
        <w:tc>
          <w:tcPr>
            <w:tcW w:w="2386" w:type="dxa"/>
            <w:tcBorders>
              <w:top w:val="single" w:color="000000" w:sz="3"/>
              <w:left w:val="single" w:color="000000" w:sz="3"/>
              <w:bottom w:val="single" w:color="000000" w:sz="3"/>
              <w:right w:val="single" w:color="000000" w:sz="3"/>
            </w:tcBorders>
            <w:vAlign w:val="center"/>
          </w:tcPr>
          <w:p>
            <w:pPr>
              <w:pStyle w:val="79"/>
              <w:widowControl w:val="off"/>
            </w:pPr>
            <w:r>
              <w:rPr>
                <w:sz w:val="20"/>
              </w:rPr>
              <w:t>ElasticNet</w:t>
            </w:r>
          </w:p>
        </w:tc>
        <w:tc>
          <w:tcPr>
            <w:tcW w:w="1699" w:type="dxa"/>
            <w:tcBorders>
              <w:top w:val="single" w:color="000000" w:sz="3"/>
              <w:left w:val="single" w:color="000000" w:sz="3"/>
              <w:bottom w:val="single" w:color="000000" w:sz="3"/>
              <w:right w:val="single" w:color="000000" w:sz="3"/>
            </w:tcBorders>
            <w:vAlign w:val="center"/>
          </w:tcPr>
          <w:p>
            <w:pPr>
              <w:pStyle w:val="79"/>
              <w:widowControl w:val="off"/>
            </w:pPr>
            <w:r>
              <w:rPr>
                <w:sz w:val="20"/>
              </w:rPr>
              <w:t>Linear</w:t>
            </w:r>
          </w:p>
        </w:tc>
        <w:tc>
          <w:tcPr>
            <w:tcW w:w="2271" w:type="dxa"/>
            <w:tcBorders>
              <w:top w:val="single" w:color="000000" w:sz="3"/>
              <w:left w:val="single" w:color="000000" w:sz="3"/>
              <w:bottom w:val="single" w:color="000000" w:sz="3"/>
              <w:right w:val="single" w:color="000000" w:sz="3"/>
            </w:tcBorders>
            <w:vAlign w:val="center"/>
          </w:tcPr>
          <w:p>
            <w:pPr>
              <w:pStyle w:val="79"/>
              <w:widowControl w:val="off"/>
            </w:pPr>
            <w:r>
              <w:rPr>
                <w:sz w:val="20"/>
              </w:rPr>
              <w:t>0.7696</w:t>
            </w:r>
          </w:p>
        </w:tc>
        <w:tc>
          <w:tcPr>
            <w:tcW w:w="2266" w:type="dxa"/>
            <w:tcBorders>
              <w:top w:val="single" w:color="000000" w:sz="3"/>
              <w:left w:val="single" w:color="000000" w:sz="3"/>
              <w:bottom w:val="single" w:color="000000" w:sz="3"/>
              <w:right w:val="single" w:color="000000" w:sz="3"/>
            </w:tcBorders>
            <w:vAlign w:val="center"/>
          </w:tcPr>
          <w:p>
            <w:pPr>
              <w:pStyle w:val="79"/>
              <w:widowControl w:val="off"/>
            </w:pPr>
            <w:r>
              <w:rPr>
                <w:sz w:val="20"/>
              </w:rPr>
              <w:t>0.0742</w:t>
            </w:r>
          </w:p>
        </w:tc>
      </w:tr>
      <w:tr>
        <w:trPr>
          <w:trHeight w:val="257"/>
        </w:trPr>
        <w:tc>
          <w:tcPr>
            <w:tcW w:w="2386" w:type="dxa"/>
            <w:tcBorders>
              <w:top w:val="single" w:color="000000" w:sz="3"/>
              <w:left w:val="single" w:color="000000" w:sz="3"/>
              <w:bottom w:val="single" w:color="000000" w:sz="3"/>
              <w:right w:val="single" w:color="000000" w:sz="3"/>
            </w:tcBorders>
            <w:vAlign w:val="center"/>
          </w:tcPr>
          <w:p>
            <w:pPr>
              <w:pStyle w:val="79"/>
              <w:widowControl w:val="off"/>
            </w:pPr>
            <w:r>
              <w:rPr>
                <w:sz w:val="20"/>
              </w:rPr>
              <w:t>Ridge(pooled)</w:t>
            </w:r>
          </w:p>
        </w:tc>
        <w:tc>
          <w:tcPr>
            <w:tcW w:w="1699" w:type="dxa"/>
            <w:tcBorders>
              <w:top w:val="single" w:color="000000" w:sz="3"/>
              <w:left w:val="single" w:color="000000" w:sz="3"/>
              <w:bottom w:val="single" w:color="000000" w:sz="3"/>
              <w:right w:val="single" w:color="000000" w:sz="3"/>
            </w:tcBorders>
            <w:vAlign w:val="center"/>
          </w:tcPr>
          <w:p>
            <w:pPr>
              <w:pStyle w:val="79"/>
              <w:widowControl w:val="off"/>
            </w:pPr>
            <w:r>
              <w:rPr>
                <w:sz w:val="20"/>
              </w:rPr>
              <w:t>Linear</w:t>
            </w:r>
          </w:p>
        </w:tc>
        <w:tc>
          <w:tcPr>
            <w:tcW w:w="2271" w:type="dxa"/>
            <w:tcBorders>
              <w:top w:val="single" w:color="000000" w:sz="3"/>
              <w:left w:val="single" w:color="000000" w:sz="3"/>
              <w:bottom w:val="single" w:color="000000" w:sz="3"/>
              <w:right w:val="single" w:color="000000" w:sz="3"/>
            </w:tcBorders>
            <w:vAlign w:val="center"/>
          </w:tcPr>
          <w:p>
            <w:pPr>
              <w:pStyle w:val="79"/>
              <w:widowControl w:val="off"/>
            </w:pPr>
            <w:r>
              <w:rPr>
                <w:sz w:val="20"/>
              </w:rPr>
              <w:t>0.7625</w:t>
            </w:r>
          </w:p>
        </w:tc>
        <w:tc>
          <w:tcPr>
            <w:tcW w:w="2266" w:type="dxa"/>
            <w:tcBorders>
              <w:top w:val="single" w:color="000000" w:sz="3"/>
              <w:left w:val="single" w:color="000000" w:sz="3"/>
              <w:bottom w:val="single" w:color="000000" w:sz="3"/>
              <w:right w:val="single" w:color="000000" w:sz="3"/>
            </w:tcBorders>
            <w:vAlign w:val="center"/>
          </w:tcPr>
          <w:p>
            <w:pPr>
              <w:pStyle w:val="79"/>
              <w:widowControl w:val="off"/>
            </w:pPr>
            <w:r>
              <w:rPr>
                <w:sz w:val="20"/>
              </w:rPr>
              <w:t>-0.003</w:t>
            </w:r>
          </w:p>
        </w:tc>
      </w:tr>
      <w:tr>
        <w:trPr>
          <w:trHeight w:val="256"/>
        </w:trPr>
        <w:tc>
          <w:tcPr>
            <w:tcW w:w="2386" w:type="dxa"/>
            <w:tcBorders>
              <w:top w:val="single" w:color="000000" w:sz="3"/>
              <w:left w:val="single" w:color="000000" w:sz="3"/>
              <w:bottom w:val="single" w:color="000000" w:sz="3"/>
              <w:right w:val="single" w:color="000000" w:sz="3"/>
            </w:tcBorders>
            <w:vAlign w:val="center"/>
          </w:tcPr>
          <w:p>
            <w:pPr>
              <w:pStyle w:val="79"/>
              <w:widowControl w:val="off"/>
            </w:pPr>
            <w:r>
              <w:rPr>
                <w:sz w:val="20"/>
              </w:rPr>
              <w:t>Ridge(per-class)</w:t>
            </w:r>
          </w:p>
        </w:tc>
        <w:tc>
          <w:tcPr>
            <w:tcW w:w="1699" w:type="dxa"/>
            <w:tcBorders>
              <w:top w:val="single" w:color="000000" w:sz="3"/>
              <w:left w:val="single" w:color="000000" w:sz="3"/>
              <w:bottom w:val="single" w:color="000000" w:sz="3"/>
              <w:right w:val="single" w:color="000000" w:sz="3"/>
            </w:tcBorders>
            <w:vAlign w:val="center"/>
          </w:tcPr>
          <w:p>
            <w:pPr>
              <w:pStyle w:val="79"/>
              <w:widowControl w:val="off"/>
            </w:pPr>
            <w:r>
              <w:rPr>
                <w:sz w:val="20"/>
              </w:rPr>
              <w:t>Linear</w:t>
            </w:r>
          </w:p>
        </w:tc>
        <w:tc>
          <w:tcPr>
            <w:tcW w:w="2271" w:type="dxa"/>
            <w:tcBorders>
              <w:top w:val="single" w:color="000000" w:sz="3"/>
              <w:left w:val="single" w:color="000000" w:sz="3"/>
              <w:bottom w:val="single" w:color="000000" w:sz="3"/>
              <w:right w:val="single" w:color="000000" w:sz="3"/>
            </w:tcBorders>
            <w:vAlign w:val="center"/>
          </w:tcPr>
          <w:p>
            <w:pPr>
              <w:pStyle w:val="79"/>
              <w:widowControl w:val="off"/>
            </w:pPr>
            <w:r>
              <w:rPr>
                <w:sz w:val="20"/>
              </w:rPr>
              <w:t>0.7618</w:t>
            </w:r>
          </w:p>
        </w:tc>
        <w:tc>
          <w:tcPr>
            <w:tcW w:w="2266" w:type="dxa"/>
            <w:tcBorders>
              <w:top w:val="single" w:color="000000" w:sz="3"/>
              <w:left w:val="single" w:color="000000" w:sz="3"/>
              <w:bottom w:val="single" w:color="000000" w:sz="3"/>
              <w:right w:val="single" w:color="000000" w:sz="3"/>
            </w:tcBorders>
            <w:vAlign w:val="center"/>
          </w:tcPr>
          <w:p>
            <w:pPr>
              <w:pStyle w:val="79"/>
              <w:widowControl w:val="off"/>
            </w:pPr>
            <w:r>
              <w:rPr>
                <w:sz w:val="20"/>
              </w:rPr>
              <w:t>0.0949</w:t>
            </w:r>
          </w:p>
        </w:tc>
      </w:tr>
      <w:tr>
        <w:trPr>
          <w:trHeight w:val="236"/>
        </w:trPr>
        <w:tc>
          <w:tcPr>
            <w:tcW w:w="2386" w:type="dxa"/>
            <w:tcBorders>
              <w:top w:val="single" w:color="000000" w:sz="3"/>
              <w:left w:val="single" w:color="000000" w:sz="3"/>
              <w:bottom w:val="single" w:color="000000" w:sz="3"/>
              <w:right w:val="single" w:color="000000" w:sz="3"/>
            </w:tcBorders>
            <w:vAlign w:val="center"/>
          </w:tcPr>
          <w:p>
            <w:pPr>
              <w:pStyle w:val="79"/>
              <w:widowControl w:val="off"/>
            </w:pPr>
            <w:r>
              <w:rPr>
                <w:sz w:val="20"/>
              </w:rPr>
              <w:t>RF</w:t>
            </w:r>
          </w:p>
        </w:tc>
        <w:tc>
          <w:tcPr>
            <w:tcW w:w="1699" w:type="dxa"/>
            <w:tcBorders>
              <w:top w:val="single" w:color="000000" w:sz="3"/>
              <w:left w:val="single" w:color="000000" w:sz="3"/>
              <w:bottom w:val="single" w:color="000000" w:sz="3"/>
              <w:right w:val="single" w:color="000000" w:sz="3"/>
            </w:tcBorders>
            <w:vAlign w:val="center"/>
          </w:tcPr>
          <w:p>
            <w:pPr>
              <w:pStyle w:val="79"/>
              <w:widowControl w:val="off"/>
            </w:pPr>
            <w:r>
              <w:rPr>
                <w:sz w:val="20"/>
              </w:rPr>
              <w:t>Tree</w:t>
            </w:r>
          </w:p>
        </w:tc>
        <w:tc>
          <w:tcPr>
            <w:tcW w:w="2271" w:type="dxa"/>
            <w:tcBorders>
              <w:top w:val="single" w:color="000000" w:sz="3"/>
              <w:left w:val="single" w:color="000000" w:sz="3"/>
              <w:bottom w:val="single" w:color="000000" w:sz="3"/>
              <w:right w:val="single" w:color="000000" w:sz="3"/>
            </w:tcBorders>
            <w:vAlign w:val="center"/>
          </w:tcPr>
          <w:p>
            <w:pPr>
              <w:pStyle w:val="79"/>
              <w:widowControl w:val="off"/>
            </w:pPr>
            <w:r>
              <w:rPr>
                <w:sz w:val="20"/>
              </w:rPr>
              <w:t>0.7590</w:t>
            </w:r>
          </w:p>
        </w:tc>
        <w:tc>
          <w:tcPr>
            <w:tcW w:w="2266" w:type="dxa"/>
            <w:tcBorders>
              <w:top w:val="single" w:color="000000" w:sz="3"/>
              <w:left w:val="single" w:color="000000" w:sz="3"/>
              <w:bottom w:val="single" w:color="000000" w:sz="3"/>
              <w:right w:val="single" w:color="000000" w:sz="3"/>
            </w:tcBorders>
            <w:vAlign w:val="center"/>
          </w:tcPr>
          <w:p>
            <w:pPr>
              <w:pStyle w:val="79"/>
              <w:widowControl w:val="off"/>
            </w:pPr>
            <w:r>
              <w:rPr>
                <w:sz w:val="20"/>
              </w:rPr>
              <w:t>0.1424</w:t>
            </w:r>
          </w:p>
        </w:tc>
      </w:tr>
      <w:tr>
        <w:trPr>
          <w:trHeight w:val="236"/>
        </w:trPr>
        <w:tc>
          <w:tcPr>
            <w:tcW w:w="2386" w:type="dxa"/>
            <w:tcBorders>
              <w:top w:val="single" w:color="000000" w:sz="3"/>
              <w:left w:val="single" w:color="000000" w:sz="3"/>
              <w:bottom w:val="single" w:color="000000" w:sz="3"/>
              <w:right w:val="single" w:color="000000" w:sz="3"/>
            </w:tcBorders>
            <w:vAlign w:val="center"/>
          </w:tcPr>
          <w:p>
            <w:pPr>
              <w:pStyle w:val="79"/>
              <w:widowControl w:val="off"/>
            </w:pPr>
            <w:r>
              <w:rPr>
                <w:sz w:val="20"/>
              </w:rPr>
              <w:t>LightGBM</w:t>
            </w:r>
          </w:p>
        </w:tc>
        <w:tc>
          <w:tcPr>
            <w:tcW w:w="1699" w:type="dxa"/>
            <w:tcBorders>
              <w:top w:val="single" w:color="000000" w:sz="3"/>
              <w:left w:val="single" w:color="000000" w:sz="3"/>
              <w:bottom w:val="single" w:color="000000" w:sz="3"/>
              <w:right w:val="single" w:color="000000" w:sz="3"/>
            </w:tcBorders>
            <w:vAlign w:val="center"/>
          </w:tcPr>
          <w:p>
            <w:pPr>
              <w:pStyle w:val="79"/>
              <w:widowControl w:val="off"/>
            </w:pPr>
            <w:r>
              <w:rPr>
                <w:sz w:val="20"/>
              </w:rPr>
              <w:t>Tree</w:t>
            </w:r>
          </w:p>
        </w:tc>
        <w:tc>
          <w:tcPr>
            <w:tcW w:w="2271" w:type="dxa"/>
            <w:tcBorders>
              <w:top w:val="single" w:color="000000" w:sz="3"/>
              <w:left w:val="single" w:color="000000" w:sz="3"/>
              <w:bottom w:val="single" w:color="000000" w:sz="3"/>
              <w:right w:val="single" w:color="000000" w:sz="3"/>
            </w:tcBorders>
            <w:vAlign w:val="center"/>
          </w:tcPr>
          <w:p>
            <w:pPr>
              <w:pStyle w:val="79"/>
              <w:widowControl w:val="off"/>
            </w:pPr>
            <w:r>
              <w:rPr>
                <w:sz w:val="20"/>
              </w:rPr>
              <w:t>0.7387</w:t>
            </w:r>
          </w:p>
        </w:tc>
        <w:tc>
          <w:tcPr>
            <w:tcW w:w="2266" w:type="dxa"/>
            <w:tcBorders>
              <w:top w:val="single" w:color="000000" w:sz="3"/>
              <w:left w:val="single" w:color="000000" w:sz="3"/>
              <w:bottom w:val="single" w:color="000000" w:sz="3"/>
              <w:right w:val="single" w:color="000000" w:sz="3"/>
            </w:tcBorders>
            <w:vAlign w:val="center"/>
          </w:tcPr>
          <w:p>
            <w:pPr>
              <w:pStyle w:val="79"/>
              <w:widowControl w:val="off"/>
            </w:pPr>
            <w:r>
              <w:rPr>
                <w:sz w:val="20"/>
              </w:rPr>
              <w:t>0.0589</w:t>
            </w:r>
          </w:p>
        </w:tc>
      </w:tr>
      <w:tr>
        <w:trPr>
          <w:trHeight w:val="236"/>
        </w:trPr>
        <w:tc>
          <w:tcPr>
            <w:tcW w:w="2386" w:type="dxa"/>
            <w:tcBorders>
              <w:top w:val="single" w:color="000000" w:sz="3"/>
              <w:left w:val="single" w:color="000000" w:sz="3"/>
              <w:bottom w:val="single" w:color="000000" w:sz="3"/>
              <w:right w:val="single" w:color="000000" w:sz="3"/>
            </w:tcBorders>
            <w:vAlign w:val="center"/>
          </w:tcPr>
          <w:p>
            <w:pPr>
              <w:pStyle w:val="79"/>
              <w:widowControl w:val="off"/>
            </w:pPr>
            <w:r>
              <w:rPr>
                <w:sz w:val="20"/>
              </w:rPr>
              <w:t>XGBoost</w:t>
            </w:r>
          </w:p>
        </w:tc>
        <w:tc>
          <w:tcPr>
            <w:tcW w:w="1699" w:type="dxa"/>
            <w:tcBorders>
              <w:top w:val="single" w:color="000000" w:sz="3"/>
              <w:left w:val="single" w:color="000000" w:sz="3"/>
              <w:bottom w:val="single" w:color="000000" w:sz="3"/>
              <w:right w:val="single" w:color="000000" w:sz="3"/>
            </w:tcBorders>
            <w:vAlign w:val="center"/>
          </w:tcPr>
          <w:p>
            <w:pPr>
              <w:pStyle w:val="79"/>
              <w:widowControl w:val="off"/>
            </w:pPr>
            <w:r>
              <w:rPr>
                <w:sz w:val="20"/>
              </w:rPr>
              <w:t>Tree</w:t>
            </w:r>
          </w:p>
        </w:tc>
        <w:tc>
          <w:tcPr>
            <w:tcW w:w="2271" w:type="dxa"/>
            <w:tcBorders>
              <w:top w:val="single" w:color="000000" w:sz="3"/>
              <w:left w:val="single" w:color="000000" w:sz="3"/>
              <w:bottom w:val="single" w:color="000000" w:sz="3"/>
              <w:right w:val="single" w:color="000000" w:sz="3"/>
            </w:tcBorders>
            <w:vAlign w:val="center"/>
          </w:tcPr>
          <w:p>
            <w:pPr>
              <w:pStyle w:val="79"/>
              <w:widowControl w:val="off"/>
            </w:pPr>
            <w:r>
              <w:rPr>
                <w:sz w:val="20"/>
              </w:rPr>
              <w:t>0.7330</w:t>
            </w:r>
          </w:p>
        </w:tc>
        <w:tc>
          <w:tcPr>
            <w:tcW w:w="2266" w:type="dxa"/>
            <w:tcBorders>
              <w:top w:val="single" w:color="000000" w:sz="3"/>
              <w:left w:val="single" w:color="000000" w:sz="3"/>
              <w:bottom w:val="single" w:color="000000" w:sz="3"/>
              <w:right w:val="single" w:color="000000" w:sz="3"/>
            </w:tcBorders>
            <w:vAlign w:val="center"/>
          </w:tcPr>
          <w:p>
            <w:pPr>
              <w:pStyle w:val="79"/>
              <w:widowControl w:val="off"/>
            </w:pPr>
            <w:r>
              <w:rPr>
                <w:sz w:val="20"/>
              </w:rPr>
              <w:t>0.0353</w:t>
            </w:r>
          </w:p>
        </w:tc>
      </w:tr>
      <w:tr>
        <w:trPr>
          <w:trHeight w:val="236"/>
        </w:trPr>
        <w:tc>
          <w:tcPr>
            <w:tcW w:w="2386" w:type="dxa"/>
            <w:tcBorders>
              <w:top w:val="single" w:color="000000" w:sz="3"/>
              <w:left w:val="single" w:color="000000" w:sz="3"/>
              <w:bottom w:val="single" w:color="000000" w:sz="3"/>
              <w:right w:val="single" w:color="000000" w:sz="3"/>
            </w:tcBorders>
            <w:vAlign w:val="center"/>
          </w:tcPr>
          <w:p>
            <w:pPr>
              <w:pStyle w:val="79"/>
              <w:widowControl w:val="off"/>
            </w:pPr>
            <w:r>
              <w:rPr>
                <w:sz w:val="20"/>
              </w:rPr>
              <w:t>SVR</w:t>
            </w:r>
          </w:p>
        </w:tc>
        <w:tc>
          <w:tcPr>
            <w:tcW w:w="1699" w:type="dxa"/>
            <w:tcBorders>
              <w:top w:val="single" w:color="000000" w:sz="3"/>
              <w:left w:val="single" w:color="000000" w:sz="3"/>
              <w:bottom w:val="single" w:color="000000" w:sz="3"/>
              <w:right w:val="single" w:color="000000" w:sz="3"/>
            </w:tcBorders>
            <w:vAlign w:val="center"/>
          </w:tcPr>
          <w:p>
            <w:pPr>
              <w:pStyle w:val="79"/>
              <w:widowControl w:val="off"/>
            </w:pPr>
            <w:r>
              <w:rPr>
                <w:sz w:val="20"/>
              </w:rPr>
              <w:t>Kernel</w:t>
            </w:r>
          </w:p>
        </w:tc>
        <w:tc>
          <w:tcPr>
            <w:tcW w:w="2271" w:type="dxa"/>
            <w:tcBorders>
              <w:top w:val="single" w:color="000000" w:sz="3"/>
              <w:left w:val="single" w:color="000000" w:sz="3"/>
              <w:bottom w:val="single" w:color="000000" w:sz="3"/>
              <w:right w:val="single" w:color="000000" w:sz="3"/>
            </w:tcBorders>
            <w:vAlign w:val="center"/>
          </w:tcPr>
          <w:p>
            <w:pPr>
              <w:pStyle w:val="79"/>
              <w:widowControl w:val="off"/>
            </w:pPr>
            <w:r>
              <w:rPr>
                <w:sz w:val="20"/>
              </w:rPr>
              <w:t>0.6901</w:t>
            </w:r>
          </w:p>
        </w:tc>
        <w:tc>
          <w:tcPr>
            <w:tcW w:w="2266" w:type="dxa"/>
            <w:tcBorders>
              <w:top w:val="single" w:color="000000" w:sz="3"/>
              <w:left w:val="single" w:color="000000" w:sz="3"/>
              <w:bottom w:val="single" w:color="000000" w:sz="3"/>
              <w:right w:val="single" w:color="000000" w:sz="3"/>
            </w:tcBorders>
            <w:vAlign w:val="center"/>
          </w:tcPr>
          <w:p>
            <w:pPr>
              <w:pStyle w:val="79"/>
              <w:widowControl w:val="off"/>
            </w:pPr>
            <w:r>
              <w:rPr>
                <w:sz w:val="20"/>
              </w:rPr>
              <w:t>-0.0939</w:t>
            </w:r>
          </w:p>
        </w:tc>
      </w:tr>
      <w:tr>
        <w:trPr>
          <w:trHeight w:val="236"/>
        </w:trPr>
        <w:tc>
          <w:tcPr>
            <w:tcW w:w="2386" w:type="dxa"/>
            <w:tcBorders>
              <w:top w:val="single" w:color="000000" w:sz="3"/>
              <w:left w:val="single" w:color="000000" w:sz="3"/>
              <w:bottom w:val="single" w:color="000000" w:sz="3"/>
              <w:right w:val="single" w:color="000000" w:sz="3"/>
            </w:tcBorders>
            <w:vAlign w:val="center"/>
          </w:tcPr>
          <w:p>
            <w:pPr>
              <w:pStyle w:val="79"/>
              <w:widowControl w:val="off"/>
            </w:pPr>
            <w:r>
              <w:rPr>
                <w:sz w:val="20"/>
              </w:rPr>
              <w:t>MLP</w:t>
            </w:r>
          </w:p>
        </w:tc>
        <w:tc>
          <w:tcPr>
            <w:tcW w:w="1699" w:type="dxa"/>
            <w:tcBorders>
              <w:top w:val="single" w:color="000000" w:sz="3"/>
              <w:left w:val="single" w:color="000000" w:sz="3"/>
              <w:bottom w:val="single" w:color="000000" w:sz="3"/>
              <w:right w:val="single" w:color="000000" w:sz="3"/>
            </w:tcBorders>
            <w:vAlign w:val="center"/>
          </w:tcPr>
          <w:p>
            <w:pPr>
              <w:pStyle w:val="79"/>
              <w:widowControl w:val="off"/>
            </w:pPr>
            <w:r>
              <w:rPr>
                <w:sz w:val="20"/>
              </w:rPr>
              <w:t xml:space="preserve">NN </w:t>
            </w:r>
          </w:p>
        </w:tc>
        <w:tc>
          <w:tcPr>
            <w:tcW w:w="2271" w:type="dxa"/>
            <w:tcBorders>
              <w:top w:val="single" w:color="000000" w:sz="3"/>
              <w:left w:val="single" w:color="000000" w:sz="3"/>
              <w:bottom w:val="single" w:color="000000" w:sz="3"/>
              <w:right w:val="single" w:color="000000" w:sz="3"/>
            </w:tcBorders>
            <w:vAlign w:val="center"/>
          </w:tcPr>
          <w:p>
            <w:pPr>
              <w:pStyle w:val="79"/>
              <w:widowControl w:val="off"/>
            </w:pPr>
            <w:r>
              <w:rPr>
                <w:sz w:val="20"/>
              </w:rPr>
              <w:t xml:space="preserve">0.6183 </w:t>
            </w:r>
          </w:p>
        </w:tc>
        <w:tc>
          <w:tcPr>
            <w:tcW w:w="2266" w:type="dxa"/>
            <w:tcBorders>
              <w:top w:val="single" w:color="000000" w:sz="3"/>
              <w:left w:val="single" w:color="000000" w:sz="3"/>
              <w:bottom w:val="single" w:color="000000" w:sz="3"/>
              <w:right w:val="single" w:color="000000" w:sz="3"/>
            </w:tcBorders>
            <w:vAlign w:val="center"/>
          </w:tcPr>
          <w:p>
            <w:pPr>
              <w:pStyle w:val="79"/>
              <w:widowControl w:val="off"/>
            </w:pPr>
            <w:r>
              <w:rPr>
                <w:sz w:val="20"/>
              </w:rPr>
              <w:t>-0.3266</w:t>
            </w:r>
          </w:p>
        </w:tc>
      </w:tr>
    </w:tbl>
    <w:p>
      <w:pPr>
        <w:pStyle w:val="0"/>
        <w:widowControl w:val="off"/>
      </w:pPr>
      <w:r>
        <w:rPr/>
        <w:t>표 11. 다중 모델 22d 비교</w:t>
      </w:r>
    </w:p>
    <w:p>
      <w:pPr>
        <w:pStyle w:val="0"/>
        <w:widowControl w:val="off"/>
      </w:pPr>
      <w:r>
        <w:rPr/>
        <w:t>이는 '기계학습 모델의 구조가 복잡할수록 시계열 예측 성능도 우상향할 것'이라는 통념과 배치된다. 변동성 예측 환경 특유의 (i) 강한 자기상관 구조, (ii) 높은 잡음, (iii) 국면(레짐) 변화가 공존하기 때문에, 적절한 규제를 부여한 선형 모델이 테스트 구간에서 예측의 분산을 제어하며 더 안정적인 성능을 보일 수 있다.</w:t>
      </w:r>
    </w:p>
    <w:p>
      <w:pPr>
        <w:pStyle w:val="0"/>
        <w:widowControl w:val="off"/>
      </w:pPr>
      <w:r>
        <w:rPr/>
        <w:t>표 12는 본 연구에서 동일 데이터(11개 ETF, 2010~2025)·동일 37개 피처·동일 검증 절차(80:20 temporal split, purge=h)를 적용하여 수행한 공정 비교 결과이다. 이 표의 모든 수치는 동일 조건에서 산출되었으므로 직접적인 모델 간 우열 비교가 가능하다.</w:t>
      </w:r>
    </w:p>
    <w:p>
      <w:pPr>
        <w:pStyle w:val="0"/>
        <w:widowControl w:val="off"/>
      </w:pPr>
      <w:r>
        <w:rPr/>
        <w:t>BiLSTM-A는 과적합 방지를 위해 의도적으로 3개 range 피처만 사용하며(4.4.2절 참조), ElasticNet-59는 37개 기본 피처에 22개 cross-lag 피처를 추가한 확장 세트를 사용한다. 피처 수 차이는 불공정 비교가 아닌 각 모델의 최적 설계를 반영한 것이다.</w:t>
      </w:r>
    </w:p>
    <w:p>
      <w:pPr>
        <w:pStyle w:val="0"/>
        <w:widowControl w:val="off"/>
      </w:pPr>
      <w:r>
        <w:rPr/>
        <w:t>본 연구의 모델은 두 가지 차별점을 갖는다. 첫째, 옵션 단면 데이터 없이 공개 OHLCV와 VIX 기간구조만으로 문헌에서 보고된 최고 수준의 성능(표 12 참조)에 필적하거나 이를 상회하였다. 특히, 본 프레임워크와 동일 조건에서 평가된 전통적 시계열 모델인 GARCH(1,1) 및 GJR-GARCH(22d 풀링 R^2 ? 0.69) 대비, 기본 선형 구조(HAR-3, 0.761)와 기계학습/정규화 앙상블(WEns, 0.803)이 예측 성능을 대폭 상회함을 입증하였다. 둘째, 단일 자산(S&amp;P 500)이 아닌 주식/채권/원자재 11개 ETF를 통합한 cross-asset 환경에서 일관되게 검증되었다.</w:t>
      </w:r>
    </w:p>
    <w:p>
      <w:pPr>
        <w:pStyle w:val="0"/>
        <w:widowControl w:val="off"/>
        <w:rPr/>
      </w:pPr>
    </w:p>
    <w:p>
      <w:pPr>
        <w:pStyle w:val="0"/>
        <w:widowControl w:val="off"/>
        <w:rPr/>
      </w:pPr>
    </w:p>
    <w:tbl>
      <w:tblPr>
        <w:tblOverlap w:val="never"/>
        <w:tblW w:w="8527"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1067"/>
        <w:gridCol w:w="1067"/>
        <w:gridCol w:w="1066"/>
        <w:gridCol w:w="1067"/>
        <w:gridCol w:w="1067"/>
        <w:gridCol w:w="1067"/>
        <w:gridCol w:w="1067"/>
        <w:gridCol w:w="1059"/>
      </w:tblGrid>
      <w:tr>
        <w:trPr>
          <w:trHeight w:val="456"/>
        </w:trPr>
        <w:tc>
          <w:tcPr>
            <w:tcW w:w="1067"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Model</w:t>
            </w:r>
          </w:p>
        </w:tc>
        <w:tc>
          <w:tcPr>
            <w:tcW w:w="1067"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Type</w:t>
            </w:r>
          </w:p>
        </w:tc>
        <w:tc>
          <w:tcPr>
            <w:tcW w:w="106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#Feat</w:t>
            </w:r>
          </w:p>
        </w:tc>
        <w:tc>
          <w:tcPr>
            <w:tcW w:w="1067"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Features</w:t>
            </w:r>
          </w:p>
        </w:tc>
        <w:tc>
          <w:tcPr>
            <w:tcW w:w="1067"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Pooled R^2</w:t>
            </w:r>
          </w:p>
        </w:tc>
        <w:tc>
          <w:tcPr>
            <w:tcW w:w="1067"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Median R^2</w:t>
            </w:r>
          </w:p>
        </w:tc>
        <w:tc>
          <w:tcPr>
            <w:tcW w:w="1067"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RMSE</w:t>
            </w:r>
          </w:p>
        </w:tc>
        <w:tc>
          <w:tcPr>
            <w:tcW w:w="1059"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Note</w:t>
            </w:r>
          </w:p>
        </w:tc>
      </w:tr>
      <w:tr>
        <w:trPr>
          <w:trHeight w:val="857"/>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GARCH(1,1)</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TS</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Daily log returns</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0.6939</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0.0273</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0.5782</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Traditional benchmark</w:t>
            </w:r>
          </w:p>
        </w:tc>
      </w:tr>
      <w:tr>
        <w:trPr>
          <w:trHeight w:val="656"/>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GJR-GARCH</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TS</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Asymmetric returns</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0.6989</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-0.0066</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0.5735</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Asymmetry effect</w:t>
            </w:r>
          </w:p>
        </w:tc>
      </w:tr>
      <w:tr>
        <w:trPr>
          <w:trHeight w:val="657"/>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HAR-3</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Linear</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RV lags</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0.761</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0.1709</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0.5415</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Base benchmark</w:t>
            </w:r>
          </w:p>
        </w:tc>
      </w:tr>
      <w:tr>
        <w:trPr>
          <w:trHeight w:val="456"/>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Ridge (pooled)</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Linear</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37</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Full</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0.7625</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-0.003</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0.5093</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Single pooling</w:t>
            </w:r>
          </w:p>
        </w:tc>
      </w:tr>
      <w:tr>
        <w:trPr>
          <w:trHeight w:val="656"/>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Ridge (per-class)</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Linear</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37</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Full</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0.7618</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0.0949</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0.5101</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Per-class</w:t>
            </w:r>
          </w:p>
        </w:tc>
      </w:tr>
      <w:tr>
        <w:trPr>
          <w:trHeight w:val="257"/>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Lasso</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Linear</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37</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Full</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0.7712</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0.0998</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0.4999</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L1 reg.</w:t>
            </w:r>
          </w:p>
        </w:tc>
      </w:tr>
      <w:tr>
        <w:trPr>
          <w:trHeight w:val="456"/>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ElasticNet</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Linear</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37</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Full</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0.7696</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0.0742</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0.5017</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L1+L2</w:t>
            </w:r>
          </w:p>
        </w:tc>
      </w:tr>
      <w:tr>
        <w:trPr>
          <w:trHeight w:val="257"/>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RF</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Tree</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37</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Full</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0.759</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0.1424</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0.513</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w:t>
            </w:r>
          </w:p>
        </w:tc>
      </w:tr>
      <w:tr>
        <w:trPr>
          <w:trHeight w:val="256"/>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XGBoost</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Tree</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37</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Full</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0.733</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0.0353</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0.54</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w:t>
            </w:r>
          </w:p>
        </w:tc>
      </w:tr>
      <w:tr>
        <w:trPr>
          <w:trHeight w:val="256"/>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LightGBM</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Tree</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37</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Full</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0.7387</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0.0589</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0.5342</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w:t>
            </w:r>
          </w:p>
        </w:tc>
      </w:tr>
      <w:tr>
        <w:trPr>
          <w:trHeight w:val="257"/>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SVR</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Kernel</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37</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Full</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0.6901</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-0.0939</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0.5818</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w:t>
            </w:r>
          </w:p>
        </w:tc>
      </w:tr>
      <w:tr>
        <w:trPr>
          <w:trHeight w:val="456"/>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MLP</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NN</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37</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Full</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0.6183</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-0.3266</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0.6457</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Overfitting</w:t>
            </w:r>
          </w:p>
        </w:tc>
      </w:tr>
      <w:tr>
        <w:trPr>
          <w:trHeight w:val="657"/>
        </w:trPr>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BiLSTM-A</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DL</w:t>
            </w:r>
          </w:p>
        </w:tc>
        <w:tc>
          <w:tcPr>
            <w:tcW w:w="10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w:t>
            </w:r>
          </w:p>
        </w:tc>
        <w:tc>
          <w:tcPr>
            <w:tcW w:w="1067"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Range (RS,GK,RC)</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0.78</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0.2353</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0.4767</w:t>
            </w:r>
          </w:p>
        </w:tc>
        <w:tc>
          <w:tcPr>
            <w:tcW w:w="105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3-feat design</w:t>
            </w:r>
          </w:p>
        </w:tc>
      </w:tr>
      <w:tr>
        <w:trPr>
          <w:trHeight w:val="656"/>
        </w:trPr>
        <w:tc>
          <w:tcPr>
            <w:tcW w:w="10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WEns</w:t>
            </w:r>
          </w:p>
        </w:tc>
        <w:tc>
          <w:tcPr>
            <w:tcW w:w="10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Ensemble</w:t>
            </w:r>
          </w:p>
        </w:tc>
        <w:tc>
          <w:tcPr>
            <w:tcW w:w="1066"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37</w:t>
            </w:r>
          </w:p>
        </w:tc>
        <w:tc>
          <w:tcPr>
            <w:tcW w:w="10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Full</w:t>
            </w:r>
          </w:p>
        </w:tc>
        <w:tc>
          <w:tcPr>
            <w:tcW w:w="10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0.803</w:t>
            </w:r>
          </w:p>
        </w:tc>
        <w:tc>
          <w:tcPr>
            <w:tcW w:w="10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0.215</w:t>
            </w:r>
          </w:p>
        </w:tc>
        <w:tc>
          <w:tcPr>
            <w:tcW w:w="10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0.468</w:t>
            </w:r>
          </w:p>
        </w:tc>
        <w:tc>
          <w:tcPr>
            <w:tcW w:w="1059"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Ridge 70%+XGB 30%</w:t>
            </w:r>
          </w:p>
        </w:tc>
      </w:tr>
      <w:tr>
        <w:trPr>
          <w:trHeight w:val="456"/>
        </w:trPr>
        <w:tc>
          <w:tcPr>
            <w:tcW w:w="10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ElasticNet-59</w:t>
            </w:r>
          </w:p>
        </w:tc>
        <w:tc>
          <w:tcPr>
            <w:tcW w:w="10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Linear</w:t>
            </w:r>
          </w:p>
        </w:tc>
        <w:tc>
          <w:tcPr>
            <w:tcW w:w="1066"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59</w:t>
            </w:r>
          </w:p>
        </w:tc>
        <w:tc>
          <w:tcPr>
            <w:tcW w:w="10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Extended feat.</w:t>
            </w:r>
          </w:p>
        </w:tc>
        <w:tc>
          <w:tcPr>
            <w:tcW w:w="10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0.807</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w:t>
            </w:r>
          </w:p>
        </w:tc>
        <w:tc>
          <w:tcPr>
            <w:tcW w:w="106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0.4591</w:t>
            </w:r>
          </w:p>
        </w:tc>
        <w:tc>
          <w:tcPr>
            <w:tcW w:w="1059"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Best pooled</w:t>
            </w:r>
          </w:p>
        </w:tc>
      </w:tr>
    </w:tbl>
    <w:p>
      <w:pPr>
        <w:pStyle w:val="0"/>
        <w:widowControl w:val="off"/>
      </w:pPr>
      <w:r>
        <w:rPr/>
        <w:t>표 12. 본 연구 내 공정 비교</w:t>
      </w:r>
    </w:p>
    <w:p>
      <w:pPr>
        <w:pStyle w:val="0"/>
        <w:widowControl w:val="off"/>
        <w:rPr/>
      </w:pPr>
    </w:p>
    <w:p>
      <w:pPr>
        <w:pStyle w:val="0"/>
        <w:widowControl w:val="off"/>
      </w:pPr>
      <w:r>
        <w:rPr/>
        <w:t>가장 높은 성능을 낸 선형 모델(WEns) 군은 37개 구조의 전체 피처 집합을 사용한 반면, BiLSTM-A 모델은 3개의 range 피처에 국한된 설계값을 주었다는 부분에서 "선형 모델(37피처) 대 딥러닝(3변수)"이라는 불공정 비교(unfair comparison) 가능성이 제기될 수 있다. 이를 검증하고자 BiLSTM-A 모델에도 37피처의 전체 피처를 동일하게 적용하여 재학습시키는 공정 비교 실험을 수행하였다. 그 결과, 1~22d 지평에서 풀링 R^2가 기존 대비 큰 폭으로 하락한 0.538이 산출되었다. 더불어 대다수 개별 자산(예: SPY -0.18, QQQ -0.81) 단위에서 딥러닝 예측치가 단순 역사적 평균치를 하회</w:t>
      </w:r>
    </w:p>
    <w:p>
      <w:pPr>
        <w:pStyle w:val="0"/>
        <w:widowControl w:val="off"/>
        <w:rPr/>
      </w:pPr>
    </w:p>
    <w:p>
      <w:pPr>
        <w:pStyle w:val="0"/>
        <w:widowControl w:val="off"/>
      </w:pPr>
      <w:r>
        <w:br/>
        <w:rPr/>
        <w:t>하는 강한 음수 중위 R^2 궤적을 남겼다(상세 표는 부록 참조). 이는 다수 피처가 교차하는 차원의 저주 제약에서 복잡한 신경망 구조가 강한 과적합 함정에 빠진 전형적인 양상을 증빙한다. 종합하면, BiLSTM-A에 3개의 range 핵심 피처만 입력한 의사 결정이 기계적으로 설정한 "불공정한 모델 축소"가 아니라 딥러닝의 과적합 통제를 위해 채택했던 최적의 정교한 피처 설계 선택이었음이 확인된다. 나아가 본 예측 환경하에서는 무조건적인 은닉 층 추가 등 단순 복잡성 증가보다 사전 피처 선택과 안정적 정규화 계열 구성이 시계열 예측성에 더 핵심임을 관찰하였다.</w:t>
      </w:r>
    </w:p>
    <w:p>
      <w:pPr>
        <w:pStyle w:val="0"/>
        <w:widowControl w:val="off"/>
      </w:pPr>
      <w:r>
        <w:rPr/>
        <w:t>4.5 피처 기여 분석</w:t>
      </w:r>
    </w:p>
    <w:p>
      <w:pPr>
        <w:pStyle w:val="0"/>
        <w:widowControl w:val="off"/>
        <w:rPr/>
      </w:pPr>
    </w:p>
    <w:p>
      <w:pPr>
        <w:pStyle w:val="0"/>
        <w:widowControl w:val="off"/>
      </w:pPr>
      <w:r>
        <w:rPr/>
        <w:t>피처 그룹이 실제로 예측력에 기여하는지 확인하기 위해 서브셋 실험을 수행하였다. 그 결과, HAR+Range(8피처) 조합이 풀링 R^2와 중위 R^2 모두에서 강한 성능을 보였고, 단순히 피처를 많이 넣는다고 성능이 항상 증가하지는 않았다.</w:t>
      </w:r>
    </w:p>
    <w:p>
      <w:pPr>
        <w:pStyle w:val="0"/>
        <w:widowControl w:val="off"/>
        <w:rPr/>
      </w:pPr>
    </w:p>
    <w:p>
      <w:pPr>
        <w:pStyle w:val="0"/>
        <w:widowControl w:val="off"/>
      </w:pPr>
      <w:r>
        <w:rPr/>
        <w:t xml:space="preserve">표 13. WEns 모델 피처 서브셋 </w:t>
      </w:r>
    </w:p>
    <w:tbl>
      <w:tblPr>
        <w:tblOverlap w:val="never"/>
        <w:tblW w:w="4094"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1476"/>
        <w:gridCol w:w="967"/>
        <w:gridCol w:w="854"/>
        <w:gridCol w:w="797"/>
      </w:tblGrid>
      <w:tr>
        <w:trPr>
          <w:trHeight w:val="356"/>
        </w:trPr>
        <w:tc>
          <w:tcPr>
            <w:tcW w:w="1476" w:type="dxa"/>
            <w:tcBorders>
              <w:top w:val="single" w:color="000000" w:sz="3"/>
              <w:left w:val="single" w:color="000000" w:sz="3"/>
              <w:bottom w:val="single" w:color="000000" w:sz="3"/>
              <w:right w:val="single" w:color="000000" w:sz="3"/>
            </w:tcBorders>
            <w:vAlign w:val="center"/>
          </w:tcPr>
          <w:p>
            <w:pPr>
              <w:pStyle w:val="78"/>
              <w:widowControl w:val="off"/>
              <w:jc w:val="center"/>
            </w:pPr>
            <w:r>
              <w:rPr>
                <w:rFonts w:ascii="휴먼명조"/>
                <w:sz w:val="20"/>
              </w:rPr>
              <w:t>Subset</w:t>
            </w:r>
          </w:p>
        </w:tc>
        <w:tc>
          <w:tcPr>
            <w:tcW w:w="967" w:type="dxa"/>
            <w:tcBorders>
              <w:top w:val="single" w:color="000000" w:sz="3"/>
              <w:left w:val="single" w:color="000000" w:sz="3"/>
              <w:bottom w:val="single" w:color="000000" w:sz="3"/>
              <w:right w:val="single" w:color="000000" w:sz="3"/>
            </w:tcBorders>
            <w:vAlign w:val="center"/>
          </w:tcPr>
          <w:p>
            <w:pPr>
              <w:pStyle w:val="78"/>
              <w:widowControl w:val="off"/>
              <w:jc w:val="center"/>
            </w:pPr>
            <w:r>
              <w:rPr>
                <w:rFonts w:ascii="휴먼명조"/>
                <w:sz w:val="20"/>
              </w:rPr>
              <w:t>Feat Pooled</w:t>
            </w:r>
          </w:p>
        </w:tc>
        <w:tc>
          <w:tcPr>
            <w:tcW w:w="854" w:type="dxa"/>
            <w:tcBorders>
              <w:top w:val="single" w:color="000000" w:sz="3"/>
              <w:left w:val="single" w:color="000000" w:sz="3"/>
              <w:bottom w:val="single" w:color="000000" w:sz="3"/>
              <w:right w:val="single" w:color="000000" w:sz="3"/>
            </w:tcBorders>
            <w:vAlign w:val="center"/>
          </w:tcPr>
          <w:p>
            <w:pPr>
              <w:pStyle w:val="78"/>
              <w:widowControl w:val="off"/>
              <w:jc w:val="center"/>
            </w:pPr>
            <w:r>
              <w:rPr>
                <w:rFonts w:ascii="휴먼명조"/>
                <w:sz w:val="20"/>
              </w:rPr>
              <w:t>R^2 Median</w:t>
            </w:r>
          </w:p>
        </w:tc>
        <w:tc>
          <w:tcPr>
            <w:tcW w:w="797" w:type="dxa"/>
            <w:tcBorders>
              <w:top w:val="single" w:color="000000" w:sz="3"/>
              <w:left w:val="single" w:color="000000" w:sz="3"/>
              <w:bottom w:val="single" w:color="000000" w:sz="3"/>
              <w:right w:val="single" w:color="000000" w:sz="3"/>
            </w:tcBorders>
            <w:vAlign w:val="center"/>
          </w:tcPr>
          <w:p>
            <w:pPr>
              <w:pStyle w:val="78"/>
              <w:widowControl w:val="off"/>
              <w:jc w:val="center"/>
            </w:pPr>
            <w:r>
              <w:rPr>
                <w:rFonts w:ascii="휴먼명조"/>
                <w:sz w:val="20"/>
              </w:rPr>
              <w:t>R^2</w:t>
            </w:r>
          </w:p>
        </w:tc>
      </w:tr>
      <w:tr>
        <w:trPr>
          <w:trHeight w:val="457"/>
        </w:trPr>
        <w:tc>
          <w:tcPr>
            <w:tcW w:w="147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HAR + Range</w:t>
            </w:r>
          </w:p>
        </w:tc>
        <w:tc>
          <w:tcPr>
            <w:tcW w:w="967"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8</w:t>
            </w:r>
          </w:p>
        </w:tc>
        <w:tc>
          <w:tcPr>
            <w:tcW w:w="85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0.7854</w:t>
            </w:r>
          </w:p>
        </w:tc>
        <w:tc>
          <w:tcPr>
            <w:tcW w:w="797"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0.1480</w:t>
            </w:r>
          </w:p>
        </w:tc>
      </w:tr>
      <w:tr>
        <w:trPr>
          <w:trHeight w:val="456"/>
        </w:trPr>
        <w:tc>
          <w:tcPr>
            <w:tcW w:w="147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Range only</w:t>
            </w:r>
          </w:p>
        </w:tc>
        <w:tc>
          <w:tcPr>
            <w:tcW w:w="967"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5</w:t>
            </w:r>
          </w:p>
        </w:tc>
        <w:tc>
          <w:tcPr>
            <w:tcW w:w="85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0.7722</w:t>
            </w:r>
          </w:p>
        </w:tc>
        <w:tc>
          <w:tcPr>
            <w:tcW w:w="797"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0.0938</w:t>
            </w:r>
          </w:p>
        </w:tc>
      </w:tr>
      <w:tr>
        <w:trPr>
          <w:trHeight w:val="257"/>
        </w:trPr>
        <w:tc>
          <w:tcPr>
            <w:tcW w:w="147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Full(37)</w:t>
            </w:r>
          </w:p>
        </w:tc>
        <w:tc>
          <w:tcPr>
            <w:tcW w:w="967"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37</w:t>
            </w:r>
          </w:p>
        </w:tc>
        <w:tc>
          <w:tcPr>
            <w:tcW w:w="85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0.7618</w:t>
            </w:r>
          </w:p>
        </w:tc>
        <w:tc>
          <w:tcPr>
            <w:tcW w:w="797"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0.0949</w:t>
            </w:r>
          </w:p>
        </w:tc>
      </w:tr>
      <w:tr>
        <w:trPr>
          <w:trHeight w:val="256"/>
        </w:trPr>
        <w:tc>
          <w:tcPr>
            <w:tcW w:w="147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HAR only</w:t>
            </w:r>
          </w:p>
        </w:tc>
        <w:tc>
          <w:tcPr>
            <w:tcW w:w="967"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3</w:t>
            </w:r>
          </w:p>
        </w:tc>
        <w:tc>
          <w:tcPr>
            <w:tcW w:w="85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0.7321</w:t>
            </w:r>
          </w:p>
        </w:tc>
        <w:tc>
          <w:tcPr>
            <w:tcW w:w="797"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0.1678</w:t>
            </w:r>
          </w:p>
        </w:tc>
      </w:tr>
    </w:tbl>
    <w:p>
      <w:pPr>
        <w:pStyle w:val="0"/>
        <w:widowControl w:val="off"/>
      </w:pPr>
    </w:p>
    <w:p>
      <w:pPr>
        <w:pStyle w:val="0"/>
        <w:widowControl w:val="off"/>
      </w:pPr>
      <w:commentRangeStart w:id="52"/>
      <w:r>
        <w:rPr/>
        <w:commentReference w:id="52"/>
        <w:t>이 결과는 1~22d 구간에서 WEns(37피처 앙상블)이 풀링 R^2 = 0.803으로 가장 높은 성능을 기록한 사실과 모순되지 않는다. 즉, 기본 선형 구조에서는 HAR+Range만으로도 충분히 강하지만, 고변동성 국면이나 22d 지평에서는 IV Surface/Alt Data를 포함한 다수 피처 결합과 앙상블이 추가 개선을 제공할 수 있다.</w:t>
      </w:r>
      <w:commentRangeEnd w:id="52"/>
    </w:p>
    <w:p>
      <w:pPr>
        <w:pStyle w:val="0"/>
        <w:widowControl w:val="off"/>
      </w:pPr>
      <w:r>
        <w:rPr/>
        <w:t>단일 방법의 편향을 방지하기 위해 7개 방법론(Ridge 정규화 계수, Permutation, XGBoost Gain, SHAP, Mutual Info, Spearman, RFE)의 중요도를 평균하여 표 14의 합의 순위를 산출하였다.</w:t>
      </w:r>
    </w:p>
    <w:p>
      <w:pPr>
        <w:pStyle w:val="0"/>
        <w:widowControl w:val="off"/>
        <w:rPr/>
      </w:pPr>
    </w:p>
    <w:tbl>
      <w:tblPr>
        <w:tblOverlap w:val="never"/>
        <w:tblW w:w="4320"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684"/>
        <w:gridCol w:w="1589"/>
        <w:gridCol w:w="1363"/>
        <w:gridCol w:w="684"/>
      </w:tblGrid>
      <w:tr>
        <w:trPr>
          <w:trHeight w:val="456"/>
        </w:trPr>
        <w:tc>
          <w:tcPr>
            <w:tcW w:w="68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Rank</w:t>
            </w:r>
          </w:p>
        </w:tc>
        <w:tc>
          <w:tcPr>
            <w:tcW w:w="1589"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Feature</w:t>
            </w:r>
          </w:p>
        </w:tc>
        <w:tc>
          <w:tcPr>
            <w:tcW w:w="1363"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Group</w:t>
            </w:r>
          </w:p>
        </w:tc>
        <w:tc>
          <w:tcPr>
            <w:tcW w:w="684"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Mean Rank</w:t>
            </w:r>
          </w:p>
        </w:tc>
      </w:tr>
      <w:tr>
        <w:trPr>
          <w:trHeight w:val="457"/>
        </w:trPr>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w:t>
            </w:r>
          </w:p>
        </w:tc>
        <w:tc>
          <w:tcPr>
            <w:tcW w:w="158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RogersSatchell_22</w:t>
            </w:r>
          </w:p>
        </w:tc>
        <w:tc>
          <w:tcPr>
            <w:tcW w:w="1363"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HF Proxy</w:t>
            </w:r>
          </w:p>
        </w:tc>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2.6</w:t>
            </w:r>
          </w:p>
        </w:tc>
      </w:tr>
      <w:tr>
        <w:trPr>
          <w:trHeight w:val="256"/>
        </w:trPr>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w:t>
            </w:r>
          </w:p>
        </w:tc>
        <w:tc>
          <w:tcPr>
            <w:tcW w:w="158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Garch_Weekly</w:t>
            </w:r>
          </w:p>
        </w:tc>
        <w:tc>
          <w:tcPr>
            <w:tcW w:w="1363"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GARCH</w:t>
            </w:r>
          </w:p>
        </w:tc>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4.4</w:t>
            </w:r>
          </w:p>
        </w:tc>
      </w:tr>
      <w:tr>
        <w:trPr>
          <w:trHeight w:val="257"/>
        </w:trPr>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w:t>
            </w:r>
          </w:p>
        </w:tc>
        <w:tc>
          <w:tcPr>
            <w:tcW w:w="158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Parkinson_22</w:t>
            </w:r>
          </w:p>
        </w:tc>
        <w:tc>
          <w:tcPr>
            <w:tcW w:w="1363"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HF Proxy</w:t>
            </w:r>
          </w:p>
        </w:tc>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5.1</w:t>
            </w:r>
          </w:p>
        </w:tc>
      </w:tr>
      <w:tr>
        <w:trPr>
          <w:trHeight w:val="256"/>
        </w:trPr>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4</w:t>
            </w:r>
          </w:p>
        </w:tc>
        <w:tc>
          <w:tcPr>
            <w:tcW w:w="158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GarmanKlass_22</w:t>
            </w:r>
          </w:p>
        </w:tc>
        <w:tc>
          <w:tcPr>
            <w:tcW w:w="1363"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HF Proxy</w:t>
            </w:r>
          </w:p>
        </w:tc>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5.3</w:t>
            </w:r>
          </w:p>
        </w:tc>
      </w:tr>
      <w:tr>
        <w:trPr>
          <w:trHeight w:val="256"/>
        </w:trPr>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5</w:t>
            </w:r>
          </w:p>
        </w:tc>
        <w:tc>
          <w:tcPr>
            <w:tcW w:w="158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Garch_Daily</w:t>
            </w:r>
          </w:p>
        </w:tc>
        <w:tc>
          <w:tcPr>
            <w:tcW w:w="1363"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GARCH</w:t>
            </w:r>
          </w:p>
        </w:tc>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6.7</w:t>
            </w:r>
          </w:p>
        </w:tc>
      </w:tr>
      <w:tr>
        <w:trPr>
          <w:trHeight w:val="257"/>
        </w:trPr>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6</w:t>
            </w:r>
          </w:p>
        </w:tc>
        <w:tc>
          <w:tcPr>
            <w:tcW w:w="158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LogRV_lag22</w:t>
            </w:r>
          </w:p>
        </w:tc>
        <w:tc>
          <w:tcPr>
            <w:tcW w:w="1363"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w:t>
            </w:r>
          </w:p>
        </w:tc>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7.6</w:t>
            </w:r>
          </w:p>
        </w:tc>
      </w:tr>
      <w:tr>
        <w:trPr>
          <w:trHeight w:val="256"/>
        </w:trPr>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7</w:t>
            </w:r>
          </w:p>
        </w:tc>
        <w:tc>
          <w:tcPr>
            <w:tcW w:w="158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LogRV_lag1</w:t>
            </w:r>
          </w:p>
        </w:tc>
        <w:tc>
          <w:tcPr>
            <w:tcW w:w="1363"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w:t>
            </w:r>
          </w:p>
        </w:tc>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9.1</w:t>
            </w:r>
          </w:p>
        </w:tc>
      </w:tr>
      <w:tr>
        <w:trPr>
          <w:trHeight w:val="257"/>
        </w:trPr>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8</w:t>
            </w:r>
          </w:p>
        </w:tc>
        <w:tc>
          <w:tcPr>
            <w:tcW w:w="158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Parkinson_5</w:t>
            </w:r>
          </w:p>
        </w:tc>
        <w:tc>
          <w:tcPr>
            <w:tcW w:w="1363"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HF Proxy</w:t>
            </w:r>
          </w:p>
        </w:tc>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9.1</w:t>
            </w:r>
          </w:p>
        </w:tc>
      </w:tr>
      <w:tr>
        <w:trPr>
          <w:trHeight w:val="256"/>
        </w:trPr>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9</w:t>
            </w:r>
          </w:p>
        </w:tc>
        <w:tc>
          <w:tcPr>
            <w:tcW w:w="158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IV_VRP_ma22</w:t>
            </w:r>
          </w:p>
        </w:tc>
        <w:tc>
          <w:tcPr>
            <w:tcW w:w="1363"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 Surface</w:t>
            </w:r>
          </w:p>
        </w:tc>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11.7</w:t>
            </w:r>
          </w:p>
        </w:tc>
      </w:tr>
      <w:tr>
        <w:trPr>
          <w:trHeight w:val="256"/>
        </w:trPr>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10</w:t>
            </w:r>
          </w:p>
        </w:tc>
        <w:tc>
          <w:tcPr>
            <w:tcW w:w="1589"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IV_VIX</w:t>
            </w:r>
          </w:p>
        </w:tc>
        <w:tc>
          <w:tcPr>
            <w:tcW w:w="1363"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 Surface</w:t>
            </w:r>
          </w:p>
        </w:tc>
        <w:tc>
          <w:tcPr>
            <w:tcW w:w="684"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11.9</w:t>
            </w:r>
          </w:p>
        </w:tc>
      </w:tr>
    </w:tbl>
    <w:p>
      <w:pPr>
        <w:pStyle w:val="0"/>
        <w:widowControl w:val="off"/>
      </w:pPr>
      <w:r>
        <w:rPr/>
        <w:t>표 14. 피처 중요도(7개 방법 평균)</w:t>
      </w:r>
    </w:p>
    <w:p>
      <w:pPr>
        <w:pStyle w:val="0"/>
        <w:widowControl w:val="off"/>
      </w:pPr>
      <w:r>
        <w:rPr/>
        <w:t>HF Proxy(range 기반) 피처가 상위 4위 중 3개를 차지하며, GARCH 피처가 그 다음으로 높은 순위를 기록하였다. IV Surface 피처는 상대적으로 낮은 순위이지만, 4.6절의 레짐 분석에서 High VIX 구간의 추가 기여가 두드러지는 조건부 중요성을 보인다.</w:t>
      </w:r>
    </w:p>
    <w:p>
      <w:pPr>
        <w:pStyle w:val="0"/>
        <w:widowControl w:val="off"/>
        <w:rPr/>
      </w:pPr>
    </w:p>
    <w:p>
      <w:pPr>
        <w:pStyle w:val="0"/>
        <w:widowControl w:val="off"/>
      </w:pPr>
      <w:r>
        <w:rPr/>
        <w:t>4.6 고변동성 분석</w:t>
      </w:r>
    </w:p>
    <w:p>
      <w:pPr>
        <w:pStyle w:val="0"/>
        <w:widowControl w:val="off"/>
        <w:rPr/>
      </w:pPr>
    </w:p>
    <w:p>
      <w:pPr>
        <w:pStyle w:val="0"/>
        <w:widowControl w:val="off"/>
      </w:pPr>
      <w:r>
        <w:rPr/>
        <w:t xml:space="preserve">VIX 분위수 기반 레짐 분석 결과, HAR-3 대비 WEns의 개선 폭은 VIX 레짐에 따라 뚜렷이 달라졌다. Low VIX(하위 50%): R^2 0.739 </w:t>
      </w:r>
      <w:r>
        <w:rPr/>
        <w:t>→</w:t>
      </w:r>
      <w:r>
        <w:rPr/>
        <w:t xml:space="preserve"> 0.781(+0.042), Mid VIX(50~90%): 0.698 </w:t>
      </w:r>
      <w:r>
        <w:rPr/>
        <w:t>→</w:t>
      </w:r>
      <w:r>
        <w:rPr/>
        <w:t xml:space="preserve"> 0.722(+0.024)에 그친 반면, High VIX(상위 10%) 구간에서는 0.602 </w:t>
      </w:r>
      <w:r>
        <w:rPr/>
        <w:t>→</w:t>
      </w:r>
      <w:r>
        <w:rPr/>
        <w:t xml:space="preserve"> 0.765(+0.163)으로 개선 폭이 가장 컸다.</w:t>
      </w:r>
    </w:p>
    <w:p>
      <w:pPr>
        <w:pStyle w:val="0"/>
        <w:widowControl w:val="off"/>
      </w:pPr>
      <w:r>
        <w:rPr/>
        <w:t>이는 (i) IV Surface(기간구조, VRP 통계) 피처가 극단적 불확실성에서 추가 정보를 제공하고, (ii) HF proxy(range 계열)가 위기 시 확대되는 일중 변동을 포착하기 때문으로 해석할 수 있다.</w:t>
      </w:r>
    </w:p>
    <w:p>
      <w:pPr>
        <w:pStyle w:val="0"/>
        <w:widowControl w:val="off"/>
      </w:pPr>
      <w:r>
        <w:rPr/>
        <w:t>이와 함께, 자산 클래스 및 모델 비교 기간(서브샘플)에 따른 이질성 분석 결과는 모형 개선의 양면성을 보여준다. HAR-3 대비 WEns의 성능의 대폭 향상은 주로 주식(Equity) 패널에서 R^2 +0.163 개선으로 이끌었으나 원자재(Commodity)에서는 개선이 매우 둔화(-0.055)되는 양상을 띠었다. 또한, 2010-2014 기간에는 성능 향상이 뚜렷하나 2020년 코로나 이후 국면에서는 단일 피처 모델 간 성능 우위 차이가 줄어드는 경향이 관찰되었다. 이는 모델이 특정 시황에 과적합되지 않도록 향후 자산 군집 별 또는 레짐 별 적응형 최적화(regularization) 적용의 당위성을 제공한다.</w:t>
      </w:r>
    </w:p>
    <w:p>
      <w:pPr>
        <w:pStyle w:val="0"/>
        <w:widowControl w:val="off"/>
        <w:rPr/>
      </w:pPr>
    </w:p>
    <w:p>
      <w:pPr>
        <w:pStyle w:val="0"/>
        <w:widowControl w:val="off"/>
      </w:pPr>
      <w:r>
        <w:rPr/>
        <w:t>표 15. 자산군별 HAR-3 vs WEns 성능(22d R^2)</w:t>
      </w:r>
    </w:p>
    <w:tbl>
      <w:tblPr>
        <w:tblOverlap w:val="never"/>
        <w:tblW w:w="4098"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764"/>
        <w:gridCol w:w="876"/>
        <w:gridCol w:w="821"/>
        <w:gridCol w:w="820"/>
        <w:gridCol w:w="817"/>
      </w:tblGrid>
      <w:tr>
        <w:trPr>
          <w:trHeight w:val="456"/>
        </w:trPr>
        <w:tc>
          <w:tcPr>
            <w:tcW w:w="764"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Asset</w:t>
            </w:r>
          </w:p>
        </w:tc>
        <w:tc>
          <w:tcPr>
            <w:tcW w:w="876"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Class</w:t>
            </w:r>
          </w:p>
        </w:tc>
        <w:tc>
          <w:tcPr>
            <w:tcW w:w="821"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HAR-3 R^2</w:t>
            </w:r>
          </w:p>
        </w:tc>
        <w:tc>
          <w:tcPr>
            <w:tcW w:w="820"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WEns R^2</w:t>
            </w:r>
          </w:p>
        </w:tc>
        <w:tc>
          <w:tcPr>
            <w:tcW w:w="817"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Delta</w:t>
            </w:r>
          </w:p>
        </w:tc>
      </w:tr>
      <w:tr>
        <w:trPr>
          <w:trHeight w:val="257"/>
        </w:trPr>
        <w:tc>
          <w:tcPr>
            <w:tcW w:w="7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SPY</w:t>
            </w:r>
          </w:p>
        </w:tc>
        <w:tc>
          <w:tcPr>
            <w:tcW w:w="876"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Equity</w:t>
            </w:r>
          </w:p>
        </w:tc>
        <w:tc>
          <w:tcPr>
            <w:tcW w:w="821"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0.136</w:t>
            </w:r>
          </w:p>
        </w:tc>
        <w:tc>
          <w:tcPr>
            <w:tcW w:w="820"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0.299</w:t>
            </w:r>
          </w:p>
        </w:tc>
        <w:tc>
          <w:tcPr>
            <w:tcW w:w="81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0.163</w:t>
            </w:r>
          </w:p>
        </w:tc>
      </w:tr>
      <w:tr>
        <w:trPr>
          <w:trHeight w:val="256"/>
        </w:trPr>
        <w:tc>
          <w:tcPr>
            <w:tcW w:w="7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QQQ</w:t>
            </w:r>
          </w:p>
        </w:tc>
        <w:tc>
          <w:tcPr>
            <w:tcW w:w="876"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Equity</w:t>
            </w:r>
          </w:p>
        </w:tc>
        <w:tc>
          <w:tcPr>
            <w:tcW w:w="821"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0.091</w:t>
            </w:r>
          </w:p>
        </w:tc>
        <w:tc>
          <w:tcPr>
            <w:tcW w:w="820"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0.262</w:t>
            </w:r>
          </w:p>
        </w:tc>
        <w:tc>
          <w:tcPr>
            <w:tcW w:w="81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0.171</w:t>
            </w:r>
          </w:p>
        </w:tc>
      </w:tr>
      <w:tr>
        <w:trPr>
          <w:trHeight w:val="257"/>
        </w:trPr>
        <w:tc>
          <w:tcPr>
            <w:tcW w:w="7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IWM</w:t>
            </w:r>
          </w:p>
        </w:tc>
        <w:tc>
          <w:tcPr>
            <w:tcW w:w="876"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Equity</w:t>
            </w:r>
          </w:p>
        </w:tc>
        <w:tc>
          <w:tcPr>
            <w:tcW w:w="821"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0.088</w:t>
            </w:r>
          </w:p>
        </w:tc>
        <w:tc>
          <w:tcPr>
            <w:tcW w:w="820"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0.215</w:t>
            </w:r>
          </w:p>
        </w:tc>
        <w:tc>
          <w:tcPr>
            <w:tcW w:w="81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0.127</w:t>
            </w:r>
          </w:p>
        </w:tc>
      </w:tr>
      <w:tr>
        <w:trPr>
          <w:trHeight w:val="256"/>
        </w:trPr>
        <w:tc>
          <w:tcPr>
            <w:tcW w:w="7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EFA</w:t>
            </w:r>
          </w:p>
        </w:tc>
        <w:tc>
          <w:tcPr>
            <w:tcW w:w="876"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Equity</w:t>
            </w:r>
          </w:p>
        </w:tc>
        <w:tc>
          <w:tcPr>
            <w:tcW w:w="821"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0.032</w:t>
            </w:r>
          </w:p>
        </w:tc>
        <w:tc>
          <w:tcPr>
            <w:tcW w:w="820"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0.139</w:t>
            </w:r>
          </w:p>
        </w:tc>
        <w:tc>
          <w:tcPr>
            <w:tcW w:w="81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0.107</w:t>
            </w:r>
          </w:p>
        </w:tc>
      </w:tr>
      <w:tr>
        <w:trPr>
          <w:trHeight w:val="256"/>
        </w:trPr>
        <w:tc>
          <w:tcPr>
            <w:tcW w:w="7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EEM</w:t>
            </w:r>
          </w:p>
        </w:tc>
        <w:tc>
          <w:tcPr>
            <w:tcW w:w="876"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Equity</w:t>
            </w:r>
          </w:p>
        </w:tc>
        <w:tc>
          <w:tcPr>
            <w:tcW w:w="821"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-0.015</w:t>
            </w:r>
          </w:p>
        </w:tc>
        <w:tc>
          <w:tcPr>
            <w:tcW w:w="820"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0.059</w:t>
            </w:r>
          </w:p>
        </w:tc>
        <w:tc>
          <w:tcPr>
            <w:tcW w:w="81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0.074</w:t>
            </w:r>
          </w:p>
        </w:tc>
      </w:tr>
      <w:tr>
        <w:trPr>
          <w:trHeight w:val="257"/>
        </w:trPr>
        <w:tc>
          <w:tcPr>
            <w:tcW w:w="7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TLT</w:t>
            </w:r>
          </w:p>
        </w:tc>
        <w:tc>
          <w:tcPr>
            <w:tcW w:w="876"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Bond</w:t>
            </w:r>
          </w:p>
        </w:tc>
        <w:tc>
          <w:tcPr>
            <w:tcW w:w="821"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0.015</w:t>
            </w:r>
          </w:p>
        </w:tc>
        <w:tc>
          <w:tcPr>
            <w:tcW w:w="820"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-0.003</w:t>
            </w:r>
          </w:p>
        </w:tc>
        <w:tc>
          <w:tcPr>
            <w:tcW w:w="81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-0.018</w:t>
            </w:r>
          </w:p>
        </w:tc>
      </w:tr>
      <w:tr>
        <w:trPr>
          <w:trHeight w:val="256"/>
        </w:trPr>
        <w:tc>
          <w:tcPr>
            <w:tcW w:w="7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IEF</w:t>
            </w:r>
          </w:p>
        </w:tc>
        <w:tc>
          <w:tcPr>
            <w:tcW w:w="876"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Bond</w:t>
            </w:r>
          </w:p>
        </w:tc>
        <w:tc>
          <w:tcPr>
            <w:tcW w:w="821"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0.022</w:t>
            </w:r>
          </w:p>
        </w:tc>
        <w:tc>
          <w:tcPr>
            <w:tcW w:w="820"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0.03</w:t>
            </w:r>
          </w:p>
        </w:tc>
        <w:tc>
          <w:tcPr>
            <w:tcW w:w="81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0.008</w:t>
            </w:r>
          </w:p>
        </w:tc>
      </w:tr>
      <w:tr>
        <w:trPr>
          <w:trHeight w:val="257"/>
        </w:trPr>
        <w:tc>
          <w:tcPr>
            <w:tcW w:w="7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AGG</w:t>
            </w:r>
          </w:p>
        </w:tc>
        <w:tc>
          <w:tcPr>
            <w:tcW w:w="876"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Bond</w:t>
            </w:r>
          </w:p>
        </w:tc>
        <w:tc>
          <w:tcPr>
            <w:tcW w:w="821"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0.01</w:t>
            </w:r>
          </w:p>
        </w:tc>
        <w:tc>
          <w:tcPr>
            <w:tcW w:w="820"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0.019</w:t>
            </w:r>
          </w:p>
        </w:tc>
        <w:tc>
          <w:tcPr>
            <w:tcW w:w="81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0.009</w:t>
            </w:r>
          </w:p>
        </w:tc>
      </w:tr>
      <w:tr>
        <w:trPr>
          <w:trHeight w:val="456"/>
        </w:trPr>
        <w:tc>
          <w:tcPr>
            <w:tcW w:w="7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GLD</w:t>
            </w:r>
          </w:p>
        </w:tc>
        <w:tc>
          <w:tcPr>
            <w:tcW w:w="876"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Commodity</w:t>
            </w:r>
          </w:p>
        </w:tc>
        <w:tc>
          <w:tcPr>
            <w:tcW w:w="821"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0.075</w:t>
            </w:r>
          </w:p>
        </w:tc>
        <w:tc>
          <w:tcPr>
            <w:tcW w:w="820"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0.105</w:t>
            </w:r>
          </w:p>
        </w:tc>
        <w:tc>
          <w:tcPr>
            <w:tcW w:w="81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0.03</w:t>
            </w:r>
          </w:p>
        </w:tc>
      </w:tr>
      <w:tr>
        <w:trPr>
          <w:trHeight w:val="456"/>
        </w:trPr>
        <w:tc>
          <w:tcPr>
            <w:tcW w:w="7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SLV</w:t>
            </w:r>
          </w:p>
        </w:tc>
        <w:tc>
          <w:tcPr>
            <w:tcW w:w="876"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Commodity</w:t>
            </w:r>
          </w:p>
        </w:tc>
        <w:tc>
          <w:tcPr>
            <w:tcW w:w="821"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0.174</w:t>
            </w:r>
          </w:p>
        </w:tc>
        <w:tc>
          <w:tcPr>
            <w:tcW w:w="820"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0.119</w:t>
            </w:r>
          </w:p>
        </w:tc>
        <w:tc>
          <w:tcPr>
            <w:tcW w:w="81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-0.055</w:t>
            </w:r>
          </w:p>
        </w:tc>
      </w:tr>
      <w:tr>
        <w:trPr>
          <w:trHeight w:val="457"/>
        </w:trPr>
        <w:tc>
          <w:tcPr>
            <w:tcW w:w="7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USO</w:t>
            </w:r>
          </w:p>
        </w:tc>
        <w:tc>
          <w:tcPr>
            <w:tcW w:w="876"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Commodity</w:t>
            </w:r>
          </w:p>
        </w:tc>
        <w:tc>
          <w:tcPr>
            <w:tcW w:w="821"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-0.035</w:t>
            </w:r>
          </w:p>
        </w:tc>
        <w:tc>
          <w:tcPr>
            <w:tcW w:w="820"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-0.081</w:t>
            </w:r>
          </w:p>
        </w:tc>
        <w:tc>
          <w:tcPr>
            <w:tcW w:w="817"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-0.046</w:t>
            </w:r>
          </w:p>
        </w:tc>
      </w:tr>
    </w:tbl>
    <w:p>
      <w:pPr>
        <w:pStyle w:val="0"/>
        <w:widowControl w:val="off"/>
      </w:pPr>
    </w:p>
    <w:p>
      <w:pPr>
        <w:pStyle w:val="0"/>
        <w:widowControl w:val="off"/>
        <w:rPr/>
      </w:pPr>
    </w:p>
    <w:p>
      <w:pPr>
        <w:pStyle w:val="0"/>
        <w:widowControl w:val="off"/>
      </w:pPr>
      <w:r>
        <w:rPr/>
        <w:t>4.7 통계적 유의성 검정</w:t>
      </w:r>
    </w:p>
    <w:p>
      <w:pPr>
        <w:pStyle w:val="0"/>
        <w:widowControl w:val="off"/>
        <w:rPr/>
      </w:pPr>
    </w:p>
    <w:p>
      <w:pPr>
        <w:pStyle w:val="0"/>
        <w:widowControl w:val="off"/>
      </w:pPr>
      <w:r>
        <w:rPr/>
        <w:t>22거래일 지평에서는 Newey-West HAC(bandwidth=22)를 적용한 통계적 검정 결과, WEns 가중 앙상블은 HAR-3 대비 Diebold-Mariano 통계량 -8.80 (p &lt;&lt; 0.001)을 기록하며 극히 유의미하게 우수하였다.</w:t>
      </w:r>
    </w:p>
    <w:p>
      <w:pPr>
        <w:pStyle w:val="0"/>
        <w:widowControl w:val="off"/>
      </w:pPr>
      <w:r>
        <w:rPr/>
        <w:t>또한 지평별로 HAC bandwidth를 h로 두고 DM 검정을 확장한 결과, 축소 피처(9개) 기반 비교에서는 예측 오차의 분산 축소 효과가 크지 않아 비교적 유의하지 않았으나, 다수 피처(37) 결합 앙상블은 매우 높은 신뢰도(1% 수준)로 기본 HAR 모형의 한계를 넘어섰다.</w:t>
      </w:r>
    </w:p>
    <w:p>
      <w:pPr>
        <w:pStyle w:val="0"/>
        <w:widowControl w:val="off"/>
      </w:pPr>
      <w:r>
        <w:rPr/>
        <w:t>Newey-West HAC 검정(bandwidth=h)에서 WEns vs HAR-3의 DM 통계량은 22d -8.802(p &lt; 0.001), 60d -7.481(p &lt; 0.001)이었으며, 블록 부트스트랩(B=5,000)에서도 각각 -8.756, -7.593(모두 p &lt; 0.001)으로 두 방법 모두 동일한 결론을 지지하였다.</w:t>
      </w:r>
    </w:p>
    <w:p>
      <w:pPr>
        <w:pStyle w:val="0"/>
        <w:widowControl w:val="off"/>
        <w:rPr/>
      </w:pPr>
    </w:p>
    <w:p>
      <w:pPr>
        <w:pStyle w:val="0"/>
        <w:widowControl w:val="off"/>
      </w:pPr>
      <w:r>
        <w:rPr/>
        <w:t>4.8 강건성 검증 요약</w:t>
      </w:r>
    </w:p>
    <w:p>
      <w:pPr>
        <w:pStyle w:val="0"/>
        <w:widowControl w:val="off"/>
        <w:rPr/>
      </w:pPr>
    </w:p>
    <w:p>
      <w:pPr>
        <w:pStyle w:val="0"/>
        <w:widowControl w:val="off"/>
      </w:pPr>
      <w:r>
        <w:rPr/>
        <w:t>Commodity IV 대체(GVZ/OVX) 실험에서 GLD +2.6%p, USO +0.8%p 개선이 있으나 전체 성능 변화는 -0.8%p로 제한적이어, 단일 VIX proxy 사용의 타당성이 확인되었다. 블록 부트스트랩 DM 검정(block size=h, B=5,000)에서도 HAC 기반 DM 결과와 일치하여 유의성이 재확인되었다.</w:t>
      </w:r>
    </w:p>
    <w:p>
      <w:pPr>
        <w:pStyle w:val="0"/>
        <w:widowControl w:val="off"/>
      </w:pPr>
      <w:r>
        <w:rPr/>
        <w:t>잔차 진단에서 비정규성(Jarque-Bera p &lt; 0.001), 자기상관(Ljung-Box p &lt; 0.001), ARCH 효과(p &lt; 0.001)가 관측되며, 이는 변동성 시계열의 일반적 특성으로 해석할 수 있다. 본 연구는 HAC 기반 검정과 블록 부트스트랩을 통해 이러한 특성이 통계적 비교에 미치는 영향을 완화하였다.</w:t>
      </w:r>
    </w:p>
    <w:p>
      <w:pPr>
        <w:pStyle w:val="0"/>
        <w:widowControl w:val="off"/>
        <w:rPr/>
      </w:pPr>
    </w:p>
    <w:p>
      <w:pPr>
        <w:pStyle w:val="0"/>
        <w:widowControl w:val="off"/>
      </w:pPr>
      <w:commentRangeStart w:id="53"/>
      <w:r>
        <w:rPr/>
        <w:commentReference w:id="53"/>
        <w:t>4.9 연구 질문(RQ)에 대한 답변</w:t>
      </w:r>
      <w:commentRangeEnd w:id="53"/>
    </w:p>
    <w:p>
      <w:pPr>
        <w:pStyle w:val="0"/>
        <w:widowControl w:val="off"/>
        <w:rPr/>
      </w:pPr>
    </w:p>
    <w:p>
      <w:pPr>
        <w:pStyle w:val="0"/>
        <w:widowControl w:val="off"/>
      </w:pPr>
      <w:r>
        <w:rPr/>
        <w:t>본 장의 실험 결과를 종합하여, 서론에서 제기한 네 가지 연구 질문에 답한다.</w:t>
      </w:r>
    </w:p>
    <w:p>
      <w:pPr>
        <w:pStyle w:val="0"/>
        <w:widowControl w:val="off"/>
      </w:pPr>
      <w:r>
        <w:rPr/>
        <w:t>RQ1 (공개 데이터 기반 VRP 예측 가능성). 11개 ETF(주식·채권·원자재) 패널에 대해 공개 OHLCV와 VIX 기간구조만을 이용한 VRP 예측이 가능함을 확인하였다. 22d 지평에서 풀링 R^2 0.803을 기록하였으며, HAR 모델 대비 유의미한 우위를 보였다.</w:t>
      </w:r>
    </w:p>
    <w:p>
      <w:pPr>
        <w:pStyle w:val="0"/>
        <w:widowControl w:val="off"/>
      </w:pPr>
      <w:r>
        <w:rPr/>
        <w:t>RQ2 (지평별 성능·피처 변화). 단기에서는 HAR+Range(8피처) 기반 다중 피처 결합이, 중기에서는 소수의 range 피처가 핵심 역할을 하며, 극단적 변동성 구간에서는 IV Surface 정보의 기여가 상승한다.</w:t>
      </w:r>
    </w:p>
    <w:p>
      <w:pPr>
        <w:pStyle w:val="0"/>
        <w:widowControl w:val="off"/>
      </w:pPr>
      <w:r>
        <w:rPr/>
        <w:t>RQ3 (모델 구조별 상대 성능). 예측 지평에 따라 최적 모델 구조가 달라져, 1~22d 구간은 정규화 선형 앙상블, 60~90d 구간은 시계열 신경망, 180~252d 구간은 트리 모델이 가장 유리하게 작용하였다.</w:t>
      </w:r>
    </w:p>
    <w:p>
      <w:pPr>
        <w:pStyle w:val="0"/>
        <w:widowControl w:val="off"/>
      </w:pPr>
      <w:commentRangeStart w:id="54"/>
      <w:r>
        <w:rPr/>
        <w:commentReference w:id="54"/>
        <w:t>RQ4 (예측의 경제적 실효성). SPY 대상 VRP 신호 타이밍 전략 백테스트에서 거래비용(1bp)을 공제한 후에도 Buy &amp; Hold 대비 위험 조정 수익률이 개선되어 경제적 실효성 가능성을 시사하였다</w:t>
      </w:r>
      <w:commentRangeEnd w:id="54"/>
      <w:r>
        <w:rPr/>
        <w:t>.</w:t>
      </w:r>
    </w:p>
    <w:p>
      <w:pPr>
        <w:pStyle w:val="0"/>
        <w:widowControl w:val="off"/>
        <w:wordWrap w:val="1"/>
        <w:jc w:val="center"/>
        <w:rPr>
          <w:rFonts w:ascii="HCI Hollyhock" w:eastAsia="휴먼고딕"/>
          <w:color w:val="000000"/>
          <w:sz w:val="22"/>
        </w:rPr>
      </w:pPr>
    </w:p>
    <w:p>
      <w:pPr>
        <w:pStyle w:val="0"/>
        <w:widowControl w:val="off"/>
        <w:wordWrap w:val="1"/>
        <w:jc w:val="center"/>
      </w:pPr>
      <w:r>
        <w:rPr>
          <w:rFonts w:ascii="HCI Hollyhock" w:eastAsia="휴먼고딕"/>
          <w:sz w:val="22"/>
        </w:rPr>
        <w:t>V. 결론 및 향후 과제</w:t>
      </w:r>
    </w:p>
    <w:p>
      <w:pPr>
        <w:pStyle w:val="0"/>
        <w:widowControl w:val="off"/>
        <w:wordWrap w:val="1"/>
        <w:jc w:val="center"/>
        <w:rPr>
          <w:rFonts w:ascii="HCI Hollyhock" w:eastAsia="휴먼고딕"/>
          <w:color w:val="000000"/>
          <w:sz w:val="22"/>
        </w:rPr>
      </w:pPr>
    </w:p>
    <w:p>
      <w:pPr>
        <w:pStyle w:val="0"/>
        <w:widowControl w:val="off"/>
      </w:pPr>
      <w:commentRangeStart w:id="55"/>
      <w:r>
        <w:rPr/>
        <w:commentReference w:id="55"/>
        <w:t>5.1 연구 요약</w:t>
      </w:r>
      <w:commentRangeEnd w:id="55"/>
    </w:p>
    <w:p>
      <w:pPr>
        <w:pStyle w:val="0"/>
        <w:widowControl w:val="off"/>
      </w:pPr>
      <w:r>
        <w:rPr/>
        <w:t>본 연구는 11개 ETF(주식·채권·원자재)를 대상으로, 거래일 기준 1~252일 지평에서 전방 실현분산을 예측하고, 이를 내재분산 proxy와 결합하여 분산 위험 프리미엄(VRP)을 산출·예측하는 통합 프레임워크를 제시하였다. 실증에서는 피처-타겟 중첩을 방지하기 위해 전방 윈도우 기반 타겟을 구성하고, 정화 구간을 포함한 시계열 검증 절차를 적용하였다.</w:t>
      </w:r>
    </w:p>
    <w:p>
      <w:pPr>
        <w:pStyle w:val="0"/>
        <w:widowControl w:val="off"/>
        <w:rPr/>
      </w:pPr>
    </w:p>
    <w:p>
      <w:pPr>
        <w:pStyle w:val="0"/>
        <w:widowControl w:val="off"/>
      </w:pPr>
      <w:r>
        <w:rPr/>
        <w:t>5.2 핵심 결과</w:t>
      </w:r>
    </w:p>
    <w:p>
      <w:pPr>
        <w:pStyle w:val="0"/>
        <w:widowControl w:val="off"/>
        <w:rPr/>
      </w:pPr>
    </w:p>
    <w:p>
      <w:pPr>
        <w:pStyle w:val="0"/>
        <w:widowControl w:val="off"/>
      </w:pPr>
      <w:r>
        <w:rPr/>
        <w:t>실증 분석을 통해 (1) 다중 자산 통합 VRP 예측 구조의 실효성을 확인하였고, (2) 예측 지평에 따라 선형·신경망·트리 모델의 우위가 교차적으로 변동함을 발견하였다. 특히, (3) 복잡한 신경망보다 피처 선택과 정규화가 시계열 모델의 일반성 확보에 더 핵심적인 요인으로 작용하였으며, (4) 이러한 예측 우위는 거래비용 통제 하에서도 경제적 성과로 반영될 수 있음을 확인하였다.</w:t>
      </w:r>
    </w:p>
    <w:p>
      <w:pPr>
        <w:pStyle w:val="0"/>
        <w:widowControl w:val="off"/>
      </w:pPr>
      <w:r>
        <w:rPr/>
        <w:t>5.3 경제적 함의</w:t>
      </w:r>
    </w:p>
    <w:p>
      <w:pPr>
        <w:pStyle w:val="0"/>
        <w:widowControl w:val="off"/>
      </w:pPr>
      <w:r>
        <w:rPr/>
        <w:t xml:space="preserve">예측 결과가 실제 의사결정에 도움이 될 수 있는지 확인하기 위해, SPY를 대상으로 22거래일 WEns RV 예측값을 이용한 단순 변동성 타이밍 전략을 탐색적으로 실험하였다(예측 RV가 과거 중앙값보다 낮으면 레버리지 2x, 높으면 0.5x). 편도 1bp의 거래비용을 반영한 결과, </w:t>
      </w:r>
      <w:commentRangeStart w:id="56"/>
      <w:r>
        <w:rPr/>
        <w:commentReference w:id="56"/>
        <w:t>Buy&amp;Hold 대비 샤프 비율이 0.705에서 0.804로, 연환산 수익률이 12.37%에서 19.44%로 개선되는 경향이 관측되었다.</w:t>
      </w:r>
      <w:commentRangeEnd w:id="56"/>
    </w:p>
    <w:p>
      <w:pPr>
        <w:pStyle w:val="0"/>
        <w:widowControl w:val="off"/>
      </w:pPr>
      <w:r>
        <w:rPr/>
        <w:t>다만 22거래일 블록 부트스트랩 검정에서 해당 개선이 5% 유의수준에 도달하지는 못했다(p=0.313). 따라서 본 절의 결과는 성과를 입증하기보다, 예측 신호가 경제적 의사결정에 연결될 수 있는 가능성을 보여주는 탐색적 결과로 해석한다. 향후 다중 자산 포트폴리오 수준의 체계적 검증을 제안한다.</w:t>
      </w:r>
    </w:p>
    <w:p>
      <w:pPr>
        <w:pStyle w:val="0"/>
        <w:widowControl w:val="off"/>
      </w:pPr>
      <w:r>
        <w:rPr/>
        <w:t>본 연구의 결과는 세 가지 학술적 함의를 가진다. 첫째, 자산군별·지평별로 예측 가능한 VRP 구조를 제시함으로써, 변동성 위험이 가격화되는 방식이 자산가격 이론에서 가정하는 위험회피·장기위험 채널과 정합적임을 실증적으로 뒷받침한다. 둘째, RV 예측이 이미 성숙한 분야인 상황에서, VRP를 예측 대상으로 삼아 선형·트리·딥러닝을 공정 비교함으로써 금융 시계열 ML의 한계와 장점을 동시에 드러내는 새로운 벤치마크 문제를 제시한다. 셋째, 옵션 단면 없이도 공개 데이터로 다중 자산 VRP-proxy를 구축하고, 자산·레짐·지평에 따른 구조적 차이를 체계적으로 문서화함으로써 향후 크로스애셋 변동성·프리미엄 연구의 기반 데이터를 제공한다.</w:t>
      </w:r>
    </w:p>
    <w:p>
      <w:pPr>
        <w:pStyle w:val="0"/>
        <w:widowControl w:val="off"/>
        <w:rPr/>
      </w:pPr>
    </w:p>
    <w:p>
      <w:pPr>
        <w:pStyle w:val="0"/>
        <w:widowControl w:val="off"/>
      </w:pPr>
      <w:commentRangeStart w:id="57"/>
      <w:r>
        <w:rPr/>
        <w:commentReference w:id="57"/>
        <w:t>5.4 한계와 향후 연구</w:t>
      </w:r>
      <w:commentRangeEnd w:id="57"/>
    </w:p>
    <w:p>
      <w:pPr>
        <w:pStyle w:val="0"/>
        <w:widowControl w:val="off"/>
        <w:rPr/>
      </w:pPr>
    </w:p>
    <w:p>
      <w:pPr>
        <w:pStyle w:val="0"/>
        <w:widowControl w:val="off"/>
      </w:pPr>
      <w:r>
        <w:rPr/>
        <w:t>본 연구는 공개 데이터 기반의 재현 가능한 다중 자산 통합 프레임워크를 목표로 하였기 때문에, 다음과 같은 한계가 존재한다.</w:t>
      </w:r>
    </w:p>
    <w:p>
      <w:pPr>
        <w:pStyle w:val="0"/>
        <w:widowControl w:val="off"/>
      </w:pPr>
      <w:r>
        <w:rPr/>
        <w:t>고빈도 데이터(분 단위/틱)를 직접 사용하지 않고 OHLC 기반 proxy를 사용하였다.</w:t>
      </w:r>
    </w:p>
    <w:p>
      <w:pPr>
        <w:pStyle w:val="0"/>
        <w:widowControl w:val="off"/>
      </w:pPr>
      <w:r>
        <w:rPr/>
        <w:t>내재분산은 자산별 옵션이 아닌 VIX 기반 공통 proxy로 구성하였으며, 이는 엄밀한 개별 자산별 물리적-위험중립 확률 측도 변환(Variance Swap) 과정과 궤적 차이가 있을 수 있다.</w:t>
      </w:r>
    </w:p>
    <w:p>
      <w:pPr>
        <w:pStyle w:val="0"/>
        <w:widowControl w:val="off"/>
      </w:pPr>
      <w:r>
        <w:rPr/>
        <w:t>원자재 자산군에서는 주식 기반 VIX proxy가 완벽하지 않을 수 있으며, 자산특화 변동성(GVZ, OVX) 통제로도 성과 개선에 한계가 존재함을 확인하였다.</w:t>
      </w:r>
    </w:p>
    <w:p>
      <w:pPr>
        <w:pStyle w:val="0"/>
        <w:widowControl w:val="off"/>
      </w:pPr>
      <w:r>
        <w:rPr/>
        <w:t>본 연구는 이러한 데이터 상의 한계를 보완하기 위해 GARCH 시계열 벤치마크, ElasticNet 희소성(Sparsity) 기반 중요도 검증, 거래비용이 엄격히 통제된 전략 실효성 테스트를 보강 실험으로 포괄하였다. 이를 바탕으로 도출된 향후 연구 과제는 다음과 같다.</w:t>
      </w:r>
    </w:p>
    <w:p>
      <w:pPr>
        <w:pStyle w:val="0"/>
        <w:widowControl w:val="off"/>
      </w:pPr>
      <w:r>
        <w:rPr/>
        <w:t xml:space="preserve">첫째, 단일 ETF(예: SPY) 타이밍 구성을 넘어 자산군 간 변동성 균형 가중치(Risk Parity) 최적화를 결합한 다중 자산 포트폴리오 차원의 강건성 고도화 검증이 요구된다. </w:t>
      </w:r>
    </w:p>
    <w:p>
      <w:pPr>
        <w:pStyle w:val="0"/>
        <w:widowControl w:val="off"/>
      </w:pPr>
      <w:r>
        <w:rPr/>
        <w:t>둘째, 지수 옵션을 넘어 개별 자산 옵션의 가파른 스마일(Smile) 및 내재변동성 기간구조(Term Structure) 단면 데이터를 본 연구의 패널 구조에 결합하는 딥러닝 앙상블 확장 연구를 제안한다.</w:t>
      </w:r>
    </w:p>
    <w:p>
      <w:pPr>
        <w:pStyle w:val="0"/>
        <w:widowControl w:val="off"/>
        <w:rPr/>
      </w:pPr>
    </w:p>
    <w:p>
      <w:pPr>
        <w:pStyle w:val="0"/>
        <w:widowControl w:val="off"/>
        <w:rPr/>
      </w:pPr>
    </w:p>
    <w:p>
      <w:pPr>
        <w:pStyle w:val="0"/>
        <w:widowControl w:val="off"/>
        <w:rPr/>
      </w:pPr>
    </w:p>
    <w:p>
      <w:pPr>
        <w:pStyle w:val="0"/>
        <w:widowControl w:val="off"/>
        <w:rPr/>
      </w:pPr>
    </w:p>
    <w:p>
      <w:pPr>
        <w:pStyle w:val="47"/>
        <w:widowControl w:val="off"/>
      </w:pPr>
      <w:r>
        <w:rPr/>
        <w:t>References</w:t>
      </w:r>
    </w:p>
    <w:p>
      <w:pPr>
        <w:pStyle w:val="0"/>
        <w:widowControl w:val="off"/>
        <w:rPr/>
      </w:pPr>
    </w:p>
    <w:p>
      <w:pPr>
        <w:pStyle w:val="0"/>
        <w:widowControl w:val="off"/>
        <w:ind w:left="300" w:hanging="300"/>
      </w:pPr>
      <w:r>
        <w:rPr/>
        <w:t>References</w:t>
      </w:r>
    </w:p>
    <w:p>
      <w:pPr>
        <w:pStyle w:val="0"/>
        <w:widowControl w:val="off"/>
        <w:ind w:left="300" w:hanging="300"/>
      </w:pPr>
      <w:r>
        <w:rPr/>
        <w:t>[1] S. Gu, B. Kelly, and D. Xiu, "Empirical asset pricing via machine learning", The Review of Financial Studies, Vol. 33, No. 5, pp. 2223-2273, May 2020.</w:t>
      </w:r>
    </w:p>
    <w:p>
      <w:pPr>
        <w:pStyle w:val="0"/>
        <w:widowControl w:val="off"/>
        <w:ind w:left="300" w:hanging="300"/>
      </w:pPr>
      <w:r>
        <w:rPr/>
        <w:t>[2] F. Corsi, "A simple approximate long-memory model of realized volatility", Journal of Financial Econometrics, Vol. 7, No. 2, pp. 174-196, Mar. 2009.</w:t>
      </w:r>
    </w:p>
    <w:p>
      <w:pPr>
        <w:pStyle w:val="0"/>
        <w:widowControl w:val="off"/>
        <w:ind w:left="300" w:hanging="300"/>
      </w:pPr>
      <w:r>
        <w:rPr/>
        <w:t>[3] F. Audrino and S. Knaus, "Lassoing the HAR model: A model selection perspective on realized volatility dynamics", Journal of Financial Econometrics, Vol. 14, No. 2, pp. 392-427, 2016.</w:t>
      </w:r>
    </w:p>
    <w:p>
      <w:pPr>
        <w:pStyle w:val="0"/>
        <w:widowControl w:val="off"/>
        <w:ind w:left="300" w:hanging="300"/>
      </w:pPr>
      <w:r>
        <w:rPr/>
        <w:t>[4] K. Christensen, M. Siggaard, and B. Veliyev, "Volatility forecasting with machine learning and intraday commonality", Journal of Financial Econometrics, Vol. 22, No. 1, pp. 1-35, Jan. 2024.</w:t>
      </w:r>
    </w:p>
    <w:p>
      <w:pPr>
        <w:pStyle w:val="0"/>
        <w:widowControl w:val="off"/>
        <w:ind w:left="300" w:hanging="300"/>
      </w:pPr>
      <w:r>
        <w:rPr/>
        <w:t>[5] P. Carr and L. Wu, "Variance risk premia", The Review of Financial Studies, Vol. 22, No. 3, pp. 1311-1341, Mar. 2009.</w:t>
      </w:r>
    </w:p>
    <w:p>
      <w:pPr>
        <w:pStyle w:val="0"/>
        <w:widowControl w:val="off"/>
        <w:ind w:left="300" w:hanging="300"/>
      </w:pPr>
      <w:r>
        <w:rPr/>
        <w:t>[6] G. Bekaert and M. Hoerova, "The VIX, the variance premium and stock market volatility", ECB Working Paper, No. 1675, 2014.</w:t>
      </w:r>
    </w:p>
    <w:p>
      <w:pPr>
        <w:pStyle w:val="0"/>
        <w:widowControl w:val="off"/>
        <w:ind w:left="300" w:hanging="300"/>
      </w:pPr>
      <w:r>
        <w:rPr/>
        <w:t>[7] T. Bollerslev, G. Tauchen, and H. Zhou, "Expected stock returns and variance risk premia", The Review of Financial Studies, Vol. 22, No. 11, pp. 4463-4492, Nov. 2009.</w:t>
      </w:r>
    </w:p>
    <w:p>
      <w:pPr>
        <w:pStyle w:val="0"/>
        <w:widowControl w:val="off"/>
        <w:ind w:left="300" w:hanging="300"/>
      </w:pPr>
      <w:r>
        <w:rPr/>
        <w:t>[8] I. Drechsler and A. Yaron, "What's vol got to do with it", The Review of Financial Studies, Vol. 24, No. 1, pp. 1-45, Jan. 2011.</w:t>
      </w:r>
    </w:p>
    <w:p>
      <w:pPr>
        <w:pStyle w:val="0"/>
        <w:widowControl w:val="off"/>
        <w:ind w:left="300" w:hanging="300"/>
      </w:pPr>
      <w:r>
        <w:rPr/>
        <w:t>[9] B. Zhang, Y. Chen, and Y. Lu, "Nonparametric estimation of variance risk premiums", Journal of Financial Economics, Vol. 142, No. 1, pp. 312-328, Oct. 2021.</w:t>
      </w:r>
    </w:p>
    <w:p>
      <w:pPr>
        <w:pStyle w:val="0"/>
        <w:widowControl w:val="off"/>
        <w:ind w:left="300" w:hanging="300"/>
      </w:pPr>
      <w:r>
        <w:rPr/>
        <w:t>[10] M. Hattori, I. Shim, and Y. Sugihara, "The US variance risk premium and cross-market spillovers", Bank for International Settlements Working Paper, No. 713, Apr. 2018.</w:t>
      </w:r>
    </w:p>
    <w:p>
      <w:pPr>
        <w:pStyle w:val="0"/>
        <w:widowControl w:val="off"/>
        <w:ind w:left="300" w:hanging="300"/>
      </w:pPr>
      <w:r>
        <w:rPr/>
        <w:t>[11] J. R. Ornelas et al., "Volatility risk premia and future commodity returns", Bank for International Settlements Working Paper, No. 619, 2018.</w:t>
      </w:r>
    </w:p>
    <w:p>
      <w:pPr>
        <w:pStyle w:val="0"/>
        <w:widowControl w:val="off"/>
        <w:ind w:left="300" w:hanging="300"/>
      </w:pPr>
      <w:r>
        <w:rPr/>
        <w:t>[12] R. F. Engle, "Autoregressive conditional heteroscedasticity with estimates of the variance of United Kingdom inflation", Econometrica, Vol. 50, No. 4, pp. 987-1007, 1982.</w:t>
      </w:r>
    </w:p>
    <w:p>
      <w:pPr>
        <w:pStyle w:val="0"/>
        <w:widowControl w:val="off"/>
        <w:ind w:left="300" w:hanging="300"/>
      </w:pPr>
      <w:r>
        <w:rPr/>
        <w:t>[13] T. Bollerslev, "Generalized autoregressive conditional heteroskedasticity", Journal of Econometrics, Vol. 31, No. 3, pp. 307-327, 1986.</w:t>
      </w:r>
    </w:p>
    <w:p>
      <w:pPr>
        <w:pStyle w:val="0"/>
        <w:widowControl w:val="off"/>
        <w:ind w:left="300" w:hanging="300"/>
      </w:pPr>
      <w:r>
        <w:rPr/>
        <w:t>[14] P. Carr, L. Wu, and Z. Zhang, "Using machine learning to predict realized variance", arXiv preprint, 2019.</w:t>
      </w:r>
    </w:p>
    <w:p>
      <w:pPr>
        <w:pStyle w:val="0"/>
        <w:widowControl w:val="off"/>
        <w:ind w:left="300" w:hanging="300"/>
      </w:pPr>
      <w:r>
        <w:rPr/>
        <w:t>[15] T. Dierckx, M. Davis, and W. Schoutens, "Machine learning for the FX variance risk premium", Quantitative Finance, Vol. 22, No. 1, pp. 129-143, Jan. 2022.</w:t>
      </w:r>
    </w:p>
    <w:p>
      <w:pPr>
        <w:pStyle w:val="0"/>
        <w:widowControl w:val="off"/>
        <w:ind w:left="300" w:hanging="300"/>
      </w:pPr>
      <w:r>
        <w:rPr/>
        <w:t>[16] S. Heston and V. Todorov, "Exploring the variance risk premium across assets", AEA Conference Paper, 2024.</w:t>
      </w:r>
    </w:p>
    <w:p>
      <w:pPr>
        <w:pStyle w:val="0"/>
        <w:widowControl w:val="off"/>
        <w:ind w:left="300" w:hanging="300"/>
      </w:pPr>
      <w:r>
        <w:rPr/>
        <w:t>[17] M. L?pez de Prado, "Advances in financial machine learning", Wiley, 2018.</w:t>
      </w:r>
    </w:p>
    <w:p>
      <w:pPr>
        <w:pStyle w:val="0"/>
        <w:widowControl w:val="off"/>
        <w:ind w:left="300" w:hanging="300"/>
        <w:rPr>
          <w:color w:val="000000"/>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sectPr>
          <w:footnotePr>
            <w:numFmt w:val="decimal"/>
            <w:numRestart w:val="continuous"/>
          </w:footnotePr>
          <w:endnotePr>
            <w:pos w:val="docEnd"/>
            <w:numFmt w:val="decimal"/>
            <w:numRestart w:val="continuous"/>
          </w:endnotePr>
          <w:pgSz w:w="10772" w:h="14740"/>
          <w:pgMar w:top="1559" w:right="1134" w:bottom="992" w:left="1134" w:header="992" w:footer="992" w:gutter="0"/>
          <w:cols w:space="454" w:num="2"/>
          <w:type w:val="continuous"/>
        </w:sectPr>
      </w:pPr>
      <w:r>
        <w:br w:type="column"/>
      </w:r>
    </w:p>
    <w:p>
      <w:pPr>
        <w:pStyle w:val="0"/>
        <w:widowControl w:val="off"/>
        <w:wordWrap w:val="1"/>
        <w:jc w:val="center"/>
      </w:pPr>
      <w:r>
        <w:rPr>
          <w:rFonts w:eastAsia="휴먼고딕"/>
          <w:sz w:val="22"/>
        </w:rPr>
        <w:t>부록</w:t>
      </w:r>
    </w:p>
    <w:p>
      <w:pPr>
        <w:pStyle w:val="0"/>
        <w:widowControl w:val="off"/>
        <w:wordWrap w:val="1"/>
        <w:jc w:val="center"/>
      </w:pPr>
      <w:r>
        <w:rPr/>
        <w:t>37개 피처 상세 목록 (WEns Ridge 기준)</w:t>
      </w:r>
    </w:p>
    <w:tbl>
      <w:tblPr>
        <w:tblOverlap w:val="never"/>
        <w:tblW w:w="8508"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486"/>
        <w:gridCol w:w="1221"/>
        <w:gridCol w:w="2467"/>
        <w:gridCol w:w="4334"/>
      </w:tblGrid>
      <w:tr>
        <w:trPr>
          <w:trHeight w:val="282"/>
        </w:trPr>
        <w:tc>
          <w:tcPr>
            <w:tcW w:w="48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w:t>
            </w:r>
          </w:p>
        </w:tc>
        <w:tc>
          <w:tcPr>
            <w:tcW w:w="1221"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Group</w:t>
            </w:r>
          </w:p>
        </w:tc>
        <w:tc>
          <w:tcPr>
            <w:tcW w:w="2467"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Variable</w:t>
            </w:r>
          </w:p>
        </w:tc>
        <w:tc>
          <w:tcPr>
            <w:tcW w:w="4334"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Calculation &amp; Description</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LogRV_lag1</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Prev-day Log-RV: log(RV_t-1)</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LogRV_lag5</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5d lag Log-RV: log(RV_t-5)</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LogRV_lag10</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10d lag Log-RV: log(RV_t-10)</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4</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LogRV_lag22</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22d lag Log-RV: log(RV_t-22)</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5</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GARCH</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Garch_Daily</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Daily GARCH(1,1) vol (rolling fit)</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6</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GARCH</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Garch_Weekly</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Weekly GARCH vol (weekly returns)</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7</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LogRV_Std5</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5d Vol-of-Vol: std(log RV, 5d)</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8</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LogRV_Std22</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22d Vol-of-Vol: std(log RV, 22d)</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9</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RV_Mom5</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5d vol momentum</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10</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RV_Mom22</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22d vol momentum</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11</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Cross</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SPY_LogRV</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SPY Log-RV (market ref)</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12</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Ret_lag1</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Prev-day log return</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13</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HAR</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Ret_abs_lag1</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Prev-day abs return</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14</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Cross</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Corr_SPY</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SPY corr (22d rolling)</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15</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HF</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Parkinson_5</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5d Parkinson vol</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16</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HF</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Parkinson_22</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22d Parkinson vol</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17</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HF</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GarmanKlass_22</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22d Garman-Klass vol</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18</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HF</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RogersSatchell_22</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22d Rogers-Satchell vol</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19</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HF</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Range_Close_Ratio</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Range-close ratio</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20</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HF</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Overnight_Vol</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Overnight vol</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21</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HF</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Overnight_Ret</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Overnight return</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22</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IV_VIX</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VIX level: log(VIX)</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23</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IV_VIX_chg</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VIX daily change</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24</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IV_VIX_ma5</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VIX 5d MA</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25</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IV_VIX_std5</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VIX 5d std (VVIX proxy)</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26</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IV_VIX3M</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VIX3M level: log(VIX3M)</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27</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IV_VIX_TermSlope</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VIX term slope</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28</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IV_VIX9D</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VIX9D level: log(VIX9D)</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29</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IV_VIX_ShortSlope</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VIX9D slope</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30</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IV_VRP</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VRP proxy: VIX^2/100 - RV_SPY</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31</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IV</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IV_VRP_ma22</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VRP 22d MA</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32</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Alt</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AltVol_Amihud</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Amihud illiquidity (22d)</w:t>
            </w:r>
          </w:p>
        </w:tc>
      </w:tr>
      <w:tr>
        <w:trPr>
          <w:trHeight w:val="281"/>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33</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Alt</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AltVol_Vol_Ratio</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Volume ratio (short/long)</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34</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Alt</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AltVol_PV_Corr</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Price-volume corr</w:t>
            </w:r>
          </w:p>
        </w:tc>
      </w:tr>
      <w:tr>
        <w:trPr>
          <w:trHeight w:val="282"/>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35</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Alt</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AltVol_Vol_Surprise</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Volume surprise (Z-score)</w:t>
            </w:r>
          </w:p>
        </w:tc>
      </w:tr>
      <w:tr>
        <w:trPr>
          <w:trHeight w:val="300"/>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36</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Alt</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AltVol_Order_Imbalance</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Signed volume imbalance</w:t>
            </w:r>
          </w:p>
        </w:tc>
      </w:tr>
      <w:tr>
        <w:trPr>
          <w:trHeight w:val="285"/>
        </w:trPr>
        <w:tc>
          <w:tcPr>
            <w:tcW w:w="48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37</w:t>
            </w:r>
          </w:p>
        </w:tc>
        <w:tc>
          <w:tcPr>
            <w:tcW w:w="1221"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Alt</w:t>
            </w:r>
          </w:p>
        </w:tc>
        <w:tc>
          <w:tcPr>
            <w:tcW w:w="2467"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AltVol_Kyle_Lambda</w:t>
            </w:r>
          </w:p>
        </w:tc>
        <w:tc>
          <w:tcPr>
            <w:tcW w:w="433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Kyle Lambda (price impact)</w:t>
            </w:r>
          </w:p>
        </w:tc>
      </w:tr>
    </w:tbl>
    <w:p>
      <w:pPr>
        <w:pStyle w:val="0"/>
        <w:widowControl w:val="off"/>
        <w:wordWrap w:val="1"/>
        <w:jc w:val="center"/>
      </w:pPr>
    </w:p>
    <w:p>
      <w:pPr>
        <w:pStyle w:val="0"/>
        <w:widowControl w:val="off"/>
        <w:wordWrap w:val="1"/>
        <w:jc w:val="center"/>
      </w:pPr>
      <w:r>
        <w:rPr/>
        <w:t>표 하이퍼파라미터 최적 설정</w:t>
      </w:r>
    </w:p>
    <w:tbl>
      <w:tblPr>
        <w:tblOverlap w:val="never"/>
        <w:tblW w:w="8463"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1866"/>
        <w:gridCol w:w="1867"/>
        <w:gridCol w:w="1866"/>
        <w:gridCol w:w="2864"/>
      </w:tblGrid>
      <w:tr>
        <w:trPr>
          <w:trHeight w:val="405"/>
        </w:trPr>
        <w:tc>
          <w:tcPr>
            <w:tcW w:w="1866"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Model</w:t>
            </w:r>
          </w:p>
        </w:tc>
        <w:tc>
          <w:tcPr>
            <w:tcW w:w="1867"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Hyperparameter</w:t>
            </w:r>
          </w:p>
        </w:tc>
        <w:tc>
          <w:tcPr>
            <w:tcW w:w="1866" w:type="dxa"/>
            <w:tcBorders>
              <w:top w:val="single" w:color="000000" w:sz="3"/>
              <w:left w:val="single" w:color="000000" w:sz="3"/>
              <w:bottom w:val="single" w:color="000000" w:sz="3"/>
              <w:right w:val="single" w:color="000000" w:sz="3"/>
            </w:tcBorders>
            <w:vAlign w:val="center"/>
          </w:tcPr>
          <w:p>
            <w:pPr>
              <w:pStyle w:val="79"/>
              <w:widowControl w:val="off"/>
            </w:pPr>
            <w:r>
              <w:rPr>
                <w:rFonts w:ascii="휴먼명조"/>
                <w:sz w:val="20"/>
              </w:rPr>
              <w:t>Value</w:t>
            </w:r>
          </w:p>
        </w:tc>
        <w:tc>
          <w:tcPr>
            <w:tcW w:w="2864" w:type="dxa"/>
            <w:tcBorders>
              <w:top w:val="single" w:color="000000" w:sz="3"/>
              <w:left w:val="single" w:color="000000" w:sz="3"/>
              <w:bottom w:val="single" w:color="000000" w:sz="3"/>
              <w:right w:val="single" w:color="000000" w:sz="3"/>
            </w:tcBorders>
            <w:vAlign w:val="center"/>
          </w:tcPr>
          <w:p>
            <w:pPr>
              <w:pStyle w:val="78"/>
              <w:widowControl w:val="off"/>
            </w:pPr>
            <w:r>
              <w:rPr>
                <w:rFonts w:ascii="휴먼명조"/>
                <w:sz w:val="20"/>
              </w:rPr>
              <w:t>Description</w:t>
            </w:r>
          </w:p>
        </w:tc>
      </w:tr>
      <w:tr>
        <w:trPr>
          <w:trHeight w:val="405"/>
        </w:trPr>
        <w:tc>
          <w:tcPr>
            <w:tcW w:w="1866"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Ridge</w:t>
            </w: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alpha</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10</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L2 regularization strength</w:t>
            </w:r>
          </w:p>
        </w:tc>
      </w:tr>
      <w:tr>
        <w:trPr>
          <w:trHeight w:val="404"/>
        </w:trPr>
        <w:tc>
          <w:tcPr>
            <w:tcW w:w="1866" w:type="dxa"/>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Lasso</w:t>
            </w: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alpha</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0.01</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L1 regularization strength</w:t>
            </w:r>
          </w:p>
        </w:tc>
      </w:tr>
      <w:tr>
        <w:trPr>
          <w:trHeight w:val="405"/>
        </w:trPr>
        <w:tc>
          <w:tcPr>
            <w:tcW w:w="1866" w:type="dxa"/>
            <w:vMerge w:val="restart"/>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ElasticNet</w:t>
            </w: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alpha</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0.01</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Total regularization strength</w:t>
            </w:r>
          </w:p>
        </w:tc>
      </w:tr>
      <w:tr>
        <w:trPr>
          <w:trHeight w:val="405"/>
        </w:trPr>
        <w:tc>
          <w:tcPr>
            <w:tcW w:w="1866" w:type="dxa"/>
            <w:vMerge/>
            <w:tcBorders>
              <w:top w:val="single" w:color="000000" w:sz="3"/>
              <w:left w:val="single" w:color="000000" w:sz="3"/>
              <w:bottom w:val="single" w:color="000000" w:sz="3"/>
              <w:right w:val="single" w:color="000000" w:sz="3"/>
            </w:tcBorders>
          </w:tcP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l1_ratio</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0.5</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Mix of L1 (0.5) and L2 (0.5)</w:t>
            </w:r>
          </w:p>
        </w:tc>
      </w:tr>
      <w:tr>
        <w:trPr>
          <w:trHeight w:val="405"/>
        </w:trPr>
        <w:tc>
          <w:tcPr>
            <w:tcW w:w="1866" w:type="dxa"/>
            <w:vMerge w:val="restart"/>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SVR</w:t>
            </w: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kernel</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rbf</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Radial Basis Function kernel</w:t>
            </w:r>
          </w:p>
        </w:tc>
      </w:tr>
      <w:tr>
        <w:trPr>
          <w:trHeight w:val="405"/>
        </w:trPr>
        <w:tc>
          <w:tcPr>
            <w:tcW w:w="1866" w:type="dxa"/>
            <w:vMerge/>
            <w:tcBorders>
              <w:top w:val="single" w:color="000000" w:sz="3"/>
              <w:left w:val="single" w:color="000000" w:sz="3"/>
              <w:bottom w:val="single" w:color="000000" w:sz="3"/>
              <w:right w:val="single" w:color="000000" w:sz="3"/>
            </w:tcBorders>
          </w:tcP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C</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10</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Regularization parameter</w:t>
            </w:r>
          </w:p>
        </w:tc>
      </w:tr>
      <w:tr>
        <w:trPr>
          <w:trHeight w:val="404"/>
        </w:trPr>
        <w:tc>
          <w:tcPr>
            <w:tcW w:w="1866" w:type="dxa"/>
            <w:vMerge/>
            <w:tcBorders>
              <w:top w:val="single" w:color="000000" w:sz="3"/>
              <w:left w:val="single" w:color="000000" w:sz="3"/>
              <w:bottom w:val="single" w:color="000000" w:sz="3"/>
              <w:right w:val="single" w:color="000000" w:sz="3"/>
            </w:tcBorders>
          </w:tcP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epsilon</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0.1</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Epsilon-tube width</w:t>
            </w:r>
          </w:p>
        </w:tc>
      </w:tr>
      <w:tr>
        <w:trPr>
          <w:trHeight w:val="405"/>
        </w:trPr>
        <w:tc>
          <w:tcPr>
            <w:tcW w:w="1866" w:type="dxa"/>
            <w:vMerge w:val="restart"/>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MLP</w:t>
            </w: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hidden_layer_sizes</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64, 32</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Two-layer architecture</w:t>
            </w:r>
          </w:p>
        </w:tc>
      </w:tr>
      <w:tr>
        <w:trPr>
          <w:trHeight w:val="405"/>
        </w:trPr>
        <w:tc>
          <w:tcPr>
            <w:tcW w:w="1866" w:type="dxa"/>
            <w:vMerge/>
            <w:tcBorders>
              <w:top w:val="single" w:color="000000" w:sz="3"/>
              <w:left w:val="single" w:color="000000" w:sz="3"/>
              <w:bottom w:val="single" w:color="000000" w:sz="3"/>
              <w:right w:val="single" w:color="000000" w:sz="3"/>
            </w:tcBorders>
          </w:tcP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activation</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relu</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Rectified Linear Unit</w:t>
            </w:r>
          </w:p>
        </w:tc>
      </w:tr>
      <w:tr>
        <w:trPr>
          <w:trHeight w:val="721"/>
        </w:trPr>
        <w:tc>
          <w:tcPr>
            <w:tcW w:w="1866" w:type="dxa"/>
            <w:vMerge/>
            <w:tcBorders>
              <w:top w:val="single" w:color="000000" w:sz="3"/>
              <w:left w:val="single" w:color="000000" w:sz="3"/>
              <w:bottom w:val="single" w:color="000000" w:sz="3"/>
              <w:right w:val="single" w:color="000000" w:sz="3"/>
            </w:tcBorders>
          </w:tcP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early_stopping</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TRUE</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Terminate if val-loss plateaus</w:t>
            </w:r>
          </w:p>
        </w:tc>
      </w:tr>
      <w:tr>
        <w:trPr>
          <w:trHeight w:val="405"/>
        </w:trPr>
        <w:tc>
          <w:tcPr>
            <w:tcW w:w="1866" w:type="dxa"/>
            <w:vMerge/>
            <w:tcBorders>
              <w:top w:val="single" w:color="000000" w:sz="3"/>
              <w:left w:val="single" w:color="000000" w:sz="3"/>
              <w:bottom w:val="single" w:color="000000" w:sz="3"/>
              <w:right w:val="single" w:color="000000" w:sz="3"/>
            </w:tcBorders>
          </w:tcP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random_state</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42</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Deterministic initialization</w:t>
            </w:r>
          </w:p>
        </w:tc>
      </w:tr>
      <w:tr>
        <w:trPr>
          <w:trHeight w:val="404"/>
        </w:trPr>
        <w:tc>
          <w:tcPr>
            <w:tcW w:w="1866" w:type="dxa"/>
            <w:vMerge w:val="restart"/>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Random Forest</w:t>
            </w: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n_estimators</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200</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Number of trees</w:t>
            </w:r>
          </w:p>
        </w:tc>
      </w:tr>
      <w:tr>
        <w:trPr>
          <w:trHeight w:val="721"/>
        </w:trPr>
        <w:tc>
          <w:tcPr>
            <w:tcW w:w="1866" w:type="dxa"/>
            <w:vMerge/>
            <w:tcBorders>
              <w:top w:val="single" w:color="000000" w:sz="3"/>
              <w:left w:val="single" w:color="000000" w:sz="3"/>
              <w:bottom w:val="single" w:color="000000" w:sz="3"/>
              <w:right w:val="single" w:color="000000" w:sz="3"/>
            </w:tcBorders>
          </w:tcP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min_samples_leaf</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20</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Minimum samples in leaf node</w:t>
            </w:r>
          </w:p>
        </w:tc>
      </w:tr>
      <w:tr>
        <w:trPr>
          <w:trHeight w:val="405"/>
        </w:trPr>
        <w:tc>
          <w:tcPr>
            <w:tcW w:w="1866" w:type="dxa"/>
            <w:vMerge w:val="restart"/>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XGBoost</w:t>
            </w: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n_estimators</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300</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Boosting rounds</w:t>
            </w:r>
          </w:p>
        </w:tc>
      </w:tr>
      <w:tr>
        <w:trPr>
          <w:trHeight w:val="405"/>
        </w:trPr>
        <w:tc>
          <w:tcPr>
            <w:tcW w:w="1866" w:type="dxa"/>
            <w:vMerge/>
            <w:tcBorders>
              <w:top w:val="single" w:color="000000" w:sz="3"/>
              <w:left w:val="single" w:color="000000" w:sz="3"/>
              <w:bottom w:val="single" w:color="000000" w:sz="3"/>
              <w:right w:val="single" w:color="000000" w:sz="3"/>
            </w:tcBorders>
          </w:tcP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learning_rate</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0.05</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Learning rate</w:t>
            </w:r>
          </w:p>
        </w:tc>
      </w:tr>
      <w:tr>
        <w:trPr>
          <w:trHeight w:val="405"/>
        </w:trPr>
        <w:tc>
          <w:tcPr>
            <w:tcW w:w="1866" w:type="dxa"/>
            <w:vMerge/>
            <w:tcBorders>
              <w:top w:val="single" w:color="000000" w:sz="3"/>
              <w:left w:val="single" w:color="000000" w:sz="3"/>
              <w:bottom w:val="single" w:color="000000" w:sz="3"/>
              <w:right w:val="single" w:color="000000" w:sz="3"/>
            </w:tcBorders>
          </w:tcP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reg_lambda</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1</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L2 regularization</w:t>
            </w:r>
          </w:p>
        </w:tc>
      </w:tr>
      <w:tr>
        <w:trPr>
          <w:trHeight w:val="404"/>
        </w:trPr>
        <w:tc>
          <w:tcPr>
            <w:tcW w:w="1866" w:type="dxa"/>
            <w:vMerge w:val="restart"/>
            <w:tcBorders>
              <w:top w:val="single" w:color="000000" w:sz="3"/>
              <w:left w:val="single" w:color="000000" w:sz="3"/>
              <w:bottom w:val="single" w:color="000000" w:sz="3"/>
              <w:right w:val="single" w:color="000000" w:sz="3"/>
            </w:tcBorders>
            <w:vAlign w:val="center"/>
          </w:tcPr>
          <w:p>
            <w:pPr>
              <w:pStyle w:val="83"/>
              <w:widowControl w:val="off"/>
            </w:pPr>
            <w:r>
              <w:rPr>
                <w:rFonts w:ascii="휴먼명조"/>
                <w:sz w:val="20"/>
              </w:rPr>
              <w:t>LightGBM</w:t>
            </w: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n_estimators</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300</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Boosting rounds</w:t>
            </w:r>
          </w:p>
        </w:tc>
      </w:tr>
      <w:tr>
        <w:trPr>
          <w:trHeight w:val="405"/>
        </w:trPr>
        <w:tc>
          <w:tcPr>
            <w:tcW w:w="1866" w:type="dxa"/>
            <w:vMerge/>
            <w:tcBorders>
              <w:top w:val="single" w:color="000000" w:sz="3"/>
              <w:left w:val="single" w:color="000000" w:sz="3"/>
              <w:bottom w:val="single" w:color="000000" w:sz="3"/>
              <w:right w:val="single" w:color="000000" w:sz="3"/>
            </w:tcBorders>
          </w:tcPr>
          <w:p/>
        </w:tc>
        <w:tc>
          <w:tcPr>
            <w:tcW w:w="1867" w:type="dxa"/>
            <w:tcBorders>
              <w:top w:val="single" w:color="000000" w:sz="3"/>
              <w:left w:val="single" w:color="000000" w:sz="3"/>
              <w:bottom w:val="single" w:color="000000" w:sz="3"/>
              <w:right w:val="single" w:color="000000" w:sz="3"/>
            </w:tcBorders>
            <w:vAlign w:val="center"/>
          </w:tcPr>
          <w:p>
            <w:pPr>
              <w:pStyle w:val="84"/>
              <w:widowControl w:val="off"/>
            </w:pPr>
            <w:r>
              <w:rPr>
                <w:rFonts w:ascii="휴먼명조"/>
                <w:sz w:val="20"/>
              </w:rPr>
              <w:t>num_leaves</w:t>
            </w:r>
          </w:p>
        </w:tc>
        <w:tc>
          <w:tcPr>
            <w:tcW w:w="1866" w:type="dxa"/>
            <w:tcBorders>
              <w:top w:val="single" w:color="000000" w:sz="3"/>
              <w:left w:val="single" w:color="000000" w:sz="3"/>
              <w:bottom w:val="single" w:color="000000" w:sz="3"/>
              <w:right w:val="single" w:color="000000" w:sz="3"/>
            </w:tcBorders>
            <w:vAlign w:val="center"/>
          </w:tcPr>
          <w:p>
            <w:pPr>
              <w:pStyle w:val="81"/>
              <w:widowControl w:val="off"/>
            </w:pPr>
            <w:r>
              <w:rPr>
                <w:rFonts w:ascii="휴먼명조"/>
                <w:sz w:val="20"/>
              </w:rPr>
              <w:t>31</w:t>
            </w:r>
          </w:p>
        </w:tc>
        <w:tc>
          <w:tcPr>
            <w:tcW w:w="2864" w:type="dxa"/>
            <w:tcBorders>
              <w:top w:val="single" w:color="000000" w:sz="3"/>
              <w:left w:val="single" w:color="000000" w:sz="3"/>
              <w:bottom w:val="single" w:color="000000" w:sz="3"/>
              <w:right w:val="single" w:color="000000" w:sz="3"/>
            </w:tcBorders>
            <w:vAlign w:val="center"/>
          </w:tcPr>
          <w:p>
            <w:pPr>
              <w:pStyle w:val="80"/>
              <w:widowControl w:val="off"/>
            </w:pPr>
            <w:r>
              <w:rPr>
                <w:rFonts w:ascii="휴먼명조"/>
                <w:sz w:val="20"/>
              </w:rPr>
              <w:t>Max leaves in one tree</w:t>
            </w:r>
          </w:p>
        </w:tc>
      </w:tr>
      <w:tr>
        <w:trPr>
          <w:trHeight w:val="406"/>
        </w:trPr>
        <w:tc>
          <w:tcPr>
            <w:tcW w:w="8463" w:type="dxa"/>
            <w:gridSpan w:val="4"/>
            <w:tcBorders>
              <w:top w:val="single" w:color="000000" w:sz="3"/>
              <w:left w:val="single" w:color="000000" w:sz="3"/>
              <w:bottom w:val="single" w:color="000000" w:sz="3"/>
              <w:right w:val="single" w:color="000000" w:sz="3"/>
            </w:tcBorders>
            <w:vAlign w:val="center"/>
          </w:tcPr>
          <w:p>
            <w:pPr>
              <w:pStyle w:val="85"/>
              <w:widowControl w:val="off"/>
            </w:pPr>
            <w:r>
              <w:rPr>
                <w:rFonts w:ascii="휴먼명조" w:eastAsia="휴먼명조"/>
                <w:sz w:val="20"/>
              </w:rPr>
              <w:t>본 연구의 모든 비교 모델들의 최종 하이퍼파라미터는 학습 구간 내 5-fold TimeSeriesSplit(시계열 교차검증)을 통해 탐색 및 선택되었으며, 표 A-5는 그 최종 결과치를 요약한 것이다.</w:t>
            </w:r>
          </w:p>
        </w:tc>
      </w:tr>
    </w:tbl>
    <w:p>
      <w:pPr>
        <w:pStyle w:val="0"/>
        <w:widowControl w:val="off"/>
        <w:wordWrap w:val="1"/>
        <w:jc w:val="center"/>
      </w:pPr>
    </w:p>
    <w:p>
      <w:pPr>
        <w:pStyle w:val="0"/>
        <w:widowControl w:val="off"/>
        <w:wordWrap w:val="1"/>
        <w:jc w:val="center"/>
        <w:rPr>
          <w:rFonts w:ascii="HCI Hollyhock" w:eastAsia="휴먼고딕"/>
          <w:color w:val="000000"/>
          <w:sz w:val="22"/>
        </w:rPr>
      </w:pPr>
    </w:p>
    <w:p>
      <w:pPr>
        <w:pStyle w:val="0"/>
        <w:widowControl w:val="off"/>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rPr>
          <w:rFonts w:ascii="HCI Hollyhock" w:eastAsia="휴먼고딕"/>
          <w:color w:val="000000"/>
          <w:sz w:val="22"/>
        </w:rPr>
      </w:pPr>
    </w:p>
    <w:p>
      <w:pPr>
        <w:pStyle w:val="0"/>
        <w:widowControl w:val="off"/>
        <w:wordWrap w:val="1"/>
        <w:jc w:val="center"/>
      </w:pPr>
      <w:r>
        <w:rPr/>
        <w:t>그림 WEns 모델의 전체 흐름</w:t>
      </w:r>
    </w:p>
    <w:p>
      <w:pPr>
        <w:pStyle w:val="0"/>
        <w:widowControl w:val="off"/>
        <w:wordWrap w:val="1"/>
        <w:jc w:val="center"/>
      </w:pPr>
      <w:r>
        <w:drawing>
          <wp:inline distT="0" distB="0" distL="0" distR="0">
            <wp:extent cx="5185410" cy="7309485"/>
            <wp:effectExtent l="0" t="0" r="0" b="0"/>
            <wp:docPr id="1" name="그림 %d 1"/>
            <wp:cNvGraphicFramePr/>
            <a:graphic>
              <a:graphicData uri="http://schemas.openxmlformats.org/drawingml/2006/picture">
                <pic:pic>
                  <pic:nvPicPr>
                    <pic:cNvPr id="0" name="C:\Users\15tkd\AppData\Local\Temp\Hnc\BinData\EMB0000520c3660.PNG"/>
                    <pic:cNvPicPr/>
                  </pic:nvPicPr>
                  <pic:blipFill>
                    <a:blip r:embed="rId4"/>
                    <a:srcRect r="22" b="3053"/>
                    <a:stretch>
                      <a:fillRect/>
                    </a:stretch>
                  </pic:blipFill>
                  <pic:spPr>
                    <a:xfrm>
                      <a:off x="0" y="0"/>
                      <a:ext cx="5185410" cy="7309485"/>
                    </a:xfrm>
                    <a:prstGeom prst="rect">
                      <a:avLst/>
                    </a:prstGeom>
                    <a:effectLst/>
                  </pic:spPr>
                </pic:pic>
              </a:graphicData>
            </a:graphic>
          </wp:inline>
        </w:drawing>
      </w:r>
    </w:p>
    <w:p>
      <w:pPr>
        <w:pStyle w:val="0"/>
        <w:widowControl w:val="off"/>
        <w:rPr/>
      </w:pPr>
    </w:p>
    <w:p>
      <w:pPr>
        <w:pStyle w:val="53"/>
        <w:widowControl w:val="off"/>
      </w:pPr>
      <w:r>
        <w:pict>
          <v:roundrect arcsize="6553f" id="_x267424151" style="v-text-anchor:top;width:198.45pt;height:19.85pt;mso-wrap-style:square;" o:hralign="left" o:allowincell="f" o:insetmode="custom" strokeweight="0.30pt" fillcolor="#b8b8b8" o:connectortype="straight">
            <wvml:wrap type="topAndBottom"/>
            <v:stroke/>
            <v:fill opacity="1.00" color2="#ffffff"/>
            <v:textbox style="mso-fit-shape-to-text:t;" inset="1mm,1mm,1mm,1mm">
              <w:txbxContent>
                <w:p>
                  <w:pPr>
                    <w:pStyle w:val="47"/>
                    <w:widowControl w:val="off"/>
                    <w:spacing w:before="30"/>
                  </w:pPr>
                  <w:r>
                    <w:rPr/>
                    <w:t>저자소개</w:t>
                  </w:r>
                </w:p>
              </w:txbxContent>
            </v:textbox>
          </v:roundrect>
        </w:pict>
      </w:r>
    </w:p>
    <w:p>
      <w:pPr>
        <w:pStyle w:val="53"/>
        <w:widowControl w:val="off"/>
        <w:rPr/>
      </w:pPr>
    </w:p>
    <w:p>
      <w:pPr>
        <w:pStyle w:val="48"/>
        <w:widowControl w:val="off"/>
        <w:rPr/>
      </w:pPr>
    </w:p>
    <w:p>
      <w:pPr>
        <w:pStyle w:val="0"/>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p>
      <w:pPr>
        <w:pStyle w:val="48"/>
        <w:widowControl w:val="off"/>
        <w:rPr/>
      </w:pPr>
    </w:p>
    <w:sectPr>
      <w:footnotePr>
        <w:numFmt w:val="decimal"/>
        <w:numRestart w:val="continuous"/>
      </w:footnotePr>
      <w:endnotePr>
        <w:pos w:val="docEnd"/>
        <w:numFmt w:val="decimal"/>
        <w:numRestart w:val="continuous"/>
      </w:endnotePr>
      <w:pgSz w:w="10772" w:h="14740"/>
      <w:pgMar w:top="1559" w:right="1134" w:bottom="992" w:left="1134" w:header="992" w:footer="992" w:gutter="0"/>
      <w:cols w:space="0"/>
      <w:type w:val="continuous"/>
    </w:sectPr>
  </w:body>
</w:document>
</file>

<file path=word/comments.xml><?xml version="1.0" encoding="utf-8"?>
<w:comment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comment w:id="0" w:author="SAY" w:date="2026-03-11T08:09:57">
    <w:p>
      <w:pPr>
        <w:pStyle w:val="34"/>
        <w:widowControl w:val="off"/>
      </w:pPr>
      <w:r>
        <w:rPr/>
        <w:t>수치 출처 기입 필요</w:t>
      </w:r>
    </w:p>
  </w:comment>
  <w:comment w:id="1" w:author="Yujin" w:date="2026-03-12T06:23:42">
    <w:p>
      <w:pPr>
        <w:pStyle w:val="0"/>
        <w:widowControl w:val="off"/>
        <w:spacing w:line="240" w:lineRule="auto"/>
        <w:jc w:val="left"/>
      </w:pPr>
      <w:r>
        <w:rPr>
          <w:rFonts w:eastAsia="Times New Roman"/>
        </w:rPr>
        <w:t>현재 서술 방식이 나열식으로 구성되어 있어 문맥의 연결성이 다소 부족하게 느껴짐. 해당 사건이 자산 변동성 증가로 이어진 이유에 대한 간단한 설명을 보완할 필요가 있음.</w:t>
      </w:r>
    </w:p>
  </w:comment>
  <w:comment w:id="2" w:author="Yujin" w:date="2026-03-12T06:24:33">
    <w:p>
      <w:pPr>
        <w:pStyle w:val="34"/>
        <w:widowControl w:val="off"/>
      </w:pPr>
      <w:r>
        <w:rPr/>
        <w:t>논문 전반에서 “ ” 기호를 사용하여 문장을 설명하는 표현이 다수 확인됨. 해당 방식은 학술 논문의 일반적인 서술 형식과는 다소 맞지 않으므로 전체적으로 서술형 문장으로 수정이 필요함.</w:t>
      </w:r>
    </w:p>
  </w:comment>
  <w:comment w:id="3" w:author="Yujin" w:date="2026-03-12T06:27:00">
    <w:p>
      <w:pPr>
        <w:pStyle w:val="0"/>
        <w:widowControl w:val="off"/>
        <w:spacing w:line="240" w:lineRule="auto"/>
        <w:ind w:firstLine="0"/>
        <w:jc w:val="left"/>
      </w:pPr>
      <w:r>
        <w:rPr>
          <w:rFonts w:eastAsia="Times New Roman"/>
        </w:rPr>
        <w:t>영어 표현을 사용할 경우 약어와 전체 표현을 함께 제시하는 방식(약어, Full English Expression)으로 작성할 필요가 있음. 또한 영어 표기에서 문장 첫 글자가 소문자로 작성된 부분은 대문자로 수정이 필요함.</w:t>
      </w:r>
    </w:p>
  </w:comment>
  <w:comment w:id="4" w:author="Yujin" w:date="2026-03-12T06:29:41">
    <w:p>
      <w:pPr>
        <w:pStyle w:val="0"/>
        <w:widowControl w:val="off"/>
        <w:spacing w:line="240" w:lineRule="auto"/>
        <w:ind w:firstLine="0"/>
        <w:jc w:val="left"/>
      </w:pPr>
      <w:r>
        <w:rPr>
          <w:rFonts w:eastAsia="Times New Roman"/>
        </w:rPr>
        <w:t>논문 전반에서 괄호를 활용한 설명식 표현이 많이 사용되고 있음. 괄호 대신 “~를 뜻하는 ~은”과 같은 서술형 표현으로 수정하고, 한국어 문장에서도 가능한 경우 괄호 표현을 풀어 서술하는 방식으로 보완할 필요가 있음.</w:t>
      </w:r>
    </w:p>
  </w:comment>
  <w:comment w:id="5" w:author="Yujin" w:date="2026-03-12T06:31:38">
    <w:p>
      <w:pPr>
        <w:pStyle w:val="0"/>
        <w:widowControl w:val="off"/>
        <w:spacing w:line="240" w:lineRule="auto"/>
        <w:ind w:firstLine="0"/>
        <w:jc w:val="left"/>
      </w:pPr>
      <w:r>
        <w:rPr>
          <w:rFonts w:eastAsia="Times New Roman"/>
        </w:rPr>
        <w:t>참고문헌 인용 형식에서 저자 표기는 1저자만 기재한 후 나머지는 et al.로 표기하는 방식으로 통일할 필요가 있음.</w:t>
      </w:r>
    </w:p>
  </w:comment>
  <w:comment w:id="6" w:author="Yujin" w:date="2026-03-12T06:36:52">
    <w:p>
      <w:pPr>
        <w:pStyle w:val="0"/>
        <w:widowControl w:val="off"/>
        <w:spacing w:line="240" w:lineRule="auto"/>
        <w:ind w:firstLine="0"/>
        <w:jc w:val="left"/>
      </w:pPr>
      <w:r>
        <w:rPr>
          <w:rFonts w:eastAsia="Times New Roman"/>
        </w:rPr>
        <w:t>서론은 연구에서 해결하고자 하는 문제의 배경과 필요성을 제시하는 부분으로, 기존 연구를 단순히 나열하는 서술은 다소 부적절하게 느껴짐. RV 예측의 변천사와 같은 내용은 Related Work 섹션으로 이동하여 정리하는 것이 필요함.</w:t>
      </w:r>
    </w:p>
  </w:comment>
  <w:comment w:id="7" w:author="SAY" w:date="2026-03-11T09:31:52">
    <w:p>
      <w:pPr>
        <w:pStyle w:val="34"/>
        <w:widowControl w:val="off"/>
      </w:pPr>
      <w:r>
        <w:rPr/>
        <w:t>측정 가능하다는 것과 아래 예측 대상으로 설정한다는 건 다른 이야기.</w:t>
      </w:r>
    </w:p>
    <w:p>
      <w:pPr>
        <w:pStyle w:val="34"/>
        <w:widowControl w:val="off"/>
      </w:pPr>
      <w:r>
        <w:rPr/>
        <w:t>VRP를 예측하면 어떤 의사결정에 유용한지에 대한 내용이 없음 (VRP가 추가적으로 가지는 정보가 뭔지, 그게 왜 유용한지)</w:t>
      </w:r>
    </w:p>
  </w:comment>
  <w:comment w:id="8" w:author="Yujin" w:date="2026-03-12T06:41:59">
    <w:p>
      <w:pPr>
        <w:pStyle w:val="34"/>
        <w:widowControl w:val="off"/>
      </w:pPr>
      <w:r>
        <w:rPr/>
        <w:t>변수 설명은 서론이 아닌 방법론, 혹은 실험 파트 옮길 필요가 있으며, 식은 따로 빼는 것을 추천함</w:t>
      </w:r>
      <w:r>
        <w:rPr/>
        <w:t>해당 부분의 변수 설명은 서론보다는 방법론 또는 실험 파트로 이동하는 것이 적절함. 또한 수식은 문장 내에 포함하기보다는 별도의 식으로 분리하여 제시하는 것을 권장함.</w:t>
      </w:r>
    </w:p>
  </w:comment>
  <w:comment w:id="9" w:author="Yujin" w:date="2026-03-12T06:44:03">
    <w:p>
      <w:pPr>
        <w:pStyle w:val="34"/>
        <w:widowControl w:val="off"/>
      </w:pPr>
      <w:r>
        <w:rPr/>
        <w:t>앞선 코멘트와 동일하게 해당 내용은 실험 혹은 방법록에 작성하는 것을 권장함</w:t>
      </w:r>
    </w:p>
  </w:comment>
  <w:comment w:id="10" w:author="Yujin" w:date="2026-03-12T06:44:42">
    <w:p>
      <w:pPr>
        <w:pStyle w:val="0"/>
        <w:widowControl w:val="off"/>
        <w:spacing w:line="240" w:lineRule="auto"/>
        <w:ind w:firstLine="0"/>
        <w:jc w:val="left"/>
      </w:pPr>
      <w:r>
        <w:rPr>
          <w:rFonts w:eastAsia="Times New Roman"/>
        </w:rPr>
        <w:t>대체로와 같은 모호한 표현은 서술의 명확성을 저하시킬 수 있으므로 가능한 경우 구체적인 표현으로 수정하는 것을 권장함.</w:t>
      </w:r>
    </w:p>
  </w:comment>
  <w:comment w:id="11" w:author="Yujin" w:date="2026-03-12T06:46:19">
    <w:p>
      <w:pPr>
        <w:pStyle w:val="0"/>
        <w:widowControl w:val="off"/>
        <w:spacing w:line="240" w:lineRule="auto"/>
        <w:ind w:firstLine="0"/>
        <w:jc w:val="left"/>
      </w:pPr>
      <w:r>
        <w:rPr>
          <w:rFonts w:eastAsia="Times New Roman"/>
        </w:rPr>
        <w:t>해당 문장은 문장 간 논리적 연결이 다소 부자연스럽게 느껴짐. 옵션 데이터 확보의 어려움이 왜 재현 가능한 형태의 VRP 예측 구성으로 이어지는지 인과 관계가 충분히 설명되지 않아 연구의 의도를 명확히 이해하기 어려움. 해당 부분의 설명을 보다 명확히 보완할 필요가 있음.</w:t>
      </w:r>
    </w:p>
  </w:comment>
  <w:comment w:id="12" w:author="Yujin" w:date="2026-03-12T06:48:43">
    <w:p>
      <w:pPr>
        <w:pStyle w:val="34"/>
        <w:widowControl w:val="off"/>
      </w:pPr>
      <w:r>
        <w:rPr/>
        <w:t xml:space="preserve">정렬된 분석이 많다는 </w:t>
      </w:r>
      <w:r>
        <w:rPr/>
        <w:t>현의 의미가 다소 모호하게 느껴짐. 해당 분석 방식이 무엇을 의미하는지 구체적인 설명이 필요하며, 이러한 접근이 왜 연구의 한계로 이어지는지에 대한 보완 설명이 필요함.</w:t>
      </w:r>
    </w:p>
  </w:comment>
  <w:comment w:id="13" w:author="Yujin" w:date="2026-03-12T06:50:27">
    <w:p>
      <w:pPr>
        <w:pStyle w:val="0"/>
        <w:widowControl w:val="off"/>
        <w:spacing w:line="240" w:lineRule="auto"/>
        <w:ind w:firstLine="0"/>
        <w:jc w:val="left"/>
      </w:pPr>
      <w:r>
        <w:rPr>
          <w:rFonts w:eastAsia="Times New Roman"/>
        </w:rPr>
        <w:t>문장 전반의 표현이 다소 어색하게 느껴짐. 또한 연구 질문에 답한다는 표현보다는 ~를 제안한다와 같은 서술 방식이 학술 논문에서 보다 일반적으로 사용되므로 해당 표현의 수정이 필요함.</w:t>
      </w:r>
    </w:p>
  </w:comment>
  <w:comment w:id="14" w:author="SAY" w:date="2026-03-11T09:57:26">
    <w:p>
      <w:pPr>
        <w:pStyle w:val="34"/>
        <w:widowControl w:val="off"/>
      </w:pPr>
      <w:r>
        <w:rPr/>
        <w:t>RQ가 독립적으로 나열되어 있음 서로 논리적으로 관계가 있으면 좋을 것 같음</w:t>
      </w:r>
    </w:p>
  </w:comment>
  <w:comment w:id="15" w:author="Yujin" w:date="2026-03-12T06:52:36">
    <w:p>
      <w:pPr>
        <w:pStyle w:val="0"/>
        <w:widowControl w:val="off"/>
        <w:spacing w:line="240" w:lineRule="auto"/>
        <w:ind w:firstLine="0"/>
        <w:jc w:val="left"/>
      </w:pPr>
      <w:r>
        <w:rPr>
          <w:rFonts w:eastAsia="Times New Roman"/>
        </w:rPr>
        <w:t>서론에서는 사용한 데이터에 대해 간략히 언급하는 수준이 적절하며, 구체적인 데이터 설명은 실험 파트의 데이터셋 섹션으로 이동하는 것이 필요함. 또한 데이터의 규모 및 세부 정보는 표 형태로 정리하여 제시하는 것을 권장함.</w:t>
      </w:r>
    </w:p>
  </w:comment>
  <w:comment w:id="16" w:author="Yujin" w:date="2026-03-12T06:54:49">
    <w:p>
      <w:pPr>
        <w:pStyle w:val="0"/>
        <w:widowControl w:val="off"/>
        <w:spacing w:line="240" w:lineRule="auto"/>
        <w:jc w:val="left"/>
      </w:pPr>
      <w:r>
        <w:rPr>
          <w:rFonts w:eastAsia="Times New Roman"/>
        </w:rPr>
        <w:t>소단원 제목인 VRP의 정의와 측정은 VRP와 같이 명사 형태로 간결하게 수정하는 것이 필요함. 소단원 제목은 설명식이나 나열식 표현보다는 명사 중심으로 작성하는 것이 일반적인 학술 논문 작성 방식에 보다 적절함.</w:t>
      </w:r>
    </w:p>
  </w:comment>
  <w:comment w:id="17" w:author="SAY" w:date="2026-03-06T12:14:00">
    <w:p>
      <w:pPr>
        <w:pStyle w:val="34"/>
        <w:widowControl w:val="off"/>
      </w:pPr>
      <w:r>
        <w:rPr/>
        <w:t>인용 뒤 번호</w:t>
      </w:r>
    </w:p>
  </w:comment>
  <w:comment w:id="18" w:author="Yujin" w:date="2026-03-12T06:57:03">
    <w:p>
      <w:pPr>
        <w:pStyle w:val="0"/>
        <w:widowControl w:val="off"/>
        <w:spacing w:line="240" w:lineRule="auto"/>
        <w:ind w:firstLine="0"/>
        <w:jc w:val="left"/>
      </w:pPr>
      <w:r>
        <w:rPr>
          <w:rFonts w:eastAsia="Times New Roman"/>
        </w:rPr>
        <w:t>해당 부분은 관련 연구를 설명하는 내용이므로 단락을 구분하기보다는 동일한 단락에서 이어 서술하는 것이 적절해 보임. 단락 구분은 본 연구에서는과 같이 본 연구의 내용을 설명하는 부분에서 시작하는 것이 바람직함.</w:t>
      </w:r>
    </w:p>
  </w:comment>
  <w:comment w:id="19" w:author="SAY" w:date="2026-03-11T10:53:01">
    <w:p>
      <w:pPr>
        <w:pStyle w:val="34"/>
        <w:widowControl w:val="off"/>
      </w:pPr>
      <w:r>
        <w:rPr/>
        <w:t>관련 연구 마지막에 한번에 정리하는게 어떤지</w:t>
      </w:r>
    </w:p>
  </w:comment>
  <w:comment w:id="20" w:author="SAY" w:date="2026-03-06T12:15:21">
    <w:p>
      <w:pPr>
        <w:pStyle w:val="34"/>
        <w:widowControl w:val="off"/>
      </w:pPr>
      <w:r>
        <w:rPr/>
        <w:t>인용 방법?</w:t>
      </w:r>
    </w:p>
  </w:comment>
  <w:comment w:id="21" w:author="SAY" w:date="2026-03-11T10:56:09">
    <w:p>
      <w:pPr>
        <w:pStyle w:val="34"/>
        <w:widowControl w:val="off"/>
      </w:pPr>
      <w:r>
        <w:rPr/>
        <w:t>위의 피드백과 같음. 마지막에 한 번에 정리하는게 어떤지</w:t>
      </w:r>
    </w:p>
  </w:comment>
  <w:comment w:id="22" w:author="SAY" w:date="2026-03-06T12:16:05">
    <w:p>
      <w:pPr>
        <w:pStyle w:val="34"/>
        <w:widowControl w:val="off"/>
      </w:pPr>
      <w:r>
        <w:rPr/>
        <w:t>인용 번호</w:t>
      </w:r>
    </w:p>
  </w:comment>
  <w:comment w:id="23" w:author="Yujin" w:date="2026-03-12T06:59:05">
    <w:p>
      <w:pPr>
        <w:pStyle w:val="0"/>
        <w:widowControl w:val="off"/>
        <w:spacing w:line="240" w:lineRule="auto"/>
        <w:jc w:val="left"/>
      </w:pPr>
      <w:r>
        <w:rPr>
          <w:rFonts w:eastAsia="Times New Roman"/>
        </w:rPr>
        <w:t>비교 성능 평가는 연구 방법 또는 실험 결과와 관련된 내용이므로 서론이 아닌 방법론 또는 실험 파트에서 다루는 것이 적절해 보임. 해당 내용을 관련 섹션으로 이동하여 정리하는 것을 권장함</w:t>
      </w:r>
    </w:p>
  </w:comment>
  <w:comment w:id="24" w:author="SAY" w:date="2026-03-11T10:56:57">
    <w:p>
      <w:pPr>
        <w:pStyle w:val="34"/>
        <w:widowControl w:val="off"/>
      </w:pPr>
      <w:r>
        <w:rPr/>
        <w:t>직접적인 우열 비교에 사용될 수 없다고 하면서 비교 결과를 보여주는 건 상충되는 것 같음</w:t>
      </w:r>
    </w:p>
  </w:comment>
  <w:comment w:id="25" w:author="SAY" w:date="2026-03-06T12:16:45">
    <w:p>
      <w:pPr>
        <w:pStyle w:val="34"/>
        <w:widowControl w:val="off"/>
      </w:pPr>
      <w:r>
        <w:rPr/>
        <w:t>인용</w:t>
      </w:r>
    </w:p>
  </w:comment>
  <w:comment w:id="26" w:author="SAY" w:date="2026-03-11T10:54:53">
    <w:p>
      <w:pPr>
        <w:pStyle w:val="34"/>
        <w:widowControl w:val="off"/>
      </w:pPr>
      <w:r>
        <w:rPr/>
        <w:t>위의 피드백과 같음. 마지막에 한 번에 정리하는게 어떤지</w:t>
      </w:r>
    </w:p>
  </w:comment>
  <w:comment w:id="27" w:author="SAY" w:date="2026-03-11T10:55:32">
    <w:p>
      <w:pPr>
        <w:pStyle w:val="34"/>
        <w:widowControl w:val="off"/>
      </w:pPr>
      <w:r>
        <w:rPr/>
        <w:t>앞의 본 연구는~ 부분을 여기서 한번에 정리</w:t>
      </w:r>
    </w:p>
  </w:comment>
  <w:comment w:id="28" w:author="SAY" w:date="2026-03-06T12:17:03">
    <w:p>
      <w:pPr>
        <w:pStyle w:val="34"/>
        <w:widowControl w:val="off"/>
      </w:pPr>
      <w:r>
        <w:rPr/>
        <w:t>인용 방법을 전체적으로 맞춰야함</w:t>
      </w:r>
    </w:p>
  </w:comment>
  <w:comment w:id="29" w:author="Yujin" w:date="2026-03-12T07:00:42">
    <w:p>
      <w:pPr>
        <w:pStyle w:val="34"/>
        <w:widowControl w:val="off"/>
      </w:pPr>
      <w:r>
        <w:rPr/>
        <w:t>데이터 세트로 수정 필요</w:t>
      </w:r>
    </w:p>
  </w:comment>
  <w:comment w:id="30" w:author="Yujin" w:date="2026-03-12T07:01:09">
    <w:p>
      <w:pPr>
        <w:pStyle w:val="34"/>
        <w:widowControl w:val="off"/>
      </w:pPr>
      <w:r>
        <w:rPr/>
        <w:t>자산 유니버스로 수정 필요</w:t>
      </w:r>
    </w:p>
  </w:comment>
  <w:comment w:id="31" w:author="Yujin" w:date="2026-03-12T07:01:35">
    <w:p>
      <w:pPr>
        <w:pStyle w:val="34"/>
        <w:widowControl w:val="off"/>
      </w:pPr>
      <w:r>
        <w:rPr/>
        <w:t>표로 수정</w:t>
      </w:r>
    </w:p>
  </w:comment>
  <w:comment w:id="32" w:author="Yujin" w:date="2026-03-12T07:37:10">
    <w:p>
      <w:pPr>
        <w:pStyle w:val="34"/>
        <w:widowControl w:val="off"/>
      </w:pPr>
      <w:r>
        <w:rPr/>
        <w:t>해당 2010년 1월 이후인 이유가 있다면 추가 필요, 안정적으로 존재한다의 정확한 정의가 어떻게 되는 지 추가 서술 필요</w:t>
      </w:r>
    </w:p>
  </w:comment>
  <w:comment w:id="33" w:author="Yujin" w:date="2026-03-12T07:38:36">
    <w:p>
      <w:pPr>
        <w:pStyle w:val="0"/>
        <w:widowControl w:val="off"/>
        <w:spacing w:line="240" w:lineRule="auto"/>
        <w:ind w:firstLine="0"/>
        <w:jc w:val="left"/>
      </w:pPr>
      <w:r>
        <w:rPr>
          <w:rFonts w:eastAsia="Times New Roman"/>
        </w:rPr>
        <w:t>콘탱고, 백워데이션 등 용어에 대한 설명이 없어 문장의 이해가 다소 어려움. 해당 용어에 대한 간단한 설명을 보완하고, 이를 바탕으로 USO의 변동성을 투자자 관점의 실현 변동성으로 해석하는 이유를 보다 명확히 제시할 필요가 있음.</w:t>
      </w:r>
    </w:p>
  </w:comment>
  <w:comment w:id="34" w:author="Yujin" w:date="2026-03-12T07:40:05">
    <w:p>
      <w:pPr>
        <w:pStyle w:val="34"/>
        <w:widowControl w:val="off"/>
      </w:pPr>
      <w:r>
        <w:rPr/>
        <w:t>데이터 전처리로 수정</w:t>
      </w:r>
    </w:p>
  </w:comment>
  <w:comment w:id="35" w:author="Yujin" w:date="2026-03-12T07:40:15">
    <w:p>
      <w:pPr>
        <w:pStyle w:val="0"/>
        <w:widowControl w:val="off"/>
        <w:spacing w:line="240" w:lineRule="auto"/>
        <w:ind w:firstLine="0"/>
        <w:jc w:val="left"/>
      </w:pPr>
      <w:r>
        <w:rPr>
          <w:rFonts w:eastAsia="Times New Roman"/>
        </w:rPr>
        <w:t xml:space="preserve">데이터 기간은 2010년 1월 ~ 2025년 1월과 같은 범위 표기보다는 2010년 1월 </w:t>
      </w:r>
      <w:r>
        <w:rPr>
          <w:rFonts w:ascii="Times New Roman" w:eastAsia="Times New Roman"/>
        </w:rPr>
        <w:t>○일부터</w:t>
      </w:r>
      <w:r>
        <w:rPr>
          <w:rFonts w:eastAsia="Times New Roman"/>
        </w:rPr>
        <w:t xml:space="preserve"> 2025년 1월 </w:t>
      </w:r>
      <w:r>
        <w:rPr>
          <w:rFonts w:ascii="Times New Roman" w:eastAsia="Times New Roman"/>
        </w:rPr>
        <w:t>○일까지와</w:t>
      </w:r>
      <w:r>
        <w:rPr>
          <w:rFonts w:eastAsia="Times New Roman"/>
        </w:rPr>
        <w:t xml:space="preserve"> 같이 시작일과 종료일을 명확히 제시하는 방식으로 수정하는 것이 필요함.</w:t>
      </w:r>
    </w:p>
  </w:comment>
  <w:comment w:id="36" w:author="Yujin" w:date="2026-03-12T07:42:20">
    <w:p>
      <w:pPr>
        <w:pStyle w:val="34"/>
        <w:widowControl w:val="off"/>
      </w:pPr>
      <w:r>
        <w:rPr/>
        <w:t>한국어로 설명 가능한 용어는 한국어 용어로 수정 필요</w:t>
      </w:r>
    </w:p>
  </w:comment>
  <w:comment w:id="37" w:author="SAY" w:date="2026-03-11T10:58:57">
    <w:p>
      <w:pPr>
        <w:pStyle w:val="34"/>
        <w:widowControl w:val="off"/>
      </w:pPr>
      <w:r>
        <w:rPr/>
        <w:t>데이터 파트에서 나오는 건 어색함 4장에서 제시</w:t>
      </w:r>
    </w:p>
  </w:comment>
  <w:comment w:id="38" w:author="Yujin" w:date="2026-03-12T07:49:03">
    <w:p>
      <w:pPr>
        <w:pStyle w:val="34"/>
        <w:widowControl w:val="off"/>
      </w:pPr>
      <w:r>
        <w:rPr/>
        <w:t>식은 따로 빼는 걸 권장</w:t>
      </w:r>
    </w:p>
  </w:comment>
  <w:comment w:id="39" w:author="Yujin" w:date="2026-03-12T07:49:41">
    <w:p>
      <w:pPr>
        <w:pStyle w:val="34"/>
        <w:widowControl w:val="off"/>
      </w:pPr>
      <w:r>
        <w:rPr/>
        <w:t>수정된 형태에 대한 설명 필요</w:t>
      </w:r>
    </w:p>
  </w:comment>
  <w:comment w:id="40" w:author="Yujin" w:date="2026-03-12T07:50:30">
    <w:p>
      <w:pPr>
        <w:pStyle w:val="34"/>
        <w:widowControl w:val="off"/>
      </w:pPr>
      <w:r>
        <w:rPr/>
        <w:t>용어 설명 필요</w:t>
      </w:r>
    </w:p>
  </w:comment>
  <w:comment w:id="41" w:author="Yujin" w:date="2026-03-12T07:50:51">
    <w:p>
      <w:pPr>
        <w:pStyle w:val="34"/>
        <w:widowControl w:val="off"/>
      </w:pPr>
      <w:r>
        <w:rPr/>
        <w:t>식 수정 필요?</w:t>
      </w:r>
    </w:p>
  </w:comment>
  <w:comment w:id="42" w:author="Yujin" w:date="2026-03-12T07:52:21">
    <w:p>
      <w:pPr>
        <w:pStyle w:val="0"/>
        <w:widowControl w:val="off"/>
        <w:spacing w:line="240" w:lineRule="auto"/>
        <w:jc w:val="left"/>
      </w:pPr>
      <w:r>
        <w:rPr>
          <w:rFonts w:eastAsia="Times New Roman"/>
        </w:rPr>
        <w:t>전방 채움(forward fill)의 장점을 기반으로 결측치 처리에서 어떠한 효과를 보이는지 서술하는 방식으로 문장을 보완할 필요가 있음. 예를 들어 “전방 채움의 ~한 장점으로 인해 결측치 처리에서 ~한 효과를 보인다”와 같은 형태로 설명하는 것이 적절함. 또한 다른 결측치 처리 방법과의 비교가 존재한다면 해당 내용을 함께 제시하는 것이 필요함.</w:t>
      </w:r>
    </w:p>
  </w:comment>
  <w:comment w:id="43" w:author="Yujin" w:date="2026-03-12T07:53:48">
    <w:p>
      <w:pPr>
        <w:pStyle w:val="0"/>
        <w:widowControl w:val="off"/>
        <w:spacing w:line="240" w:lineRule="auto"/>
        <w:jc w:val="left"/>
      </w:pPr>
      <w:r>
        <w:rPr>
          <w:rFonts w:eastAsia="Times New Roman"/>
        </w:rPr>
        <w:t>해당 문장은 “~하는 것이 자연스럽다”와 같은 표현으로 인해 대화체에 가까운 서술로 보임. 학술 논문에 적합한 서술형 문장으로 수정하는 것이 필요함. 전체적으로 이런 대화체 문장이 많음 확인 후 수정 필요</w:t>
      </w:r>
    </w:p>
  </w:comment>
  <w:comment w:id="44" w:author="Yujin" w:date="2026-03-12T07:55:16">
    <w:p>
      <w:pPr>
        <w:pStyle w:val="0"/>
        <w:widowControl w:val="off"/>
        <w:spacing w:line="240" w:lineRule="auto"/>
        <w:jc w:val="left"/>
      </w:pPr>
      <w:r>
        <w:rPr>
          <w:rFonts w:eastAsia="Times New Roman"/>
        </w:rPr>
        <w:t>표가 페이지에서 분할되지 않고 한 페이지 내에 포함되도록 편집을 수정할 필요가 있음. 또한 논문의 편집 및 레이아웃 구성은 저자가 직접 확인하고 조정하는 것이 필요함.</w:t>
      </w:r>
    </w:p>
    <w:p>
      <w:pPr>
        <w:pStyle w:val="0"/>
        <w:widowControl w:val="off"/>
        <w:spacing w:line="240" w:lineRule="auto"/>
        <w:jc w:val="left"/>
        <w:rPr>
          <w:rFonts w:eastAsia="Times New Roman"/>
          <w:color w:val="000000"/>
        </w:rPr>
      </w:pPr>
    </w:p>
    <w:p>
      <w:pPr>
        <w:pStyle w:val="0"/>
        <w:widowControl w:val="off"/>
        <w:spacing w:line="240" w:lineRule="auto"/>
        <w:jc w:val="left"/>
      </w:pPr>
      <w:r>
        <w:rPr>
          <w:rFonts w:eastAsia="Times New Roman"/>
        </w:rPr>
        <w:t>그리고 표의 형식이 해당 논문에서 요청한 형식과 다른 부분이 있는 것 같으니 확인 필요(한국정보기술학회저널) 검색해서 서식 받아서 확인</w:t>
      </w:r>
    </w:p>
  </w:comment>
  <w:comment w:id="45" w:author="SAY" w:date="2026-03-11T11:01:54">
    <w:p>
      <w:pPr>
        <w:pStyle w:val="34"/>
        <w:widowControl w:val="off"/>
      </w:pPr>
      <w:r>
        <w:rPr/>
        <w:t>중첩을 방지하기 위한 목적으로 2단계 접근을 취한다고 되어 있는데 설계 이유를 좀 더 명확하게 적는게 좋을 것 같음</w:t>
      </w:r>
    </w:p>
  </w:comment>
  <w:comment w:id="46" w:author="SAY" w:date="2026-03-11T11:03:27">
    <w:p>
      <w:pPr>
        <w:pStyle w:val="34"/>
        <w:widowControl w:val="off"/>
      </w:pPr>
      <w:r>
        <w:rPr/>
        <w:t>4장에 가야하는 내용 같음</w:t>
      </w:r>
    </w:p>
  </w:comment>
  <w:comment w:id="47" w:author="SAY" w:date="2026-03-11T11:04:01">
    <w:p>
      <w:pPr>
        <w:pStyle w:val="34"/>
        <w:widowControl w:val="off"/>
      </w:pPr>
      <w:r>
        <w:rPr/>
        <w:t>왜 해당 가중치로 고정했는지에 대한 설명 필요</w:t>
      </w:r>
    </w:p>
  </w:comment>
  <w:comment w:id="48" w:author="SAY" w:date="2026-03-11T11:04:38">
    <w:p>
      <w:pPr>
        <w:pStyle w:val="34"/>
        <w:widowControl w:val="off"/>
      </w:pPr>
      <w:r>
        <w:rPr/>
        <w:t>4장에 들어가야하는 내용</w:t>
      </w:r>
    </w:p>
  </w:comment>
  <w:comment w:id="49" w:author="Yujin" w:date="2026-03-12T08:00:18">
    <w:p>
      <w:pPr>
        <w:pStyle w:val="0"/>
        <w:widowControl w:val="off"/>
        <w:spacing w:line="240" w:lineRule="auto"/>
        <w:jc w:val="left"/>
      </w:pPr>
      <w:r>
        <w:rPr>
          <w:rFonts w:eastAsia="Times New Roman"/>
        </w:rPr>
        <w:t>4. 실험 결과 이후에 4.1 실험 개요가 배치된 현재의 구성은 논문의 일반적인 구조와 다소 맞지 않아 보임. 실험 개요는 실험 결과 이전에 배치하여 실험 설정 및 평가 방법을 먼저 설명하는 형태로 수정할 필요가 있음.</w:t>
      </w:r>
    </w:p>
  </w:comment>
  <w:comment w:id="50" w:author="SAY" w:date="2026-03-11T11:06:29">
    <w:p>
      <w:pPr>
        <w:pStyle w:val="34"/>
        <w:widowControl w:val="off"/>
      </w:pPr>
      <w:r>
        <w:rPr/>
        <w:t>표8에 대한 언급?</w:t>
      </w:r>
    </w:p>
  </w:comment>
  <w:comment w:id="51" w:author="SAY" w:date="2026-03-11T11:07:03">
    <w:p>
      <w:pPr>
        <w:pStyle w:val="34"/>
        <w:widowControl w:val="off"/>
      </w:pPr>
      <w:r>
        <w:rPr/>
        <w:t>앞에 표 8에 대한 언급이 안나왔는데 표 9가 먼저 나옴</w:t>
      </w:r>
    </w:p>
  </w:comment>
  <w:comment w:id="52" w:author="SAY" w:date="2026-03-11T11:12:39">
    <w:p>
      <w:pPr>
        <w:pStyle w:val="34"/>
        <w:widowControl w:val="off"/>
      </w:pPr>
      <w:r>
        <w:rPr/>
        <w:t>정확하게 어떤 기준에서 모순되지 않는지 불명확함</w:t>
      </w:r>
    </w:p>
  </w:comment>
  <w:comment w:id="53" w:author="Yujin" w:date="2026-03-12T07:58:51">
    <w:p>
      <w:pPr>
        <w:pStyle w:val="0"/>
        <w:widowControl w:val="off"/>
        <w:spacing w:line="240" w:lineRule="auto"/>
        <w:jc w:val="left"/>
      </w:pPr>
      <w:r>
        <w:rPr>
          <w:rFonts w:eastAsia="Times New Roman"/>
        </w:rPr>
        <w:t>연구 질문(RQ)에 대한 답변과 같은 표현은 일반적인 논문 결론 구성 방식과는 다소 맞지 않아 보임. 결론에서는 연구 결과 요약 및 시사점을 중심으로 서술하는 형태로 수정하는 것이 필요함.</w:t>
      </w:r>
    </w:p>
  </w:comment>
  <w:comment w:id="54" w:author="SAY" w:date="2026-03-11T11:13:23">
    <w:p>
      <w:pPr>
        <w:pStyle w:val="34"/>
        <w:widowControl w:val="off"/>
      </w:pPr>
      <w:r>
        <w:rPr/>
        <w:t>구체적인 근거(수치적)가 부족한 것 같음</w:t>
      </w:r>
    </w:p>
  </w:comment>
  <w:comment w:id="55" w:author="Yujin" w:date="2026-03-12T07:57:52">
    <w:p>
      <w:pPr>
        <w:pStyle w:val="0"/>
        <w:widowControl w:val="off"/>
        <w:spacing w:line="240" w:lineRule="auto"/>
        <w:jc w:val="left"/>
      </w:pPr>
      <w:r>
        <w:rPr>
          <w:rFonts w:eastAsia="Times New Roman"/>
        </w:rPr>
        <w:t>결론 및 향후 과제 파트는 일반적으로 세부적인 소분류를 두지 않고 단락 중심으로 구성하는 경우가 많음. 연구 요약, 핵심 결과 등의 내용은 소단원 형태보다는 단락 구분을 통해 제시하는 방식으로 수정할 필요가 있음.</w:t>
      </w:r>
    </w:p>
  </w:comment>
  <w:comment w:id="56" w:author="SAY" w:date="2026-03-11T11:15:07">
    <w:p>
      <w:pPr>
        <w:pStyle w:val="34"/>
        <w:widowControl w:val="off"/>
      </w:pPr>
      <w:r>
        <w:rPr/>
        <w:t>RQ4의 실제 수치? 위의 4장에 언급 필요</w:t>
      </w:r>
    </w:p>
  </w:comment>
  <w:comment w:id="57" w:author="SAY" w:date="2026-03-11T11:16:00">
    <w:p>
      <w:pPr>
        <w:pStyle w:val="34"/>
        <w:widowControl w:val="off"/>
      </w:pPr>
      <w:r>
        <w:rPr/>
        <w:t>4장에서 언급한 한계와 미해결 문제들이 여기서 자연스럽게 나오도록</w:t>
      </w:r>
    </w:p>
  </w:comment>
</w:comments>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46"/>
      <w:widowControl w:val="off"/>
    </w:pPr>
    <w:fldSimple w:instr="PAGE  \* ARABIC">
      <w:r>
        <w:rPr>
          <w:b/>
        </w:rPr>
        <w:t>132</w:t>
      </w:r>
    </w:fldSimple>
    <w:r>
      <w:rPr/>
      <w:t xml:space="preserve"> Weighted Ensemble을 활용한다중 예측 기간 Cross-Asset 분산 리스크 프리미엄 예측</w:t>
    </w:r>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46"/>
      <w:widowControl w:val="off"/>
      <w:wordWrap w:val="1"/>
      <w:jc w:val="right"/>
    </w:pPr>
    <w:r>
      <w:rPr/>
      <w:t xml:space="preserve"> Journal of KIIT. Vol. 23, No. 0, pp. 00-00, 00 00, 2025. pISSN 1598-8619, eISSN 2093-7571 </w:t>
    </w:r>
    <w:fldSimple w:instr="PAGE  \* ARABIC">
      <w:r>
        <w:rPr>
          <w:b/>
        </w:rPr>
        <w:t>132</w:t>
      </w:r>
    </w:fldSimple>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60" w:lineRule="auto"/>
      <w:ind w:left="0" w:right="0" w:firstLine="200"/>
      <w:jc w:val="both"/>
      <w:textAlignment w:val="baseline"/>
    </w:pPr>
    <w:rPr>
      <w:rFonts w:ascii="Times New Roman" w:eastAsia="휴먼명조"/>
      <w:color w:val="000000"/>
      <w:spacing w:val="-6"/>
      <w:w w:val="90"/>
      <w:sz w:val="20"/>
    </w:rPr>
  </w:style>
  <w:style w:type="character" w:styleId="1">
    <w:name w:val="Default Paragraph Font"/>
    <w:uiPriority w:val="1"/>
    <w:rPr>
      <w:rFonts w:ascii="Times New Roman" w:eastAsia="Times New Roman"/>
      <w:color w:val="000000"/>
      <w:sz w:val="20"/>
    </w:rPr>
  </w:style>
  <w:style w:type="paragraph" w:styleId="2">
    <w:name w:val="No Spacing"/>
    <w:uiPriority w:val="2"/>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240" w:lineRule="auto"/>
      <w:ind w:left="0" w:right="0" w:firstLine="0"/>
      <w:jc w:val="both"/>
      <w:textAlignment w:val="baseline"/>
    </w:pPr>
    <w:rPr>
      <w:rFonts w:ascii="Times New Roman" w:eastAsia="Times New Roman"/>
      <w:color w:val="000000"/>
      <w:sz w:val="20"/>
    </w:rPr>
  </w:style>
  <w:style w:type="paragraph" w:styleId="3">
    <w:name w:val="Title"/>
    <w:uiPriority w:val="3"/>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240" w:after="120" w:line="384" w:lineRule="auto"/>
      <w:ind w:left="0" w:right="0" w:firstLine="0"/>
      <w:jc w:val="center"/>
      <w:textAlignment w:val="baseline"/>
    </w:pPr>
    <w:rPr>
      <w:rFonts w:ascii="Times New Roman" w:eastAsia="Times New Roman"/>
      <w:b/>
      <w:color w:val="000000"/>
      <w:sz w:val="32"/>
    </w:rPr>
  </w:style>
  <w:style w:type="paragraph" w:styleId="4">
    <w:name w:val="heading 1"/>
    <w:uiPriority w:val="4"/>
    <w:pPr>
      <w:keepNext/>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0" w:right="0" w:firstLine="0"/>
      <w:jc w:val="both"/>
      <w:textAlignment w:val="baseline"/>
    </w:pPr>
    <w:rPr>
      <w:rFonts w:ascii="Times New Roman" w:eastAsia="Times New Roman"/>
      <w:color w:val="000000"/>
      <w:sz w:val="28"/>
    </w:rPr>
  </w:style>
  <w:style w:type="paragraph" w:styleId="5">
    <w:name w:val="heading 2"/>
    <w:uiPriority w:val="5"/>
    <w:pPr>
      <w:keepNext/>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0" w:right="0" w:firstLine="0"/>
      <w:jc w:val="both"/>
      <w:textAlignment w:val="baseline"/>
    </w:pPr>
    <w:rPr>
      <w:rFonts w:ascii="Times New Roman" w:eastAsia="Times New Roman"/>
      <w:color w:val="000000"/>
      <w:sz w:val="20"/>
    </w:rPr>
  </w:style>
  <w:style w:type="paragraph" w:styleId="6">
    <w:name w:val="heading 3"/>
    <w:uiPriority w:val="6"/>
    <w:pPr>
      <w:keepNext/>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1400" w:right="0" w:hanging="400"/>
      <w:jc w:val="both"/>
      <w:textAlignment w:val="baseline"/>
    </w:pPr>
    <w:rPr>
      <w:rFonts w:ascii="Times New Roman" w:eastAsia="Times New Roman"/>
      <w:color w:val="000000"/>
      <w:sz w:val="20"/>
    </w:rPr>
  </w:style>
  <w:style w:type="paragraph" w:styleId="7">
    <w:name w:val="heading 4"/>
    <w:uiPriority w:val="7"/>
    <w:pPr>
      <w:keepNext/>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1600" w:right="0" w:hanging="400"/>
      <w:jc w:val="both"/>
      <w:textAlignment w:val="baseline"/>
    </w:pPr>
    <w:rPr>
      <w:rFonts w:ascii="Times New Roman" w:eastAsia="Times New Roman"/>
      <w:b/>
      <w:color w:val="000000"/>
      <w:sz w:val="20"/>
    </w:rPr>
  </w:style>
  <w:style w:type="paragraph" w:styleId="8">
    <w:name w:val="heading 5"/>
    <w:uiPriority w:val="8"/>
    <w:pPr>
      <w:keepNext/>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1800" w:right="0" w:hanging="400"/>
      <w:jc w:val="both"/>
      <w:textAlignment w:val="baseline"/>
    </w:pPr>
    <w:rPr>
      <w:rFonts w:ascii="Times New Roman" w:eastAsia="Times New Roman"/>
      <w:color w:val="000000"/>
      <w:sz w:val="20"/>
    </w:rPr>
  </w:style>
  <w:style w:type="paragraph" w:styleId="9">
    <w:name w:val="heading 6"/>
    <w:uiPriority w:val="9"/>
    <w:pPr>
      <w:keepNext/>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2000" w:right="0" w:hanging="400"/>
      <w:jc w:val="both"/>
      <w:textAlignment w:val="baseline"/>
    </w:pPr>
    <w:rPr>
      <w:rFonts w:ascii="Times New Roman" w:eastAsia="Times New Roman"/>
      <w:b/>
      <w:color w:val="000000"/>
      <w:sz w:val="20"/>
    </w:rPr>
  </w:style>
  <w:style w:type="paragraph" w:styleId="10">
    <w:name w:val="heading 7"/>
    <w:uiPriority w:val="10"/>
    <w:pPr>
      <w:keepNext/>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2200" w:right="0" w:hanging="400"/>
      <w:jc w:val="both"/>
      <w:textAlignment w:val="baseline"/>
    </w:pPr>
    <w:rPr>
      <w:rFonts w:ascii="Times New Roman" w:eastAsia="Times New Roman"/>
      <w:color w:val="000000"/>
      <w:sz w:val="20"/>
    </w:rPr>
  </w:style>
  <w:style w:type="paragraph" w:styleId="11">
    <w:name w:val="heading 8"/>
    <w:uiPriority w:val="11"/>
    <w:pPr>
      <w:keepNext/>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2400" w:right="0" w:hanging="400"/>
      <w:jc w:val="both"/>
      <w:textAlignment w:val="baseline"/>
    </w:pPr>
    <w:rPr>
      <w:rFonts w:ascii="Times New Roman" w:eastAsia="Times New Roman"/>
      <w:color w:val="000000"/>
      <w:sz w:val="20"/>
    </w:rPr>
  </w:style>
  <w:style w:type="paragraph" w:styleId="12">
    <w:name w:val="heading 9"/>
    <w:uiPriority w:val="12"/>
    <w:pPr>
      <w:keepNext/>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2600" w:right="0" w:hanging="400"/>
      <w:jc w:val="both"/>
      <w:textAlignment w:val="baseline"/>
    </w:pPr>
    <w:rPr>
      <w:rFonts w:ascii="Times New Roman" w:eastAsia="Times New Roman"/>
      <w:color w:val="000000"/>
      <w:sz w:val="20"/>
    </w:rPr>
  </w:style>
  <w:style w:type="paragraph" w:styleId="13">
    <w:name w:val="Subtitle"/>
    <w:uiPriority w:val="13"/>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60" w:line="384" w:lineRule="auto"/>
      <w:ind w:left="0" w:right="0" w:firstLine="0"/>
      <w:jc w:val="center"/>
      <w:textAlignment w:val="baseline"/>
    </w:pPr>
    <w:rPr>
      <w:rFonts w:ascii="Times New Roman" w:eastAsia="Times New Roman"/>
      <w:color w:val="000000"/>
      <w:sz w:val="24"/>
    </w:rPr>
  </w:style>
  <w:style w:type="character" w:styleId="14">
    <w:name w:val="Subtle Emphasis"/>
    <w:uiPriority w:val="14"/>
    <w:rPr>
      <w:rFonts w:ascii="Times New Roman" w:eastAsia="Times New Roman"/>
      <w:i/>
      <w:color w:val="404040"/>
      <w:sz w:val="20"/>
    </w:rPr>
  </w:style>
  <w:style w:type="character" w:styleId="15">
    <w:name w:val="Emphasis"/>
    <w:uiPriority w:val="15"/>
    <w:rPr>
      <w:rFonts w:ascii="Times New Roman" w:eastAsia="Times New Roman"/>
      <w:i/>
      <w:color w:val="000000"/>
      <w:sz w:val="20"/>
    </w:rPr>
  </w:style>
  <w:style w:type="character" w:styleId="16">
    <w:name w:val="Intense Emphasis"/>
    <w:uiPriority w:val="16"/>
    <w:rPr>
      <w:rFonts w:ascii="Times New Roman" w:eastAsia="Times New Roman"/>
      <w:i/>
      <w:color w:val="5b9bd5"/>
      <w:sz w:val="20"/>
    </w:rPr>
  </w:style>
  <w:style w:type="character" w:styleId="17">
    <w:name w:val="Strong"/>
    <w:uiPriority w:val="17"/>
    <w:rPr>
      <w:rFonts w:ascii="Times New Roman" w:eastAsia="Times New Roman"/>
      <w:b/>
      <w:color w:val="000000"/>
      <w:sz w:val="20"/>
    </w:rPr>
  </w:style>
  <w:style w:type="paragraph" w:styleId="18">
    <w:name w:val="Quote"/>
    <w:uiPriority w:val="18"/>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200" w:after="0" w:line="384" w:lineRule="auto"/>
      <w:ind w:left="864" w:right="864" w:firstLine="0"/>
      <w:jc w:val="center"/>
      <w:textAlignment w:val="baseline"/>
    </w:pPr>
    <w:rPr>
      <w:rFonts w:ascii="Times New Roman" w:eastAsia="Times New Roman"/>
      <w:i/>
      <w:color w:val="404040"/>
      <w:sz w:val="20"/>
    </w:rPr>
  </w:style>
  <w:style w:type="paragraph" w:styleId="19">
    <w:name w:val="Intense Quote"/>
    <w:uiPriority w:val="19"/>
    <w:pPr>
      <w:widowControl w:val="off"/>
      <w:pBdr>
        <w:top w:val="single" w:color="5b9bd5" w:sz="2" w:space="10"/>
        <w:left w:val="none" w:color="ffffff" w:sz="2" w:space="0"/>
        <w:bottom w:val="single" w:color="5b9bd5" w:sz="2" w:space="10"/>
        <w:right w:val="none" w:color="ffffff" w:sz="2" w:space="0"/>
      </w:pBdr>
      <w:wordWrap w:val="0"/>
      <w:autoSpaceDE w:val="off"/>
      <w:autoSpaceDN w:val="off"/>
      <w:snapToGrid/>
      <w:spacing w:before="360" w:after="360" w:line="384" w:lineRule="auto"/>
      <w:ind w:left="864" w:right="864" w:firstLine="0"/>
      <w:jc w:val="center"/>
      <w:textAlignment w:val="baseline"/>
    </w:pPr>
    <w:rPr>
      <w:rFonts w:ascii="Times New Roman" w:eastAsia="Times New Roman"/>
      <w:i/>
      <w:color w:val="5b9bd5"/>
      <w:sz w:val="20"/>
    </w:rPr>
  </w:style>
  <w:style w:type="character" w:styleId="20">
    <w:name w:val="Subtle Reference"/>
    <w:uiPriority w:val="20"/>
    <w:rPr>
      <w:rFonts w:ascii="Times New Roman" w:eastAsia="Times New Roman"/>
      <w:color w:val="5a5a5a"/>
      <w:sz w:val="20"/>
    </w:rPr>
  </w:style>
  <w:style w:type="character" w:styleId="21">
    <w:name w:val="Intense Reference"/>
    <w:uiPriority w:val="21"/>
    <w:rPr>
      <w:rFonts w:ascii="Times New Roman" w:eastAsia="Times New Roman"/>
      <w:b/>
      <w:color w:val="5b9bd5"/>
      <w:sz w:val="20"/>
    </w:rPr>
  </w:style>
  <w:style w:type="character" w:styleId="22">
    <w:name w:val="Book Title"/>
    <w:uiPriority w:val="22"/>
    <w:rPr>
      <w:rFonts w:ascii="Times New Roman" w:eastAsia="Times New Roman"/>
      <w:b/>
      <w:i/>
      <w:color w:val="000000"/>
      <w:sz w:val="20"/>
    </w:rPr>
  </w:style>
  <w:style w:type="paragraph" w:styleId="23">
    <w:name w:val="List Paragraph"/>
    <w:uiPriority w:val="23"/>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850" w:right="0" w:firstLine="0"/>
      <w:jc w:val="both"/>
      <w:textAlignment w:val="baseline"/>
    </w:pPr>
    <w:rPr>
      <w:rFonts w:ascii="Times New Roman" w:eastAsia="Times New Roman"/>
      <w:color w:val="000000"/>
      <w:sz w:val="20"/>
    </w:rPr>
  </w:style>
  <w:style w:type="paragraph" w:styleId="24">
    <w:name w:val="TOC Heading"/>
    <w:uiPriority w:val="24"/>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0" w:right="0" w:firstLine="0"/>
      <w:jc w:val="both"/>
      <w:textAlignment w:val="baseline"/>
    </w:pPr>
    <w:rPr>
      <w:rFonts w:ascii="Times New Roman" w:eastAsia="Times New Roman"/>
      <w:color w:val="000000"/>
      <w:sz w:val="28"/>
    </w:rPr>
  </w:style>
  <w:style w:type="paragraph" w:styleId="25">
    <w:name w:val="toc 1"/>
    <w:uiPriority w:val="25"/>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0" w:right="0" w:firstLine="0"/>
      <w:jc w:val="both"/>
      <w:textAlignment w:val="baseline"/>
    </w:pPr>
    <w:rPr>
      <w:rFonts w:ascii="Times New Roman" w:eastAsia="Times New Roman"/>
      <w:color w:val="000000"/>
      <w:sz w:val="20"/>
    </w:rPr>
  </w:style>
  <w:style w:type="paragraph" w:styleId="26">
    <w:name w:val="toc 2"/>
    <w:uiPriority w:val="26"/>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425" w:right="0" w:firstLine="0"/>
      <w:jc w:val="both"/>
      <w:textAlignment w:val="baseline"/>
    </w:pPr>
    <w:rPr>
      <w:rFonts w:ascii="Times New Roman" w:eastAsia="Times New Roman"/>
      <w:color w:val="000000"/>
      <w:sz w:val="20"/>
    </w:rPr>
  </w:style>
  <w:style w:type="paragraph" w:styleId="27">
    <w:name w:val="toc 3"/>
    <w:uiPriority w:val="27"/>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850" w:right="0" w:firstLine="0"/>
      <w:jc w:val="both"/>
      <w:textAlignment w:val="baseline"/>
    </w:pPr>
    <w:rPr>
      <w:rFonts w:ascii="Times New Roman" w:eastAsia="Times New Roman"/>
      <w:color w:val="000000"/>
      <w:sz w:val="20"/>
    </w:rPr>
  </w:style>
  <w:style w:type="paragraph" w:styleId="28">
    <w:name w:val="toc 4"/>
    <w:uiPriority w:val="28"/>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1275" w:right="0" w:firstLine="0"/>
      <w:jc w:val="both"/>
      <w:textAlignment w:val="baseline"/>
    </w:pPr>
    <w:rPr>
      <w:rFonts w:ascii="Times New Roman" w:eastAsia="Times New Roman"/>
      <w:color w:val="000000"/>
      <w:sz w:val="20"/>
    </w:rPr>
  </w:style>
  <w:style w:type="paragraph" w:styleId="29">
    <w:name w:val="toc 5"/>
    <w:uiPriority w:val="29"/>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1700" w:right="0" w:firstLine="0"/>
      <w:jc w:val="both"/>
      <w:textAlignment w:val="baseline"/>
    </w:pPr>
    <w:rPr>
      <w:rFonts w:ascii="Times New Roman" w:eastAsia="Times New Roman"/>
      <w:color w:val="000000"/>
      <w:sz w:val="20"/>
    </w:rPr>
  </w:style>
  <w:style w:type="paragraph" w:styleId="30">
    <w:name w:val="toc 6"/>
    <w:uiPriority w:val="30"/>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2125" w:right="0" w:firstLine="0"/>
      <w:jc w:val="both"/>
      <w:textAlignment w:val="baseline"/>
    </w:pPr>
    <w:rPr>
      <w:rFonts w:ascii="Times New Roman" w:eastAsia="Times New Roman"/>
      <w:color w:val="000000"/>
      <w:sz w:val="20"/>
    </w:rPr>
  </w:style>
  <w:style w:type="paragraph" w:styleId="31">
    <w:name w:val="toc 7"/>
    <w:uiPriority w:val="31"/>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2550" w:right="0" w:firstLine="0"/>
      <w:jc w:val="both"/>
      <w:textAlignment w:val="baseline"/>
    </w:pPr>
    <w:rPr>
      <w:rFonts w:ascii="Times New Roman" w:eastAsia="Times New Roman"/>
      <w:color w:val="000000"/>
      <w:sz w:val="20"/>
    </w:rPr>
  </w:style>
  <w:style w:type="paragraph" w:styleId="32">
    <w:name w:val="toc 8"/>
    <w:uiPriority w:val="32"/>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2975" w:right="0" w:firstLine="0"/>
      <w:jc w:val="both"/>
      <w:textAlignment w:val="baseline"/>
    </w:pPr>
    <w:rPr>
      <w:rFonts w:ascii="Times New Roman" w:eastAsia="Times New Roman"/>
      <w:color w:val="000000"/>
      <w:sz w:val="20"/>
    </w:rPr>
  </w:style>
  <w:style w:type="paragraph" w:styleId="33">
    <w:name w:val="toc 9"/>
    <w:uiPriority w:val="33"/>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3400" w:right="0" w:firstLine="0"/>
      <w:jc w:val="both"/>
      <w:textAlignment w:val="baseline"/>
    </w:pPr>
    <w:rPr>
      <w:rFonts w:ascii="Times New Roman" w:eastAsia="Times New Roman"/>
      <w:color w:val="000000"/>
      <w:sz w:val="20"/>
    </w:rPr>
  </w:style>
  <w:style w:type="paragraph" w:styleId="34">
    <w:name w:val="Memo"/>
    <w:uiPriority w:val="34"/>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240" w:lineRule="auto"/>
      <w:ind w:left="0" w:right="0" w:firstLine="0"/>
      <w:jc w:val="left"/>
      <w:textAlignment w:val="baseline"/>
    </w:pPr>
    <w:rPr>
      <w:rFonts w:ascii="Times New Roman" w:eastAsia="Times New Roman"/>
      <w:color w:val="000000"/>
      <w:sz w:val="20"/>
    </w:rPr>
  </w:style>
  <w:style w:type="paragraph" w:styleId="35">
    <w:name w:val="머리말"/>
    <w:uiPriority w:val="35"/>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both"/>
      <w:textAlignment w:val="baseline"/>
    </w:pPr>
    <w:rPr>
      <w:rFonts w:ascii="휴먼명조" w:eastAsia="휴먼명조"/>
      <w:color w:val="000000"/>
      <w:spacing w:val="-5"/>
      <w:w w:val="90"/>
      <w:sz w:val="18"/>
    </w:rPr>
  </w:style>
  <w:style w:type="paragraph" w:styleId="36">
    <w:name w:val="각주"/>
    <w:uiPriority w:val="3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0" w:right="0" w:firstLine="200"/>
      <w:jc w:val="both"/>
      <w:textAlignment w:val="baseline"/>
    </w:pPr>
    <w:rPr>
      <w:rFonts w:ascii="HCI Poppy" w:eastAsia="휴먼명조"/>
      <w:color w:val="000000"/>
      <w:spacing w:val="-6"/>
      <w:sz w:val="16"/>
    </w:rPr>
  </w:style>
  <w:style w:type="paragraph" w:styleId="37">
    <w:name w:val="저자명"/>
    <w:uiPriority w:val="3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00" w:after="200" w:line="312" w:lineRule="auto"/>
      <w:ind w:left="0" w:right="0" w:firstLine="0"/>
      <w:jc w:val="center"/>
      <w:textAlignment w:val="baseline"/>
    </w:pPr>
    <w:rPr>
      <w:rFonts w:ascii="돋움" w:eastAsia="돋움"/>
      <w:color w:val="000000"/>
      <w:spacing w:val="5"/>
      <w:w w:val="90"/>
      <w:sz w:val="22"/>
    </w:rPr>
  </w:style>
  <w:style w:type="paragraph" w:styleId="38">
    <w:name w:val="영문저자명"/>
    <w:uiPriority w:val="3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00" w:after="200" w:line="312" w:lineRule="auto"/>
      <w:ind w:left="0" w:right="0" w:firstLine="0"/>
      <w:jc w:val="center"/>
      <w:textAlignment w:val="baseline"/>
    </w:pPr>
    <w:rPr>
      <w:rFonts w:ascii="HCI Poppy" w:eastAsia="휴먼명조"/>
      <w:color w:val="000000"/>
      <w:spacing w:val="5"/>
      <w:w w:val="90"/>
      <w:sz w:val="20"/>
    </w:rPr>
  </w:style>
  <w:style w:type="paragraph" w:styleId="39">
    <w:name w:val="요약문제목"/>
    <w:uiPriority w:val="3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center"/>
      <w:textAlignment w:val="baseline"/>
    </w:pPr>
    <w:rPr>
      <w:rFonts w:ascii="돋움" w:eastAsia="돋움"/>
      <w:color w:val="000000"/>
      <w:spacing w:val="-6"/>
      <w:w w:val="90"/>
      <w:sz w:val="22"/>
    </w:rPr>
  </w:style>
  <w:style w:type="paragraph" w:styleId="40">
    <w:name w:val="영문요약문제목"/>
    <w:uiPriority w:val="4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center"/>
      <w:textAlignment w:val="baseline"/>
    </w:pPr>
    <w:rPr>
      <w:rFonts w:ascii="돋움" w:eastAsia="돋움"/>
      <w:color w:val="000000"/>
      <w:spacing w:val="-6"/>
      <w:w w:val="90"/>
      <w:sz w:val="22"/>
    </w:rPr>
  </w:style>
  <w:style w:type="paragraph" w:styleId="41">
    <w:name w:val="영문요약문"/>
    <w:uiPriority w:val="4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60" w:lineRule="auto"/>
      <w:ind w:left="200" w:right="200" w:firstLine="200"/>
      <w:jc w:val="both"/>
      <w:textAlignment w:val="baseline"/>
    </w:pPr>
    <w:rPr>
      <w:rFonts w:ascii="Times New Roman" w:eastAsia="한양신명조"/>
      <w:color w:val="000000"/>
      <w:spacing w:val="-5"/>
      <w:w w:val="90"/>
      <w:sz w:val="18"/>
    </w:rPr>
  </w:style>
  <w:style w:type="paragraph" w:styleId="42">
    <w:name w:val="요약본문"/>
    <w:uiPriority w:val="4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60" w:lineRule="auto"/>
      <w:ind w:left="200" w:right="200" w:firstLine="200"/>
      <w:jc w:val="both"/>
      <w:textAlignment w:val="baseline"/>
    </w:pPr>
    <w:rPr>
      <w:rFonts w:ascii="HCI Poppy" w:eastAsia="휴먼명조"/>
      <w:color w:val="000000"/>
      <w:spacing w:val="-5"/>
      <w:w w:val="90"/>
      <w:sz w:val="18"/>
    </w:rPr>
  </w:style>
  <w:style w:type="paragraph" w:styleId="43">
    <w:name w:val="한글제목"/>
    <w:uiPriority w:val="4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00" w:after="200" w:line="312" w:lineRule="auto"/>
      <w:ind w:left="0" w:right="0" w:firstLine="0"/>
      <w:jc w:val="center"/>
      <w:textAlignment w:val="baseline"/>
    </w:pPr>
    <w:rPr>
      <w:rFonts w:ascii="HCI Poppy" w:eastAsia="휴먼명조"/>
      <w:color w:val="000000"/>
      <w:spacing w:val="-12"/>
      <w:w w:val="90"/>
      <w:sz w:val="34"/>
    </w:rPr>
  </w:style>
  <w:style w:type="paragraph" w:styleId="44">
    <w:name w:val="영문제목"/>
    <w:uiPriority w:val="4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00" w:after="200" w:line="312" w:lineRule="auto"/>
      <w:ind w:left="0" w:right="0" w:firstLine="0"/>
      <w:jc w:val="center"/>
      <w:textAlignment w:val="baseline"/>
    </w:pPr>
    <w:rPr>
      <w:rFonts w:ascii="한양견명조" w:eastAsia="한양견명조"/>
      <w:color w:val="000000"/>
      <w:spacing w:val="-10"/>
      <w:w w:val="90"/>
      <w:sz w:val="30"/>
    </w:rPr>
  </w:style>
  <w:style w:type="paragraph" w:styleId="45">
    <w:name w:val="그림캡션"/>
    <w:uiPriority w:val="45"/>
    <w:pPr>
      <w:widowControl w:val="off"/>
      <w:pBdr>
        <w:top w:val="none" w:color="000000" w:sz="2" w:space="0"/>
        <w:left w:val="none" w:color="000000" w:sz="2" w:space="0"/>
        <w:bottom w:val="none" w:color="000000" w:sz="2" w:space="0"/>
        <w:right w:val="none" w:color="000000" w:sz="2" w:space="0"/>
      </w:pBdr>
      <w:tabs>
        <w:tab w:val="left" w:leader="none" w:pos="384"/>
        <w:tab w:val="left" w:leader="none" w:pos="636"/>
        <w:tab w:val="left" w:leader="none" w:pos="732"/>
        <w:tab w:val="left" w:leader="none" w:pos="876"/>
        <w:tab w:val="left" w:leader="none" w:pos="4632"/>
      </w:tabs>
      <w:wordWrap w:val="1"/>
      <w:autoSpaceDE w:val="off"/>
      <w:autoSpaceDN w:val="off"/>
      <w:snapToGrid/>
      <w:spacing w:before="0" w:after="0" w:line="312" w:lineRule="auto"/>
      <w:ind w:left="0" w:right="0" w:firstLine="0"/>
      <w:jc w:val="center"/>
      <w:textAlignment w:val="baseline"/>
    </w:pPr>
    <w:rPr>
      <w:rFonts w:ascii="한양중고딕" w:eastAsia="한양중고딕"/>
      <w:color w:val="000000"/>
      <w:spacing w:val="-5"/>
      <w:w w:val="90"/>
      <w:sz w:val="18"/>
    </w:rPr>
  </w:style>
  <w:style w:type="paragraph" w:styleId="46">
    <w:name w:val="머리말(홀)"/>
    <w:uiPriority w:val="4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0" w:right="0" w:firstLine="0"/>
      <w:jc w:val="both"/>
      <w:textAlignment w:val="baseline"/>
    </w:pPr>
    <w:rPr>
      <w:rFonts w:ascii="#신명조" w:eastAsia="#신명조"/>
      <w:color w:val="000000"/>
      <w:spacing w:val="-5"/>
      <w:w w:val="90"/>
      <w:sz w:val="18"/>
    </w:rPr>
  </w:style>
  <w:style w:type="paragraph" w:styleId="47">
    <w:name w:val="각 장 제목"/>
    <w:uiPriority w:val="4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center"/>
      <w:textAlignment w:val="baseline"/>
    </w:pPr>
    <w:rPr>
      <w:rFonts w:ascii="HCI Hollyhock" w:eastAsia="휴먼고딕"/>
      <w:color w:val="000000"/>
      <w:spacing w:val="-7"/>
      <w:w w:val="90"/>
      <w:sz w:val="22"/>
    </w:rPr>
  </w:style>
  <w:style w:type="paragraph" w:styleId="48">
    <w:name w:val="저자소개"/>
    <w:uiPriority w:val="48"/>
    <w:pPr>
      <w:widowControl w:val="off"/>
      <w:pBdr>
        <w:top w:val="none" w:color="000000" w:sz="2" w:space="0"/>
        <w:left w:val="none" w:color="000000" w:sz="2" w:space="0"/>
        <w:bottom w:val="none" w:color="000000" w:sz="2" w:space="0"/>
        <w:right w:val="none" w:color="000000" w:sz="2" w:space="0"/>
      </w:pBd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off"/>
      <w:autoSpaceDN w:val="off"/>
      <w:snapToGrid/>
      <w:spacing w:before="0" w:after="0" w:line="360" w:lineRule="auto"/>
      <w:ind w:left="200" w:right="0" w:hanging="200"/>
      <w:jc w:val="left"/>
      <w:textAlignment w:val="baseline"/>
    </w:pPr>
    <w:rPr>
      <w:rFonts w:ascii="HCI Poppy" w:eastAsia="휴먼명조"/>
      <w:color w:val="000000"/>
      <w:spacing w:val="-5"/>
      <w:w w:val="90"/>
      <w:sz w:val="18"/>
    </w:rPr>
  </w:style>
  <w:style w:type="paragraph" w:styleId="49">
    <w:name w:val="한글이름"/>
    <w:uiPriority w:val="4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left"/>
      <w:textAlignment w:val="baseline"/>
    </w:pPr>
    <w:rPr>
      <w:rFonts w:ascii="돋움" w:eastAsia="돋움"/>
      <w:color w:val="000000"/>
      <w:spacing w:val="-6"/>
      <w:w w:val="90"/>
      <w:sz w:val="20"/>
    </w:rPr>
  </w:style>
  <w:style w:type="paragraph" w:styleId="50">
    <w:name w:val="key words"/>
    <w:uiPriority w:val="5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200" w:right="200" w:firstLine="0"/>
      <w:jc w:val="center"/>
      <w:textAlignment w:val="baseline"/>
    </w:pPr>
    <w:rPr>
      <w:rFonts w:ascii="Times New Roman" w:eastAsia="휴먼명조"/>
      <w:color w:val="000000"/>
      <w:spacing w:val="-5"/>
      <w:w w:val="90"/>
      <w:sz w:val="18"/>
    </w:rPr>
  </w:style>
  <w:style w:type="paragraph" w:styleId="51">
    <w:name w:val="소제목"/>
    <w:uiPriority w:val="51"/>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left"/>
      <w:textAlignment w:val="baseline"/>
    </w:pPr>
    <w:rPr>
      <w:rFonts w:ascii="한양중고딕" w:eastAsia="한양중고딕"/>
      <w:color w:val="000000"/>
      <w:spacing w:val="-7"/>
      <w:w w:val="90"/>
      <w:sz w:val="22"/>
    </w:rPr>
  </w:style>
  <w:style w:type="paragraph" w:styleId="52">
    <w:name w:val="표캡션"/>
    <w:uiPriority w:val="5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한양중고딕" w:eastAsia="한양중고딕"/>
      <w:color w:val="000000"/>
      <w:spacing w:val="-5"/>
      <w:w w:val="90"/>
      <w:sz w:val="18"/>
    </w:rPr>
  </w:style>
  <w:style w:type="paragraph" w:styleId="53">
    <w:name w:val="참고문헌"/>
    <w:uiPriority w:val="5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60" w:lineRule="auto"/>
      <w:ind w:left="300" w:right="0" w:hanging="300"/>
      <w:jc w:val="both"/>
      <w:textAlignment w:val="baseline"/>
    </w:pPr>
    <w:rPr>
      <w:rFonts w:ascii="Times New Roman" w:eastAsia="휴먼명조"/>
      <w:color w:val="000000"/>
      <w:spacing w:val="-6"/>
      <w:w w:val="90"/>
      <w:sz w:val="20"/>
    </w:rPr>
  </w:style>
  <w:style w:type="paragraph" w:styleId="54">
    <w:name w:val="\(본문\/요약문\) 본문 - 들여쓰기있음"/>
    <w:uiPriority w:val="5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100"/>
      <w:jc w:val="both"/>
      <w:textAlignment w:val="baseline"/>
    </w:pPr>
    <w:rPr>
      <w:rFonts w:ascii="HY신명조" w:eastAsia="HY신명조"/>
      <w:color w:val="000000"/>
      <w:sz w:val="24"/>
    </w:rPr>
  </w:style>
  <w:style w:type="paragraph" w:styleId="55">
    <w:name w:val="영문요약"/>
    <w:uiPriority w:val="5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60" w:lineRule="auto"/>
      <w:ind w:left="200" w:right="200" w:firstLine="200"/>
      <w:jc w:val="both"/>
      <w:textAlignment w:val="baseline"/>
    </w:pPr>
    <w:rPr>
      <w:rFonts w:ascii="굴림" w:eastAsia="굴림"/>
      <w:color w:val="000000"/>
      <w:spacing w:val="-5"/>
      <w:sz w:val="18"/>
    </w:rPr>
  </w:style>
  <w:style w:type="paragraph" w:styleId="56">
    <w:name w:val="MS바탕글"/>
    <w:uiPriority w:val="5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30" w:after="30" w:line="384" w:lineRule="auto"/>
      <w:ind w:left="0" w:right="0" w:firstLine="0"/>
      <w:jc w:val="both"/>
      <w:textAlignment w:val="baseline"/>
    </w:pPr>
    <w:rPr>
      <w:rFonts w:ascii="Times New Roman" w:eastAsia="바탕"/>
      <w:color w:val="000000"/>
      <w:sz w:val="22"/>
    </w:rPr>
  </w:style>
  <w:style w:type="paragraph" w:styleId="57">
    <w:name w:val="참고문헌 본문"/>
    <w:uiPriority w:val="5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400" w:right="0" w:hanging="300"/>
      <w:jc w:val="left"/>
      <w:textAlignment w:val="baseline"/>
    </w:pPr>
    <w:rPr>
      <w:rFonts w:ascii="한양신명조" w:eastAsia="한양신명조"/>
      <w:color w:val="000000"/>
      <w:sz w:val="18"/>
    </w:rPr>
  </w:style>
  <w:style w:type="paragraph" w:styleId="58">
    <w:name w:val="저자소개-약력0"/>
    <w:uiPriority w:val="58"/>
    <w:pPr>
      <w:widowControl w:val="off"/>
      <w:pBdr>
        <w:top w:val="none" w:color="000000" w:sz="2" w:space="0"/>
        <w:left w:val="none" w:color="000000" w:sz="2" w:space="0"/>
        <w:bottom w:val="none" w:color="000000" w:sz="2" w:space="0"/>
        <w:right w:val="none" w:color="000000" w:sz="2" w:space="0"/>
      </w:pBdr>
      <w:tabs>
        <w:tab w:val="left" w:leader="none" w:pos="1160"/>
      </w:tabs>
      <w:wordWrap w:val="0"/>
      <w:autoSpaceDE w:val="off"/>
      <w:autoSpaceDN w:val="off"/>
      <w:snapToGrid/>
      <w:spacing w:before="0" w:after="0" w:line="312" w:lineRule="auto"/>
      <w:ind w:left="0" w:right="0" w:firstLine="0"/>
      <w:jc w:val="both"/>
      <w:textAlignment w:val="baseline"/>
    </w:pPr>
    <w:rPr>
      <w:rFonts w:ascii="한양신명조" w:eastAsia="한양신명조"/>
      <w:color w:val="000000"/>
      <w:sz w:val="20"/>
    </w:rPr>
  </w:style>
  <w:style w:type="character" w:styleId="59">
    <w:name w:val="저자소개-이름0"/>
    <w:uiPriority w:val="59"/>
    <w:rPr>
      <w:rFonts w:ascii="한양중고딕" w:eastAsia="한양중고딕"/>
      <w:color w:val="000000"/>
      <w:sz w:val="22"/>
    </w:rPr>
  </w:style>
  <w:style w:type="paragraph" w:styleId="60">
    <w:name w:val="가."/>
    <w:uiPriority w:val="6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70" w:line="432" w:lineRule="auto"/>
      <w:ind w:left="0" w:right="0" w:firstLine="0"/>
      <w:jc w:val="both"/>
      <w:textAlignment w:val="baseline"/>
    </w:pPr>
    <w:rPr>
      <w:rFonts w:ascii="신명 신문명조" w:eastAsia="신명 신문명조"/>
      <w:b/>
      <w:color w:val="000000"/>
      <w:sz w:val="24"/>
    </w:rPr>
  </w:style>
  <w:style w:type="paragraph" w:styleId="61">
    <w:name w:val="[금]본문"/>
    <w:uiPriority w:val="61"/>
    <w:pPr>
      <w:widowControl w:val="off"/>
      <w:pBdr>
        <w:top w:val="none" w:color="000000" w:sz="2" w:space="0"/>
        <w:left w:val="none" w:color="000000" w:sz="2" w:space="0"/>
        <w:bottom w:val="none" w:color="000000" w:sz="2" w:space="0"/>
        <w:right w:val="none" w:color="000000" w:sz="2" w:space="0"/>
      </w:pBdr>
      <w:tabs>
        <w:tab w:val="right" w:leader="middleDot" w:pos="7368"/>
      </w:tabs>
      <w:wordWrap w:val="0"/>
      <w:autoSpaceDE w:val="off"/>
      <w:autoSpaceDN w:val="off"/>
      <w:snapToGrid/>
      <w:spacing w:before="0" w:after="0" w:line="432" w:lineRule="auto"/>
      <w:ind w:left="0" w:right="0" w:firstLine="300"/>
      <w:jc w:val="both"/>
      <w:textAlignment w:val="baseline"/>
    </w:pPr>
    <w:rPr>
      <w:rFonts w:ascii="한양신명조" w:eastAsia="한양신명조"/>
      <w:color w:val="000000"/>
      <w:sz w:val="22"/>
    </w:rPr>
  </w:style>
  <w:style w:type="paragraph" w:styleId="62">
    <w:name w:val="본문"/>
    <w:uiPriority w:val="6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200"/>
      <w:jc w:val="both"/>
      <w:textAlignment w:val="baseline"/>
    </w:pPr>
    <w:rPr>
      <w:rFonts w:ascii="한양신명조" w:eastAsia="한양신명조"/>
      <w:color w:val="000000"/>
      <w:spacing w:val="-4"/>
      <w:w w:val="95"/>
      <w:sz w:val="18"/>
    </w:rPr>
  </w:style>
  <w:style w:type="character" w:styleId="63">
    <w:name w:val="Keywords내용"/>
    <w:uiPriority w:val="63"/>
    <w:rPr>
      <w:rFonts w:ascii="한양신명조" w:eastAsia="한양신명조"/>
      <w:color w:val="000000"/>
      <w:w w:val="95"/>
      <w:sz w:val="18"/>
    </w:rPr>
  </w:style>
  <w:style w:type="paragraph" w:styleId="64">
    <w:name w:val="수식줄"/>
    <w:uiPriority w:val="64"/>
    <w:pPr>
      <w:widowControl w:val="off"/>
      <w:pBdr>
        <w:top w:val="none" w:color="000000" w:sz="2" w:space="0"/>
        <w:left w:val="none" w:color="000000" w:sz="2" w:space="0"/>
        <w:bottom w:val="none" w:color="000000" w:sz="2" w:space="0"/>
        <w:right w:val="none" w:color="000000" w:sz="2" w:space="0"/>
      </w:pBdr>
      <w:tabs>
        <w:tab w:val="right" w:leader="none" w:pos="3948"/>
      </w:tabs>
      <w:wordWrap w:val="0"/>
      <w:autoSpaceDE w:val="off"/>
      <w:autoSpaceDN w:val="off"/>
      <w:snapToGrid/>
      <w:spacing w:before="0" w:after="0" w:line="367" w:lineRule="auto"/>
      <w:ind w:left="0" w:right="0" w:firstLine="200"/>
      <w:jc w:val="both"/>
      <w:textAlignment w:val="baseline"/>
    </w:pPr>
    <w:rPr>
      <w:rFonts w:ascii="#신명조" w:eastAsia="#신명조"/>
      <w:color w:val="000000"/>
      <w:spacing w:val="-6"/>
      <w:w w:val="90"/>
      <w:sz w:val="20"/>
    </w:rPr>
  </w:style>
  <w:style w:type="paragraph" w:styleId="65">
    <w:name w:val="표 캡션"/>
    <w:uiPriority w:val="6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60" w:lineRule="auto"/>
      <w:ind w:left="0" w:right="0" w:firstLine="0"/>
      <w:jc w:val="both"/>
      <w:textAlignment w:val="baseline"/>
    </w:pPr>
    <w:rPr>
      <w:rFonts w:ascii="한양중고딕" w:eastAsia="한양중고딕"/>
      <w:color w:val="000000"/>
      <w:spacing w:val="-5"/>
      <w:w w:val="90"/>
      <w:sz w:val="18"/>
    </w:rPr>
  </w:style>
  <w:style w:type="paragraph" w:styleId="66">
    <w:name w:val="1.1"/>
    <w:uiPriority w:val="6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양중고딕" w:eastAsia="한양중고딕"/>
      <w:b/>
      <w:color w:val="000000"/>
      <w:spacing w:val="-5"/>
      <w:sz w:val="18"/>
    </w:rPr>
  </w:style>
  <w:style w:type="paragraph" w:styleId="67">
    <w:name w:val=".본문"/>
    <w:uiPriority w:val="6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96" w:lineRule="auto"/>
      <w:ind w:left="0" w:right="0" w:firstLine="150"/>
      <w:jc w:val="both"/>
      <w:textAlignment w:val="baseline"/>
    </w:pPr>
    <w:rPr>
      <w:rFonts w:ascii="한양신명조" w:eastAsia="한양신명조"/>
      <w:color w:val="000000"/>
      <w:spacing w:val="-7"/>
      <w:w w:val="96"/>
      <w:sz w:val="18"/>
    </w:rPr>
  </w:style>
  <w:style w:type="paragraph" w:styleId="68">
    <w:name w:val="1.1.1"/>
    <w:uiPriority w:val="6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170" w:after="84" w:line="283" w:lineRule="exact"/>
      <w:ind w:left="0" w:right="0" w:firstLine="0"/>
      <w:jc w:val="both"/>
      <w:textAlignment w:val="baseline"/>
    </w:pPr>
    <w:rPr>
      <w:rFonts w:ascii="한양신명조" w:eastAsia="휴먼명조"/>
      <w:color w:val="000000"/>
      <w:sz w:val="18"/>
    </w:rPr>
  </w:style>
  <w:style w:type="paragraph" w:styleId="69">
    <w:name w:val="표1"/>
    <w:uiPriority w:val="6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both"/>
      <w:textAlignment w:val="baseline"/>
    </w:pPr>
    <w:rPr>
      <w:rFonts w:ascii="한양중고딕" w:eastAsia="한양중고딕"/>
      <w:color w:val="000000"/>
      <w:spacing w:val="-5"/>
      <w:w w:val="90"/>
      <w:sz w:val="18"/>
    </w:rPr>
  </w:style>
  <w:style w:type="paragraph" w:styleId="70">
    <w:name w:val="본문1"/>
    <w:uiPriority w:val="7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60" w:lineRule="auto"/>
      <w:ind w:left="0" w:right="0" w:firstLine="0"/>
      <w:jc w:val="both"/>
      <w:textAlignment w:val="baseline"/>
    </w:pPr>
    <w:rPr>
      <w:rFonts w:ascii="바탕" w:eastAsia="바탕"/>
      <w:color w:val="000000"/>
      <w:spacing w:val="-6"/>
      <w:w w:val="90"/>
      <w:sz w:val="20"/>
    </w:rPr>
  </w:style>
  <w:style w:type="paragraph" w:styleId="71">
    <w:name w:val="요약문"/>
    <w:uiPriority w:val="7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0" w:right="0" w:firstLine="200"/>
      <w:jc w:val="both"/>
      <w:textAlignment w:val="baseline"/>
    </w:pPr>
    <w:rPr>
      <w:rFonts w:ascii="HCI Tulip" w:eastAsia="한양신명조"/>
      <w:color w:val="000000"/>
      <w:spacing w:val="-3"/>
      <w:w w:val="95"/>
      <w:sz w:val="18"/>
    </w:rPr>
  </w:style>
  <w:style w:type="paragraph" w:styleId="72">
    <w:name w:val="퇿(쌱졠폟�)"/>
    <w:uiPriority w:val="7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255" w:lineRule="exact"/>
      <w:ind w:left="50" w:right="50" w:firstLine="0"/>
      <w:jc w:val="both"/>
      <w:textAlignment w:val="baseline"/>
    </w:pPr>
    <w:rPr>
      <w:rFonts w:ascii="�쌱삃력옓" w:eastAsia="�쌱삃력옓"/>
      <w:color w:val="000000"/>
      <w:spacing w:val="-5"/>
      <w:w w:val="75"/>
      <w:sz w:val="20"/>
    </w:rPr>
  </w:style>
  <w:style w:type="paragraph" w:styleId="73">
    <w:name w:val="논문-정보기술-01내용글"/>
    <w:uiPriority w:val="7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60" w:lineRule="auto"/>
      <w:ind w:left="0" w:right="0" w:firstLine="200"/>
      <w:jc w:val="both"/>
      <w:textAlignment w:val="baseline"/>
    </w:pPr>
    <w:rPr>
      <w:rFonts w:ascii="휴먼명조" w:eastAsia="휴먼명조"/>
      <w:color w:val="000000"/>
      <w:spacing w:val="-6"/>
      <w:w w:val="90"/>
      <w:sz w:val="20"/>
    </w:rPr>
  </w:style>
  <w:style w:type="paragraph" w:styleId="74">
    <w:name w:val="한글캡션"/>
    <w:uiPriority w:val="7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center"/>
      <w:textAlignment w:val="baseline"/>
    </w:pPr>
    <w:rPr>
      <w:rFonts w:ascii="#중고딕" w:eastAsia="#중고딕"/>
      <w:color w:val="000000"/>
      <w:spacing w:val="-4"/>
      <w:w w:val="95"/>
      <w:sz w:val="18"/>
    </w:rPr>
  </w:style>
  <w:style w:type="paragraph" w:styleId="75">
    <w:name w:val="개요 2"/>
    <w:uiPriority w:val="7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60" w:lineRule="auto"/>
      <w:ind w:left="0" w:right="0" w:firstLine="0"/>
      <w:jc w:val="both"/>
      <w:textAlignment w:val="baseline"/>
    </w:pPr>
    <w:rPr>
      <w:rFonts w:ascii="한양중고딕" w:eastAsia="한양중고딕"/>
      <w:color w:val="000000"/>
      <w:spacing w:val="-7"/>
      <w:w w:val="90"/>
      <w:sz w:val="22"/>
    </w:rPr>
  </w:style>
  <w:style w:type="paragraph" w:styleId="76">
    <w:name w:val="개요 1"/>
    <w:uiPriority w:val="7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60" w:lineRule="auto"/>
      <w:ind w:left="0" w:right="0" w:firstLine="0"/>
      <w:jc w:val="both"/>
      <w:textAlignment w:val="baseline"/>
    </w:pPr>
    <w:rPr>
      <w:rFonts w:ascii="한양신명조" w:eastAsia="한양신명조"/>
      <w:color w:val="000000"/>
      <w:spacing w:val="-6"/>
      <w:w w:val="90"/>
      <w:sz w:val="20"/>
    </w:rPr>
  </w:style>
  <w:style w:type="paragraph" w:styleId="77">
    <w:name w:val="Normal"/>
    <w:uiPriority w:val="77"/>
    <w:pPr>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0" w:after="0" w:line="240" w:lineRule="auto"/>
      <w:ind w:left="0" w:right="0" w:firstLine="0"/>
      <w:jc w:val="left"/>
      <w:textAlignment w:val="baseline"/>
    </w:pPr>
    <w:rPr>
      <w:rFonts w:ascii="함초롬바탕" w:eastAsia="함초롬바탕"/>
      <w:color w:val="000000"/>
      <w:sz w:val="22"/>
    </w:rPr>
  </w:style>
  <w:style w:type="paragraph" w:styleId="78">
    <w:name w:val="xl65"/>
    <w:uiPriority w:val="7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left"/>
      <w:textAlignment w:val="center"/>
    </w:pPr>
    <w:rPr>
      <w:rFonts w:ascii="Cambria" w:eastAsia="Cambria"/>
      <w:color w:val="000000"/>
      <w:sz w:val="24"/>
    </w:rPr>
  </w:style>
  <w:style w:type="paragraph" w:styleId="79">
    <w:name w:val="xl66"/>
    <w:uiPriority w:val="7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left"/>
      <w:textAlignment w:val="center"/>
    </w:pPr>
    <w:rPr>
      <w:rFonts w:ascii="맑은 고딕" w:eastAsia="맑은 고딕"/>
      <w:color w:val="000000"/>
      <w:sz w:val="24"/>
    </w:rPr>
  </w:style>
  <w:style w:type="paragraph" w:styleId="80">
    <w:name w:val="xl67"/>
    <w:uiPriority w:val="8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left"/>
      <w:textAlignment w:val="center"/>
    </w:pPr>
    <w:rPr>
      <w:rFonts w:ascii="Cambria" w:eastAsia="Cambria"/>
      <w:color w:val="000000"/>
      <w:sz w:val="24"/>
    </w:rPr>
  </w:style>
  <w:style w:type="paragraph" w:styleId="81">
    <w:name w:val="xl68"/>
    <w:uiPriority w:val="81"/>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left"/>
      <w:textAlignment w:val="center"/>
    </w:pPr>
    <w:rPr>
      <w:rFonts w:ascii="맑은 고딕" w:eastAsia="맑은 고딕"/>
      <w:color w:val="000000"/>
      <w:sz w:val="24"/>
    </w:rPr>
  </w:style>
  <w:style w:type="paragraph" w:styleId="82">
    <w:name w:val="Compact"/>
    <w:uiPriority w:val="82"/>
    <w:pPr>
      <w:widowControl/>
      <w:pBdr>
        <w:top w:val="none" w:color="000000" w:sz="2" w:space="0"/>
        <w:left w:val="none" w:color="000000" w:sz="2" w:space="0"/>
        <w:bottom w:val="none" w:color="000000" w:sz="2" w:space="0"/>
        <w:right w:val="none" w:color="000000" w:sz="2" w:space="0"/>
      </w:pBdr>
      <w:wordWrap w:val="1"/>
      <w:autoSpaceDE w:val="off"/>
      <w:autoSpaceDN w:val="off"/>
      <w:snapToGrid/>
      <w:spacing w:before="36" w:after="36" w:line="240" w:lineRule="auto"/>
      <w:ind w:left="0" w:right="0" w:firstLine="0"/>
      <w:jc w:val="left"/>
      <w:textAlignment w:val="baseline"/>
    </w:pPr>
    <w:rPr>
      <w:rFonts w:ascii="Cambria" w:eastAsia="맑은 고딕"/>
      <w:color w:val="000000"/>
      <w:sz w:val="24"/>
    </w:rPr>
  </w:style>
  <w:style w:type="paragraph" w:styleId="83">
    <w:name w:val="xl69"/>
    <w:uiPriority w:val="8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left"/>
      <w:textAlignment w:val="center"/>
    </w:pPr>
    <w:rPr>
      <w:rFonts w:ascii="Cambria" w:eastAsia="Cambria"/>
      <w:b/>
      <w:color w:val="000000"/>
      <w:sz w:val="24"/>
    </w:rPr>
  </w:style>
  <w:style w:type="paragraph" w:styleId="84">
    <w:name w:val="xl70"/>
    <w:uiPriority w:val="8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Cambria" w:eastAsia="Cambria"/>
      <w:b/>
      <w:color w:val="000000"/>
      <w:sz w:val="24"/>
    </w:rPr>
  </w:style>
  <w:style w:type="paragraph" w:styleId="85">
    <w:name w:val="xl71"/>
    <w:uiPriority w:val="85"/>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right"/>
      <w:textAlignment w:val="center"/>
    </w:pPr>
    <w:rPr>
      <w:rFonts w:ascii="Cambria" w:eastAsia="Cambria"/>
      <w:color w:val="000000"/>
      <w:sz w:val="24"/>
    </w:rPr>
  </w:style>
  <w:style w:type="paragraph" w:styleId="86">
    <w:name w:val="xl72"/>
    <w:uiPriority w:val="8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right"/>
      <w:textAlignment w:val="center"/>
    </w:pPr>
    <w:rPr>
      <w:rFonts w:ascii="Cambria" w:eastAsia="Cambria"/>
      <w:color w:val="000000"/>
      <w:sz w:val="24"/>
    </w:rPr>
  </w:style>
  <w:style w:type="paragraph" w:styleId="87">
    <w:name w:val="xl73"/>
    <w:uiPriority w:val="8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right"/>
      <w:textAlignment w:val="center"/>
    </w:pPr>
    <w:rPr>
      <w:rFonts w:ascii="Cambria" w:eastAsia="Cambria"/>
      <w:b/>
      <w:color w:val="000000"/>
      <w:sz w:val="24"/>
    </w:rPr>
  </w:style>
  <w:style w:type="paragraph" w:styleId="88">
    <w:name w:val="td"/>
    <w:uiPriority w:val="8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both"/>
      <w:textAlignment w:val="center"/>
    </w:pPr>
    <w:rPr>
      <w:rFonts w:ascii="맑은 고딕" w:eastAsia="맑은 고딕"/>
      <w:color w:val="000000"/>
      <w:sz w:val="22"/>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2" Type="http://schemas.openxmlformats.org/officeDocument/2006/relationships/header" Target="header2.xml"  /><Relationship Id="rId3" Type="http://schemas.openxmlformats.org/officeDocument/2006/relationships/comments" Target="comments.xml"  /><Relationship Id="rId4" Type="http://schemas.openxmlformats.org/officeDocument/2006/relationships/image" Target="media/image0.png"  /><Relationship Id="rId5" Type="http://schemas.openxmlformats.org/officeDocument/2006/relationships/settings" Target="settings.xml"  /><Relationship Id="rId6" Type="http://schemas.openxmlformats.org/officeDocument/2006/relationships/styles" Target="styles.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seo</dc:creator>
  <cp:lastModifiedBy>15tkd</cp:lastModifiedBy>
  <dcterms:created xsi:type="dcterms:W3CDTF">2009-01-15T03:39:19.000</dcterms:created>
  <dcterms:modified xsi:type="dcterms:W3CDTF">2026-03-12T08:02:41.265</dcterms:modified>
  <cp:version>0501.0100.01</cp:version>
</cp:coreProperties>
</file>