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t xml:space="preserve">본 연구는 주식(5), 채권(3), 원자재(3)로 구성된 11개 ETF를 대상으로, 공개 OHLCV 데이터와 VIX 기간구조 지표만을 이용해 분산 위험 프리미엄(VRP)을 예측하는 프레임워크를 제시한다. 예측 지평은 거래일 기준 1, 5, 22, 60, 90, 120, 180, 252의 8개 구간이며, (1) 전방 실현분산을 먼저 예측하고 (2) 내재분산 프록시와 결합해 VRP를 산출하는 2단계 구조를 사용한다. 동일한 피처와 동일한 검증 절차 하에서 선형(정규화 회귀), 트리, 딥러닝(시계열) 모델을 비교한 결과, 예측 지평에 따라 유리한 모델 구조가 달라지는 경향이 확인되었다. 단기(1~22거래일)에서는 정규화 선형 모델이, 중기(60~90거래일)에서는 시계열 신경망이, 장기(180~252거래일)에서는 트리 기반 모델이 상대적으로 안정적인 성능을 보였다. 추가로 통계적 유의성 검정과 만기 불일치·결측 처리·자산특화 지표 대체 등 강건성 검증을 통해 제안 방법의 신뢰도를 점검하였다.</w:t>
      </w:r>
    </w:p>
    <w:p>
      <w:r>
        <w:pict>
          <v:rect style="width:0;height:1.5pt" o:hralign="center" o:hrstd="t" o:hr="t"/>
        </w:pict>
      </w:r>
    </w:p>
    <w:bookmarkEnd w:id="9"/>
    <w:bookmarkStart w:id="10" w:name="서론"/>
    <w:p>
      <w:pPr>
        <w:pStyle w:val="Heading1"/>
      </w:pPr>
      <w:r>
        <w:t xml:space="preserve">1. 서론</w:t>
      </w:r>
    </w:p>
    <w:p>
      <w:pPr>
        <w:pStyle w:val="FirstParagraph"/>
      </w:pPr>
      <w:r>
        <w:t xml:space="preserve">최근 금융시장은 팬데믹, 지정학적 충격, 통화정책 전환과 같은 사건을 거치며 높은 변동성 국면을 반복적으로 경험해 왔다. 예를 들어 코로나19 팬데믹이 본격화된 2020년 3월 16일 CBOE VIX 지수는 82.7 수준까지 상승하였고, 러시아-우크라이나 전쟁 발발 전후인 2022년 3월 초에도 36.5 수준까지 상승하였다. 본 연구에서 사용한 VIX 수치는 CBOE 원지표를 Yahoo Finance를 통해 수집한 값이다. 이러한 사례는 변동성이 단순한 가격 변동 폭을 넘어, 시장의 불확실성 평가와 위험회피 수요를 집약적으로 반영하는 변수임을 보여준다.</w:t>
      </w:r>
    </w:p>
    <w:p>
      <w:pPr>
        <w:pStyle w:val="BodyText"/>
      </w:pPr>
      <w:r>
        <w:t xml:space="preserve">금융시장에서 변동성 연구는 크게 두 가지 질문으로 구분될 수 있다. 첫째는 미래 변동성의 수준이 어느 정도가 될 것인가의 문제이며, 둘째는 그러한 위험이 시장에서 얼마나 비싸게 가격화되는가의 문제이다. 실현분산(realized variance, RV)은 전자와 직접적으로 연결되고,</w:t>
      </w:r>
      <w:r>
        <w:t xml:space="preserve"> </w:t>
      </w:r>
      <w:r>
        <w:rPr>
          <w:b/>
          <w:bCs/>
        </w:rPr>
        <w:t xml:space="preserve">분산 위험 프리미엄(variance risk premium, VRP)</w:t>
      </w:r>
      <w:r>
        <w:t xml:space="preserve">은 후자와 더 밀접하게 연결된다. VRP는 일반적으로 위험중립 기대분산과 물리적 기대분산의 차이로 해석되며,</w:t>
      </w:r>
      <w:r>
        <w:t xml:space="preserve"> </w:t>
      </w:r>
      <w:r>
        <w:rPr>
          <w:b/>
          <w:bCs/>
        </w:rPr>
        <w:t xml:space="preserve">변동성 위험의 가격화(price of volatility risk)</w:t>
      </w:r>
      <w:r>
        <w:t xml:space="preserve">를 나타내는 지표로 이해된다 [5]-[8].</w:t>
      </w:r>
    </w:p>
    <w:p>
      <w:pPr>
        <w:pStyle w:val="BodyText"/>
      </w:pPr>
      <w:r>
        <w:t xml:space="preserve">금융 예측에서 가장 직관적인 목표는 수익률 또는 초과수익률이지만, 수익률은 신호 대 잡음 비율이 낮고 구조 변화의 영향을 크게 받기 때문에 안정적인 예측이 어렵다. Gu, Kelly, and Xiu[1]는 다양한 기계학습 방법을 비교하며 자산가격 예측에서 기계학습의 가능성을 제시하였지만, 동시에 금융 예측이 본질적으로 어려운 문제라는 점도 보여주었다. 반면 변동성은 군집성과 지속성이 강하므로 수익률보다 예측 가능성이 상대적으로 높다. Corsi[2]의 HAR-RV 모형은 일·주·월 수준의 변동성 정보를 결합하여 이러한 특성을 간명하게 반영한 대표적 접근이며, 이후 Audrino and Knaus[3], Christensen, Siggaard, and Veliyev[4] 등은 정규화 회귀와 기계학습을 활용한 변동성 예측의 확장 가능성을 보였다.</w:t>
      </w:r>
    </w:p>
    <w:p>
      <w:pPr>
        <w:pStyle w:val="BodyText"/>
      </w:pPr>
      <w:r>
        <w:t xml:space="preserve">본 연구는 분산(variance) 단위로 용어를 통일하며, 내재분산(IV), 실현분산(RV), 분산 위험 프리미엄(VRP = IV - RV)을 핵심 변수로 사용한다. 본 논문에서 사용하는 주요 기호는 다음과 같다.</w:t>
      </w:r>
    </w:p>
    <w:p>
      <w:pPr>
        <w:pStyle w:val="BodyText"/>
      </w:pPr>
      <w:r>
        <w:rPr>
          <w:b/>
          <w:bCs/>
        </w:rPr>
        <w:t xml:space="preserve">표 1. 주요 기호 및 정의</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Definition</w:t>
            </w:r>
          </w:p>
        </w:tc>
      </w:tr>
      <w:tr>
        <w:tc>
          <w:tcPr/>
          <w:p>
            <w:pPr>
              <w:pStyle w:val="Compact"/>
              <w:jc w:val="left"/>
            </w:pPr>
            <w:r>
              <w:t xml:space="preserve">RV_i,t(h)</w:t>
            </w:r>
          </w:p>
        </w:tc>
        <w:tc>
          <w:tcPr/>
          <w:p>
            <w:pPr>
              <w:pStyle w:val="Compact"/>
              <w:jc w:val="left"/>
            </w:pPr>
            <w:r>
              <w:t xml:space="preserve">Forward RV of asset i, h trading days ahead (annualized)</w:t>
            </w:r>
          </w:p>
        </w:tc>
      </w:tr>
      <w:tr>
        <w:tc>
          <w:tcPr/>
          <w:p>
            <w:pPr>
              <w:pStyle w:val="Compact"/>
              <w:jc w:val="left"/>
            </w:pPr>
            <w:r>
              <w:t xml:space="preserve">IV_t^2</w:t>
            </w:r>
          </w:p>
        </w:tc>
        <w:tc>
          <w:tcPr/>
          <w:p>
            <w:pPr>
              <w:pStyle w:val="Compact"/>
              <w:jc w:val="left"/>
            </w:pPr>
            <w:r>
              <w:t xml:space="preserve">Implied variance proxy, (VIX_t / 100)^2</w:t>
            </w:r>
          </w:p>
        </w:tc>
      </w:tr>
      <w:tr>
        <w:tc>
          <w:tcPr/>
          <w:p>
            <w:pPr>
              <w:pStyle w:val="Compact"/>
              <w:jc w:val="left"/>
            </w:pPr>
            <w:r>
              <w:t xml:space="preserve">VRP_i,t(h)</w:t>
            </w:r>
          </w:p>
        </w:tc>
        <w:tc>
          <w:tcPr/>
          <w:p>
            <w:pPr>
              <w:pStyle w:val="Compact"/>
              <w:jc w:val="left"/>
            </w:pPr>
            <w:r>
              <w:t xml:space="preserve">Variance risk premium, IV_t^2 - RV_i,t(h)</w:t>
            </w:r>
          </w:p>
        </w:tc>
      </w:tr>
      <w:tr>
        <w:tc>
          <w:tcPr/>
          <w:p>
            <w:pPr>
              <w:pStyle w:val="Compact"/>
              <w:jc w:val="left"/>
            </w:pPr>
            <w:r>
              <w:t xml:space="preserve">h</w:t>
            </w:r>
          </w:p>
        </w:tc>
        <w:tc>
          <w:tcPr/>
          <w:p>
            <w:pPr>
              <w:pStyle w:val="Compact"/>
              <w:jc w:val="left"/>
            </w:pPr>
            <w:r>
              <w:t xml:space="preserve">Forecast horizon (trading days), h ∈ {1,5,22,60,90,120,180,252}</w:t>
            </w:r>
          </w:p>
        </w:tc>
      </w:tr>
      <w:tr>
        <w:tc>
          <w:tcPr/>
          <w:p>
            <w:pPr>
              <w:pStyle w:val="Compact"/>
              <w:jc w:val="left"/>
            </w:pPr>
            <w:r>
              <w:t xml:space="preserve">i</w:t>
            </w:r>
          </w:p>
        </w:tc>
        <w:tc>
          <w:tcPr/>
          <w:p>
            <w:pPr>
              <w:pStyle w:val="Compact"/>
              <w:jc w:val="left"/>
            </w:pPr>
            <w:r>
              <w:t xml:space="preserve">Asset index (i=1,…,11; 11 ETFs)</w:t>
            </w:r>
          </w:p>
        </w:tc>
      </w:tr>
      <w:tr>
        <w:tc>
          <w:tcPr/>
          <w:p>
            <w:pPr>
              <w:pStyle w:val="Compact"/>
              <w:jc w:val="left"/>
            </w:pPr>
            <w:r>
              <w:t xml:space="preserve">t</w:t>
            </w:r>
          </w:p>
        </w:tc>
        <w:tc>
          <w:tcPr/>
          <w:p>
            <w:pPr>
              <w:pStyle w:val="Compact"/>
              <w:jc w:val="left"/>
            </w:pPr>
            <w:r>
              <w:t xml:space="preserve">Time index (trading day)</w:t>
            </w:r>
          </w:p>
        </w:tc>
      </w:tr>
      <w:tr>
        <w:tc>
          <w:tcPr/>
          <w:p>
            <w:pPr>
              <w:pStyle w:val="Compact"/>
              <w:jc w:val="left"/>
            </w:pPr>
            <w:r>
              <w:t xml:space="preserve">r_t</w:t>
            </w:r>
          </w:p>
        </w:tc>
        <w:tc>
          <w:tcPr/>
          <w:p>
            <w:pPr>
              <w:pStyle w:val="Compact"/>
              <w:jc w:val="left"/>
            </w:pPr>
            <w:r>
              <w:t xml:space="preserve">Daily log return, ln(P_t/P_t-1)</w:t>
            </w:r>
          </w:p>
        </w:tc>
      </w:tr>
      <w:tr>
        <w:tc>
          <w:tcPr/>
          <w:p>
            <w:pPr>
              <w:pStyle w:val="Compact"/>
              <w:jc w:val="left"/>
            </w:pPr>
            <w:r>
              <w:t xml:space="preserve">R^2</w:t>
            </w:r>
          </w:p>
        </w:tc>
        <w:tc>
          <w:tcPr/>
          <w:p>
            <w:pPr>
              <w:pStyle w:val="Compact"/>
              <w:jc w:val="left"/>
            </w:pPr>
            <w:r>
              <w:t xml:space="preserve">Coefficient of determination; pooled and median R^2</w:t>
            </w:r>
          </w:p>
        </w:tc>
      </w:tr>
    </w:tbl>
    <w:p>
      <w:pPr>
        <w:pStyle w:val="BodyText"/>
      </w:pPr>
      <w:r>
        <w:t xml:space="preserve">예를 들어 VIX 수준과 RV의 조합에 따라 VRP가 양·음수로 크게 달라질 수 있으며, 이는 시장이 변동성 위험을 얼마나 비싸게 평가하는지를 보여준다.</w:t>
      </w:r>
    </w:p>
    <w:p>
      <w:pPr>
        <w:pStyle w:val="BodyText"/>
      </w:pPr>
      <w:r>
        <w:t xml:space="preserve">모델은 전방 윈도우(forward window) 방식으로 log( RV )를 직접 예측한 뒤, 관측 가능한 IV와 결합해 VRP를 산출하는 2단계 구조를 따른다. 예측 시점에서 미래 정보가 섞이는 데이터 누출을 방지하기 위해 피처와 타겟 구간은 엄격하게 분리되는데, 피처는 [t-W, t] 구간의 과거 OHLCV·변동성·보조 데이터, 타깃은 [t+1, t+h] 구간의 전방 h일 실현분산이다.</w:t>
      </w:r>
    </w:p>
    <w:p>
      <w:pPr>
        <w:pStyle w:val="BodyText"/>
      </w:pPr>
      <w:r>
        <w:t xml:space="preserve">용어와 산출 절차의 상세 정의는 3장에서 기술한다.</w:t>
      </w:r>
    </w:p>
    <w:p>
      <w:pPr>
        <w:pStyle w:val="BodyText"/>
      </w:pPr>
      <w:r>
        <w:t xml:space="preserve">본 연구의 예측 지평은 모두 거래일 기준이며, h ∈ {1,5,22,60,90,120,180,252}로 설정한다. 상세 설정과 정화 구간(purge gap) 처리는 3장에서 기술한다.</w:t>
      </w:r>
    </w:p>
    <w:p>
      <w:pPr>
        <w:pStyle w:val="BodyText"/>
      </w:pPr>
      <w:r>
        <w:t xml:space="preserve">VRP 관련 연구는 (i) VRP의 측정과 추정, (ii) VRP의 경제적 의미와 자산가격 함의, (iii) 특정 시장(주로 주식지수) 중심의 실증 분석으로 축적되어 왔다. 그러나</w:t>
      </w:r>
      <w:r>
        <w:t xml:space="preserve"> </w:t>
      </w:r>
      <w:r>
        <w:t xml:space="preserve">“VRP 예측”</w:t>
      </w:r>
      <w:r>
        <w:t xml:space="preserve"> </w:t>
      </w:r>
      <w:r>
        <w:t xml:space="preserve">관점에서는 다음의 공백이 남아 있다.</w:t>
      </w:r>
    </w:p>
    <w:p>
      <w:pPr>
        <w:pStyle w:val="BodyText"/>
      </w:pPr>
      <w:r>
        <w:t xml:space="preserve">첫째, 다중 자산 VRP 연구는 대체로 자산별 옵션 자료에 의존한다. 반면 실제 분석 환경에서는 주식·채권·원자재 전체에 대해 장기간 옵션 데이터를 확보하기 어렵다. 본 연구는 11개 ETF의 일별 OHLCV와 공개 변동성 지표를 결합하여, 다중 자산 VRP 예측을 재현 가능한 형태로 구성한다.</w:t>
      </w:r>
    </w:p>
    <w:p>
      <w:pPr>
        <w:pStyle w:val="BodyText"/>
      </w:pPr>
      <w:r>
        <w:t xml:space="preserve">둘째, VRP 연구는 월간(대략 30일) 지표(VIX)에 정렬된 분석이 많아, 1~5거래일부터 연간(252거래일)까지 지평을 확장했을 때 예측 구조가 어떻게 달라지는지에 대한 체계적 비교가 충분하지 않다.</w:t>
      </w:r>
    </w:p>
    <w:p>
      <w:pPr>
        <w:pStyle w:val="BodyText"/>
      </w:pPr>
      <w:r>
        <w:t xml:space="preserve">셋째, 금융 데이터는 구조 변화가 잦고 노이즈가 큰 편이어서</w:t>
      </w:r>
      <w:r>
        <w:t xml:space="preserve"> </w:t>
      </w:r>
      <w:r>
        <w:t xml:space="preserve">“복잡한 모델이 항상 더 낫다”</w:t>
      </w:r>
      <w:r>
        <w:t xml:space="preserve">고 말하기 어렵다. 그럼에도 동일한 피처·동일한 검증 절차 아래에서 선형 모델, 트리 기반 모델, 시계열 신경망 모델을 지평별로 공정 비교한 결과는 제한적이다.</w:t>
      </w:r>
    </w:p>
    <w:p>
      <w:pPr>
        <w:pStyle w:val="BodyText"/>
      </w:pPr>
      <w:r>
        <w:t xml:space="preserve">이 공백을 바탕으로 본 연구는 다음 연구 질문에 답한다.</w:t>
      </w:r>
    </w:p>
    <w:p>
      <w:pPr>
        <w:pStyle w:val="BodyText"/>
      </w:pPr>
      <w:r>
        <w:rPr>
          <w:b/>
          <w:bCs/>
        </w:rPr>
        <w:t xml:space="preserve">RQ1.</w:t>
      </w:r>
      <w:r>
        <w:t xml:space="preserve"> </w:t>
      </w:r>
      <w:r>
        <w:t xml:space="preserve">공개 데이터(가격 기반 피처와 변동성 지표)를 이용해 구성한 예측 VRP(이하 VRP_hat)는 주식·채권·원자재 자산군에서 예측 가능한가?</w:t>
      </w:r>
    </w:p>
    <w:p>
      <w:pPr>
        <w:pStyle w:val="BodyText"/>
      </w:pPr>
      <w:r>
        <w:rPr>
          <w:b/>
          <w:bCs/>
        </w:rPr>
        <w:t xml:space="preserve">RQ2.</w:t>
      </w:r>
      <w:r>
        <w:t xml:space="preserve"> </w:t>
      </w:r>
      <w:r>
        <w:t xml:space="preserve">예측 지평이 1거래일에서 252거래일까지 길어질 때, 예측 성능(R^2, RMSE)과 유효 피처는 어떻게 달라지는가?</w:t>
      </w:r>
    </w:p>
    <w:p>
      <w:pPr>
        <w:pStyle w:val="BodyText"/>
      </w:pPr>
      <w:r>
        <w:rPr>
          <w:b/>
          <w:bCs/>
        </w:rPr>
        <w:t xml:space="preserve">RQ3.</w:t>
      </w:r>
      <w:r>
        <w:t xml:space="preserve"> </w:t>
      </w:r>
      <w:r>
        <w:t xml:space="preserve">동일한 피처와 동일한 시계열 검증 절차에서, 선형·트리 기반·시계열 신경망 모델의 상대적 성능은 지평에 따라 어떻게 달라지는가?</w:t>
      </w:r>
    </w:p>
    <w:p>
      <w:pPr>
        <w:pStyle w:val="BodyText"/>
      </w:pPr>
      <w:r>
        <w:rPr>
          <w:b/>
          <w:bCs/>
        </w:rPr>
        <w:t xml:space="preserve">RQ4.</w:t>
      </w:r>
      <w:r>
        <w:t xml:space="preserve"> </w:t>
      </w:r>
      <w:r>
        <w:t xml:space="preserve">VRP_hat 예측의 통계적 우위가 실제 거래비용을 반영한 경제적 의사결정(예: 변동성 타이밍 전략)에서도 실효성을 가지는가?</w:t>
      </w:r>
    </w:p>
    <w:p>
      <w:pPr>
        <w:pStyle w:val="BodyText"/>
      </w:pPr>
      <w:r>
        <w:t xml:space="preserve">본 연구는 주식(5), 채권(3), 원자재(3)로 구성된 총 11개 ETF(SPY, QQQ, IWM, EFA, EEM, TLT, IEF, AGG, GLD, SLV, USO)를 대상으로 2010년 1월부터 2025년 1월까지 일별 OHLCV 데이터를 사용한다.</w:t>
      </w:r>
    </w:p>
    <w:p>
      <w:pPr>
        <w:pStyle w:val="BodyText"/>
      </w:pPr>
      <w:r>
        <w:t xml:space="preserve">피처는 (i) HAR 구조 기반의 기본 피처, (ii) OHLC로부터 계산한 range 기반 변동성 피처, (iii) VIX 기간구조(예: VIX3M, VIX9D 등)와 같은 변동성 지표 피처, (iv) 거래량 기반 피처로 구성한다. 또한 단일 VIX를 모든 지평의 타겟 IV로 대체할 때 발생하는 만기 불일치(maturity mismatch) 문제를 점검하고, VIX 기간구조 지표(VIX9D, VIX3M)로 이를 부분적으로 보완한다. 1~5d 지평에서는 VIX9D 대체가 소폭 유리하나, 월간 이상에서는 VIX 단독이 크게 열등하지 않다는 사전 검증 결과를 포함한다.</w:t>
      </w:r>
    </w:p>
    <w:p>
      <w:pPr>
        <w:pStyle w:val="BodyText"/>
      </w:pPr>
      <w:r>
        <w:t xml:space="preserve">원자재의 경우 주식 기반 VIX가 충분하지 않을 수 있으므로, 금(GVZ), 원유(OVX) 등 자산특화 변동성 지표를 대체 적용하는 강건성 검증을 수행한다(소폭 개선이 있으나 전체 성능 변화는 제한적).</w:t>
      </w:r>
    </w:p>
    <w:p>
      <w:pPr>
        <w:pStyle w:val="BodyText"/>
      </w:pPr>
      <w:r>
        <w:t xml:space="preserve">성능 평가는 R^2(설명력)과 RMSE(예측오차)를 기반으로, 시간순 학습/테스트 분할과 확장 윈도우 교차검증을 적용한다.</w:t>
      </w:r>
    </w:p>
    <w:p>
      <w:pPr>
        <w:pStyle w:val="BodyText"/>
      </w:pPr>
      <w:r>
        <w:t xml:space="preserve">본 논문의 구성은 다음과 같다. 2장에서는 VRP 측정·예측 관련 선행연구를 정리한다. 3장에서는 데이터·변수 구성 및 방법론을 제시한다. 4장에서는 실험 결과와 논의를 보고하고, 5장에서 결론 및 향후 과제를 정리한다.</w:t>
      </w:r>
    </w:p>
    <w:bookmarkEnd w:id="10"/>
    <w:bookmarkStart w:id="11" w:name="관련-연구"/>
    <w:p>
      <w:pPr>
        <w:pStyle w:val="Heading1"/>
      </w:pPr>
      <w:r>
        <w:t xml:space="preserve">2. 관련 연구</w:t>
      </w:r>
    </w:p>
    <w:p>
      <w:pPr>
        <w:pStyle w:val="FirstParagraph"/>
      </w:pPr>
      <w:r>
        <w:t xml:space="preserve">VRP 관련 문헌은 크게 세 흐름으로 정리할 수 있다. 첫째는 VRP의 정의와 측정에 관한 연구이다. Carr and Wu[5]는 옵션 포트폴리오를 활용해 위험중립 기대분산을 근사할 수 있음을 보였고, 이를 바탕으로 실현분산과의 차이를 VRP로 정의하는 방법을 제시하였다. 둘째는 VRP의 경제적 의미와 자산가격 함의에 관한 연구이다. Bekaert and Hoerova[6], Bollerslev, Tauchen, and Zhou[7], Drechsler and Yaron[8]은 VRP가 단순한 변동성 수준이 아니라 위험이 시장에서 얼마나 비싸게 거래되는지를 보여주는 지표임을 제시하였다. 셋째는 VRP의 예측력과 시장 간 전이, 그리고 자산군별 이질성을 다루는 연구이다 [9]-[16].</w:t>
      </w:r>
    </w:p>
    <w:p>
      <w:pPr>
        <w:pStyle w:val="BodyText"/>
      </w:pPr>
      <w:r>
        <w:t xml:space="preserve">한편 VRP는 IV와 RV의 차이로 정의되므로, RV 예측 문헌과도 밀접하게 연결된다. 전통적 변동성 예측은 GARCH 계열 모형[12][13]에서 출발하여, 다중 스케일 구조를 반영하는 HAR-RV 모형[2]으로 확장되었다. 이후 Audrino and Knaus[3]는 HAR 구조와 변수 선택을 결합한 LASSO-HAR를 제시하였고, Christensen, Siggaard, and Veliyev[4]는 다양한 기계학습 모형이 변동성 예측에서 경쟁력 있는 성능을 보일 수 있음을 보고하였다. 이와 같은 연구 흐름은 고차원 피처와 비선형 모형의 활용 가능성을 보여주지만, 동일 피처와 동일 검증 절차 아래에서 예측 지평별 모형 차이를 비교한 연구는 상대적으로 제한적이다.</w:t>
      </w:r>
    </w:p>
    <w:p>
      <w:pPr>
        <w:pStyle w:val="BodyText"/>
      </w:pPr>
      <w:r>
        <w:t xml:space="preserve">다중 자산 VRP 연구도 존재하지만, 대부분 각 자산별 옵션 데이터를 전제로 한다 [10][11][16]. 이러한 접근은 측정의 정밀성은 높을 수 있으나, 장기간 데이터 확보와 자산군 간 비교의 실용성 측면에서는 제약이 따른다. 본 연구는 공개 OHLCV 데이터와 공개 변동성 지표만을 사용하여 재현 가능한 VRP proxy를 구축하고, 만기 불일치와 자산특화 변동성 지표의 필요성은 별도의 강건성 검증으로 점검한다. 따라서 본 연구는 VRP 측정 문헌, RV 예측 문헌, 그리고 기계학습 기반 금융예측 문헌을 연결하면서, 재현성과 확장성을 강조한 다중 자산·다중 지평 연구로 위치 지을 수 있다.</w:t>
      </w:r>
    </w:p>
    <w:bookmarkEnd w:id="11"/>
    <w:bookmarkStart w:id="20" w:name="데이터-및-변수-구성"/>
    <w:p>
      <w:pPr>
        <w:pStyle w:val="Heading1"/>
      </w:pPr>
      <w:r>
        <w:t xml:space="preserve">3. 데이터 및 변수 구성</w:t>
      </w:r>
    </w:p>
    <w:bookmarkStart w:id="13" w:name="데이터"/>
    <w:p>
      <w:pPr>
        <w:pStyle w:val="Heading2"/>
      </w:pPr>
      <w:r>
        <w:t xml:space="preserve">3.1 데이터</w:t>
      </w:r>
    </w:p>
    <w:p>
      <w:pPr>
        <w:pStyle w:val="FirstParagraph"/>
      </w:pPr>
      <w:r>
        <w:t xml:space="preserve">본 연구는 SPY, QQQ, IWM, EFA, EEM, TLT, IEF, AGG, GLD, SLV, USO의 총 11개 ETF를 분석 대상으로 사용한다. 데이터는 Yahoo Finance API를 통해 수집하였으며, 수집 파라미터는</w:t>
      </w:r>
      <w:r>
        <w:t xml:space="preserve"> </w:t>
      </w:r>
      <w:r>
        <w:rPr>
          <w:rStyle w:val="VerbatimChar"/>
        </w:rPr>
        <w:t xml:space="preserve">start='2010-01-01'</w:t>
      </w:r>
      <w:r>
        <w:t xml:space="preserve">,</w:t>
      </w:r>
      <w:r>
        <w:t xml:space="preserve"> </w:t>
      </w:r>
      <w:r>
        <w:rPr>
          <w:rStyle w:val="VerbatimChar"/>
        </w:rPr>
        <w:t xml:space="preserve">end='2025-01-01'</w:t>
      </w:r>
      <w:r>
        <w:t xml:space="preserve">이다. yfinance의 end 파라미터가 배타적이라는 점을 고려하면 실제 표본 구간은 2010년 1월 4일부터 2024년 12월 31일까지이다. 총 거래일 수는 약 3,780일이다.</w:t>
      </w:r>
    </w:p>
    <w:p>
      <w:pPr>
        <w:pStyle w:val="BodyText"/>
      </w:pPr>
      <w:r>
        <w:t xml:space="preserve">표본 시작 시점을 2010년으로 설정한 이유는 다음과 같다. 첫째, 11개 ETF와 VIX/VIX3M 등 변동성 지표의 공통 가용 구간을 안정적으로 확보하기 위해서다. 둘째, 2008~2009년 금융위기 직후 구간은 VIX 급등과 유동성 위축이 동시에 나타난 극단적 비정상 구간이므로, 이를 학습 표본에 포함하면 특정 위기 레짐에 과적합될 가능성이 있다. 셋째, VIX9D 결측이 표본 초기에 제한적으로 나타나도록 하여 전체 표본의 일관성을 높이고자 하였다. 따라서 2010년 시작은 단순한 데이터 편의가 아니라 자산 공통성, 지표 가용성, 레짐 안정성을 함께 고려한 선택이다.</w:t>
      </w:r>
    </w:p>
    <w:p>
      <w:pPr>
        <w:pStyle w:val="BodyText"/>
      </w:pPr>
      <w:r>
        <w:t xml:space="preserve">본 연구에서 “안정적으로 존재하는 자산”이란 2010년 1월 4일 이후 Yahoo Finance에서 일별 OHLCV 5개 항목이 연속 거래일 기준으로 대부분 결측 없이 제공되며, 단기 결측이 존재하더라도 1~2거래일 수준에 그치는 자산을 의미한다. 별도의 거래량 하한이나 유동성 컷오프를 적용하지는 않았으나, 선택된 11개 ETF는 각 자산군에서 대표성을 가진 대형 ETF이므로 유동성 문제는 실질적으로 크지 않다.</w:t>
      </w:r>
    </w:p>
    <w:bookmarkStart w:id="12" w:name="수익률-및-가격-조정배당분할-처리"/>
    <w:p>
      <w:pPr>
        <w:pStyle w:val="Heading3"/>
      </w:pPr>
      <w:r>
        <w:t xml:space="preserve">3.1.1 수익률 및 가격 조정(배당/분할) 처리</w:t>
      </w:r>
    </w:p>
    <w:p>
      <w:pPr>
        <w:pStyle w:val="FirstParagraph"/>
      </w:pPr>
      <w:r>
        <w:t xml:space="preserve">일별 수익률은 로그수익률로 정의한다.</w:t>
      </w:r>
    </w:p>
    <w:p>
      <w:pPr>
        <w:pStyle w:val="BodyText"/>
      </w:pPr>
      <w:r>
        <w:t xml:space="preserve">r_t = ln( P_t / P_{t - 1} )</w:t>
      </w:r>
    </w:p>
    <w:p>
      <w:pPr>
        <w:pStyle w:val="BodyText"/>
      </w:pPr>
      <w:r>
        <w:t xml:space="preserve">여기서 P_t는 yfinance에서 제공하는</w:t>
      </w:r>
      <w:r>
        <w:t xml:space="preserve"> </w:t>
      </w:r>
      <w:r>
        <w:rPr>
          <w:b/>
          <w:bCs/>
        </w:rPr>
        <w:t xml:space="preserve">수정 종가(배당/분할 반영 Close)</w:t>
      </w:r>
      <w:r>
        <w:t xml:space="preserve">를 사용한다.</w:t>
      </w:r>
    </w:p>
    <w:p>
      <w:pPr>
        <w:pStyle w:val="BodyText"/>
      </w:pPr>
      <w:r>
        <w:t xml:space="preserve">OHLC는 수정되지 않은 원시 데이터를 사용하며, 배당락으로 인한 가격 점프가 range 추정량에 미치는 영향은 22거래일 롤링 윈도우 기준으로 제한적임을 확인하였다.</w:t>
      </w:r>
    </w:p>
    <w:bookmarkEnd w:id="12"/>
    <w:bookmarkEnd w:id="13"/>
    <w:bookmarkStart w:id="14" w:name="결측치-처리"/>
    <w:p>
      <w:pPr>
        <w:pStyle w:val="Heading2"/>
      </w:pPr>
      <w:r>
        <w:t xml:space="preserve">3.2 결측치 처리</w:t>
      </w:r>
    </w:p>
    <w:p>
      <w:pPr>
        <w:pStyle w:val="FirstParagraph"/>
      </w:pPr>
      <w:r>
        <w:t xml:space="preserve">결측치는 전방 채움(forward fill)으로 처리하였다. 이는 미래 정보 누출을 방지하면서 시계열 연속성을 유지하고 표본 손실을 최소화하기 위한 선택이다. 선형 보간은 미래 시점의 정보를 사용할 수 있으므로 시계열 예측에서 적절하지 않을 수 있으나, 전방 채움은 과거 관측치만을 이용한다. 또한 결측 행을 그대로 삭제할 경우 5일, 22일 등 다중 윈도우 기반 피처 계산과 GARCH 추정의 안정성이 저하될 수 있다. 전방 채움 적용 시 표본 수는 41,261개였고, 이를 제거하면 38,489개로 감소하였다.</w:t>
      </w:r>
    </w:p>
    <w:p>
      <w:pPr>
        <w:pStyle w:val="BodyText"/>
      </w:pPr>
      <w:r>
        <w:t xml:space="preserve">추가 강건성 검증 결과, 전방 채움을 제거한 경우 풀링 R^2는 0.782에서 0.795로, 중위 R^2는 0.123에서 0.182로 소폭 상승하였다. 이는 전방 채움이 성능을 인위적으로 부풀리지 않았음을 의미하며, 오히려 보수적인 방향으로 작용했음을 시사한다. 따라서 본 연구의 핵심 결과는 결측 처리 방식에 과도하게 의존하지 않는다.</w:t>
      </w:r>
    </w:p>
    <w:bookmarkEnd w:id="14"/>
    <w:bookmarkStart w:id="15" w:name="변수-정의와-2단계-예측-구조"/>
    <w:p>
      <w:pPr>
        <w:pStyle w:val="Heading2"/>
      </w:pPr>
      <w:r>
        <w:t xml:space="preserve">3.3 변수 정의와 2단계 예측 구조</w:t>
      </w:r>
    </w:p>
    <w:p>
      <w:pPr>
        <w:pStyle w:val="FirstParagraph"/>
      </w:pPr>
      <w:r>
        <w:t xml:space="preserve">본 연구는 분산 단위로 용어를 통일한다. 내재분산은 변동성 지수를 제곱하여 근사한 값으로 두고, 실현분산은 미래 h 거래일 동안의 수익률 제곱합을 연율화한 값으로 정의한다. 이에 따라 분산 위험 프리미엄은 VRP_i,t(h)=IV_t^2-RV_i,t(h) 로 정의한다.</w:t>
      </w:r>
    </w:p>
    <w:p>
      <w:pPr>
        <w:pStyle w:val="BodyText"/>
      </w:pPr>
      <w:r>
        <w:t xml:space="preserve">본 연구의 핵심 설계는 VRP를 직접 예측하지 않고, 먼저 미래 실현분산 RV를 예측한 뒤 사후적으로 내재분산과 결합하여 VRP를 계산하는 2단계 구조이다. 이 구조를 채택한 이유는 피처와 타깃 간 정보 중첩을 줄이기 위해서다. 만약 VRP 자체를 직접 타깃으로 두면, 타깃 정의식 (IV-RV) 안에 포함된 IV 정보가 피처로 사용되는 VIX 계열 지표와 중복될 수 있다. 반면 RV만을 예측 대상으로 두면, 모형은 미래 변동성 자체를 학습하고, 관측 가능한 IV는 사후 결합에 활용되므로 역할이 명확히 분리된다. 이런 점에서 2단계 구조는 예측의 해석 가능성과 설계의 타당성을 높인다.</w:t>
      </w:r>
    </w:p>
    <w:p>
      <w:pPr>
        <w:pStyle w:val="BodyText"/>
      </w:pPr>
      <w:r>
        <w:t xml:space="preserve">본 연구의 예측 지평 h는 모두 거래일(trading days) 기준으로 정의하며, h ∈ {1, 5, 22, 60, 90, 120, 180, 252} 로 설정한다.</w:t>
      </w:r>
    </w:p>
    <w:p>
      <w:pPr>
        <w:pStyle w:val="BodyText"/>
      </w:pPr>
      <w:r>
        <w:t xml:space="preserve">실현분산 RV_i,t(h)는 자산 i의 시점 t 이후 향후 h 거래일 구간 [t+1, t+h]에서 실현된 수익률 제곱의 평균을 연율화하여 구성한다.</w:t>
      </w:r>
    </w:p>
    <w:p>
      <w:pPr>
        <w:pStyle w:val="BodyText"/>
      </w:pPr>
      <w:r>
        <w:t xml:space="preserve">RV_i,t(h) = mean( r_[t+1:t+h]^2 ) x 252</w:t>
      </w:r>
    </w:p>
    <w:p>
      <w:pPr>
        <w:pStyle w:val="BodyText"/>
      </w:pPr>
      <w:r>
        <w:t xml:space="preserve">실현분산은 일반적으로 강한 우편향을 띠므로, 통계적 모델링의 안정성을 확보하기 위해 타겟(target)에 로그 변환을 적용한다.</w:t>
      </w:r>
    </w:p>
    <w:p>
      <w:pPr>
        <w:pStyle w:val="BodyText"/>
      </w:pPr>
      <w:r>
        <w:t xml:space="preserve">target(t,h) = log( RV_i,t(h) ) = log( mean( r_[t+1:t+h]^2 ) x 252 )</w:t>
      </w:r>
    </w:p>
    <w:p>
      <w:pPr>
        <w:pStyle w:val="BodyText"/>
      </w:pPr>
      <w:r>
        <w:t xml:space="preserve">내재분산 IV_t(h)는 시장의 공통 불확실성을 대변하는 CBOE VIX 등락을 기준으로 산출한다.</w:t>
      </w:r>
    </w:p>
    <w:p>
      <w:pPr>
        <w:pStyle w:val="BodyText"/>
      </w:pPr>
      <w:r>
        <w:t xml:space="preserve">IV_t^2 = ( VIX_t / 100 )^2</w:t>
      </w:r>
    </w:p>
    <w:p>
      <w:pPr>
        <w:pStyle w:val="BodyText"/>
      </w:pPr>
      <w:r>
        <w:t xml:space="preserve">만기 불일치의 실질적 영향을 확인하기 위해 VIX 단독, VIX9D 대체, VIX3M 대체, 전체 IV 동시 투입의 네 설정을 비교하였다. 그 결과 22d 이상에서는 VIX 단독이 일관적으로 최적(R^2 0.769~0.675)이며, 1~5d에서만 VIX9D 대체가 소폭 유리(+0.01 수준)하였다. 지평별 상세 수치는 부록을 참조한다.</w:t>
      </w:r>
    </w:p>
    <w:p>
      <w:pPr>
        <w:pStyle w:val="BodyText"/>
      </w:pPr>
      <w:r>
        <w:t xml:space="preserve">원자재는 주식 기반 VIX와 다른 구조를 가질 수 있으므로, 금과 원유에 대해 CBOE의 자산특화 변동성 지표(GVZ, OVX)를 대체 적용하는 강건성 검증을 수행하였다. 일부 개선이 있으나 전체 성능 변화는 제한적이어서 단일 VIX 기반 proxy 사용의 타당성이 유지된다.</w:t>
      </w:r>
    </w:p>
    <w:bookmarkEnd w:id="15"/>
    <w:bookmarkStart w:id="16" w:name="거래일-지평의-weighted-ensemble"/>
    <w:p>
      <w:pPr>
        <w:pStyle w:val="Heading2"/>
      </w:pPr>
      <w:r>
        <w:t xml:space="preserve">3.4 22거래일 지평의 Weighted Ensemble</w:t>
      </w:r>
    </w:p>
    <w:p>
      <w:pPr>
        <w:pStyle w:val="FirstParagraph"/>
      </w:pPr>
      <w:r>
        <w:t xml:space="preserve">22거래일 지평에서는 Ridge와 XGBoost를 결합한 weighted ensemble을 사용하였다. 구체적으로 자산군별 Ridge 예측값에 70%, 전체 자산 통합 XGBoost 예측값에 30%의 가중치를 부여하였다. Ridge는 다중공선성에 상대적으로 강하고 선형적 구조를 안정적으로 포착하는 장점이 있으며, XGBoost는 비선형 상호작용을 보정하는 역할을 수행한다. 따라서 두 모형의 결합은 안정성과 유연성의 절충으로 이해할 수 있다.</w:t>
      </w:r>
    </w:p>
    <w:p>
      <w:pPr>
        <w:pStyle w:val="BodyText"/>
      </w:pPr>
      <w:r>
        <w:t xml:space="preserve">가중치 선택의 타당성을 점검하기 위해 Ridge:XGBoost 비율을 0:100부터 100:0까지 10% 단위로 비교하였다. 그 결과 풀링 R^2는 80:20에서 최대 0.7969, 중위 R^2는 50:50에서 최대 0.2103을 기록하였다. 본 연구가 채택한 70:30 조합은 풀링 R^2=0.7965, 중위 R^2=0.1985로 두 지표 모두 상위 안정 구간에 위치하였다. 특히 60:40~80:20 범위가 전반적으로 우수한 구간으로 확인되었으며, 전체 가중치 범위에서 풀링 R^2 변동 폭도 3.5%p 이내에 머물렀다. 따라서 70:30은 특정 지표 하나에만 최적화된 값이라기보다, 선형 안정성과 비선형 보정의 균형을 고려한 보수적 선택으로 해석할 수 있다.</w:t>
      </w:r>
    </w:p>
    <w:bookmarkEnd w:id="16"/>
    <w:bookmarkStart w:id="17" w:name="최종-패널-데이터-구성정렬-및-사용-가능-표본"/>
    <w:p>
      <w:pPr>
        <w:pStyle w:val="Heading2"/>
      </w:pPr>
      <w:r>
        <w:t xml:space="preserve">3.5 최종 패널 데이터 구성(정렬 및 사용 가능 표본)</w:t>
      </w:r>
    </w:p>
    <w:p>
      <w:pPr>
        <w:pStyle w:val="FirstParagraph"/>
      </w:pPr>
      <w:r>
        <w:t xml:space="preserve">본 연구의 데이터는</w:t>
      </w:r>
      <w:r>
        <w:t xml:space="preserve"> </w:t>
      </w:r>
      <w:r>
        <w:t xml:space="preserve">“날짜 × 자산”</w:t>
      </w:r>
      <w:r>
        <w:t xml:space="preserve"> </w:t>
      </w:r>
      <w:r>
        <w:t xml:space="preserve">패널 형태로 구성된다. 각 날짜 t에서 피처(feature, 설명변수)는 t - 1까지의 정보로 계산하고, 타겟은 [t+1, t+h] 구간에서 계산된 전방 실현분산(로그)이다. 따라서 각 지평 h에 대해 표본의 끝부분 h일은 타겟을 계산할 수 없으므로 학습/평가에서 제외된다.</w:t>
      </w:r>
    </w:p>
    <w:p>
      <w:pPr>
        <w:pStyle w:val="BodyText"/>
      </w:pPr>
      <w:r>
        <w:t xml:space="preserve">또한 예측 지평이 긴 경우 타겟 윈도우가 겹치면서 검증 누출 가능성이 커질 수 있으므로, 학습/테스트 분할 경계와 교차검증 폴드 경계에 예측 지평 h만큼의 정화 구간을 두어 타겟 윈도우 중첩을 완화한다.</w:t>
      </w:r>
    </w:p>
    <w:bookmarkEnd w:id="17"/>
    <w:bookmarkStart w:id="18" w:name="피처features-구성-및-전처리"/>
    <w:p>
      <w:pPr>
        <w:pStyle w:val="Heading2"/>
      </w:pPr>
      <w:r>
        <w:t xml:space="preserve">3.6 피처(Features) 구성 및 전처리</w:t>
      </w:r>
    </w:p>
    <w:p>
      <w:pPr>
        <w:pStyle w:val="FirstParagraph"/>
      </w:pPr>
      <w:r>
        <w:t xml:space="preserve">피처는 (i) HAR 기반 래그, (ii) OHLC range 기반 변동성 추정량(HF proxy), (iii) IV 기간구조/VRP 통계(IV surface), (iv) 대안 데이터(alternative data; 거래량 기반 피처)로 구성된 다중 그룹을 사용한다(총 37개 피처). 모델 간 비교에서는 동일 피처 세트 조건을 유지하여 공정성을 확보한다.</w:t>
      </w:r>
    </w:p>
    <w:p>
      <w:pPr>
        <w:pStyle w:val="BodyText"/>
      </w:pPr>
      <w:r>
        <w:t xml:space="preserve">또한 피처 스케일 차이를 줄이기 위해 표준화(예: StandardScaler)를 적용하며, 스케일링 파라미터는 학습 구간에서만 추정하여 테스트 구간으로 정보가 누출되지 않도록 한다. (해당 구현 원칙은 학습/검증 절차에서 일관되게 적용된다.)</w:t>
      </w:r>
    </w:p>
    <w:bookmarkEnd w:id="18"/>
    <w:bookmarkStart w:id="19" w:name="평가-지표-및-통계적-검정"/>
    <w:p>
      <w:pPr>
        <w:pStyle w:val="Heading2"/>
      </w:pPr>
      <w:r>
        <w:t xml:space="preserve">3.7 평가 지표 및 통계적 검정</w:t>
      </w:r>
    </w:p>
    <w:p>
      <w:pPr>
        <w:pStyle w:val="FirstParagraph"/>
      </w:pPr>
      <w:r>
        <w:t xml:space="preserve">평가지표는 중위 R^2를 1순위, 풀링 R^2를 보조 지표로 보고한다(풀링 R^2는 자산 간 스케일 차이의 영향을 받을 수 있음).</w:t>
      </w:r>
    </w:p>
    <w:p>
      <w:pPr>
        <w:pStyle w:val="BodyText"/>
      </w:pPr>
      <w:r>
        <w:t xml:space="preserve">모델 간 차이의 통계적 유의성은 Diebold–Mariano(DM) 검정으로 평가한다. 예측 타겟이 일정 기간([t+1, t+h])의 평균으로 구성되어 인접한 날짜 간에 타겟 윈도우가 필연적으로 겹치므로, 예측오차 간에 최대 h-1 차 자기상관이 존재한다. 이에 따라 DM 검정에서는 지평 h를 Newey–West HAC 대역폭(bandwidth)으로 사용하여 중첩 구조에 의한 분산 과소추정을 보정한다. 장기 지평(h &gt;= 120)에서는 점근 근사의 한계를 보완하기 위해 블록 부트스트랩(block size=h, B=5,000)을 보조 검정으로 사용하여 유의성을 재확인한다.</w:t>
      </w:r>
    </w:p>
    <w:bookmarkEnd w:id="19"/>
    <w:bookmarkEnd w:id="20"/>
    <w:bookmarkStart w:id="38" w:name="실험-결과-및-논의"/>
    <w:p>
      <w:pPr>
        <w:pStyle w:val="Heading1"/>
      </w:pPr>
      <w:r>
        <w:t xml:space="preserve">4. 실험 결과 및 논의</w:t>
      </w:r>
    </w:p>
    <w:bookmarkStart w:id="22" w:name="실험-개요와-보고-원칙"/>
    <w:p>
      <w:pPr>
        <w:pStyle w:val="Heading2"/>
      </w:pPr>
      <w:r>
        <w:t xml:space="preserve">4.1 실험 개요와 보고 원칙</w:t>
      </w:r>
    </w:p>
    <w:p>
      <w:pPr>
        <w:pStyle w:val="FirstParagraph"/>
      </w:pPr>
      <w:r>
        <w:t xml:space="preserve">본 연구는 11개 ETF 패널 자료를 대상으로, 8개 예측 지평(표 1 참조)에서 3.3절의 2단계 구조에 따라 전방 실현분산을 예측하고, 내재분산 대용치와 결합해</w:t>
      </w:r>
    </w:p>
    <w:p>
      <w:pPr>
        <w:pStyle w:val="BodyText"/>
      </w:pPr>
      <w:r>
        <w:t xml:space="preserve">VRP_hat_i,t(h) = IV_t^2 - RV_hat_i,t(h)</w:t>
      </w:r>
    </w:p>
    <w:p>
      <w:pPr>
        <w:pStyle w:val="BodyText"/>
      </w:pPr>
      <w:r>
        <w:t xml:space="preserve">를 산출한다.</w:t>
      </w:r>
    </w:p>
    <w:bookmarkStart w:id="21" w:name="vrp-예측-성능의-보고-방식"/>
    <w:p>
      <w:pPr>
        <w:pStyle w:val="Heading3"/>
      </w:pPr>
      <w:r>
        <w:t xml:space="preserve">4.1.1 VRP 예측 성능의 보고 방식</w:t>
      </w:r>
    </w:p>
    <w:p>
      <w:pPr>
        <w:pStyle w:val="FirstParagraph"/>
      </w:pPr>
      <w:r>
        <w:t xml:space="preserve">본 연구에서 예측 시점의 내재분산 대용치(IV_t^2)는 이미 관측된 값이므로, VRP 예측 오차는 RV 예측 오차와 부호만 반대이고 기계적으로 절대적 크기가 동일하다. 따라서 모델 간 우열 비교와 선택은 1단계 RV 예측 성능 비교로 일관되게 수행할 수 있다.</w:t>
      </w:r>
    </w:p>
    <w:p>
      <w:pPr>
        <w:pStyle w:val="BodyText"/>
      </w:pPr>
      <w:r>
        <w:t xml:space="preserve">성능 지표는 횡단면 변동의 영향을 배제한 순수 시계열 예측력을 보기 위해 중위 R^2(자산별 R^2 중위값)를 1순위로, 풀링 R^2를 보조 지표로 보고한다.</w:t>
      </w:r>
    </w:p>
    <w:bookmarkEnd w:id="21"/>
    <w:bookmarkEnd w:id="22"/>
    <w:bookmarkStart w:id="23" w:name="지평별-대표챔피언-모델-요약"/>
    <w:p>
      <w:pPr>
        <w:pStyle w:val="Heading2"/>
      </w:pPr>
      <w:r>
        <w:t xml:space="preserve">4.2 지평별 대표(챔피언) 모델 요약</w:t>
      </w:r>
    </w:p>
    <w:p>
      <w:pPr>
        <w:pStyle w:val="FirstParagraph"/>
      </w:pPr>
      <w:r>
        <w:t xml:space="preserve">지평별로 가장 높은 성능을 보인 모델은 다음과 같이 요약된다. 1~22d 구간에서는 ElasticNet-59(풀링 R^2 0.807), 60~90d에서는 BiLSTM-A(3 range 피처, 풀링 R^2 0.796), 120d에서는 HAR-3(0.758), 180~252d에서는 Random Forest(각각 0.719, 0.705)가 가장 높은 풀링 R^2를 기록하였다. 이처럼 예측 지평이 바뀌면 유리한 모델 구조가 달라지는 패턴이 관측된다.</w:t>
      </w:r>
    </w:p>
    <w:p>
      <w:pPr>
        <w:pStyle w:val="BodyText"/>
      </w:pPr>
      <w:r>
        <w:t xml:space="preserve">1~22d 구간에서는 피처가 많을수록(특히 range/기간구조/거래량 포함) 선형 결합과 앙상블 모델이 가장 우수하였다. 반면 60~90d 지평에서는 37개 전체 피처 대신 3개의 핵심 range 피처만 압축적으로 채택한 LSTM 모델이 오히려 가장 우수한 예측력을 보였다(60d 풀링 R^2 0.796). 더 길어진 180~252d 지평에서는 트리 구조 알고리즘인 Random Forest가 가장 높은 풀링 R^2를 기록하는 이질적인 결과를 확인하였다.</w:t>
      </w:r>
    </w:p>
    <w:p>
      <w:pPr>
        <w:pStyle w:val="BodyText"/>
      </w:pPr>
      <w:r>
        <w:t xml:space="preserve">표 4는 주요 모델의 지평별 풀링 R^2를 종합적으로 비교한 것이다. 1~22d에서 WEns Ridge가 우위, 60~90d에서 BiLSTM-A이 우위, 180~252d에서 RF/HAR-3가 우위를 보이는 교차 패턴이 뚜렷이 관측된다.</w:t>
      </w:r>
    </w:p>
    <w:p>
      <w:pPr>
        <w:pStyle w:val="BodyText"/>
      </w:pPr>
      <w:r>
        <w:rPr>
          <w:b/>
          <w:bCs/>
        </w:rPr>
        <w:t xml:space="preserve">표 4. Multi-Horizon 풀링 R^2 비교 (주요 모델)</w:t>
      </w:r>
    </w:p>
    <w:tbl>
      <w:tblPr>
        <w:tblStyle w:val="Table"/>
        <w:tblW w:type="pct" w:w="5000"/>
        <w:tblLayout w:type="fixed"/>
        <w:tblLook w:firstRow="1" w:lastRow="0" w:firstColumn="0" w:lastColumn="0" w:noHBand="0" w:noVBand="0" w:val="0020"/>
      </w:tblPr>
      <w:tblGrid>
        <w:gridCol w:w="960"/>
        <w:gridCol w:w="1200"/>
        <w:gridCol w:w="1200"/>
        <w:gridCol w:w="1200"/>
        <w:gridCol w:w="1200"/>
        <w:gridCol w:w="1200"/>
        <w:gridCol w:w="960"/>
      </w:tblGrid>
      <w:tr>
        <w:trPr>
          <w:tblHeader w:val="on"/>
        </w:trPr>
        <w:tc>
          <w:tcPr/>
          <w:p>
            <w:pPr>
              <w:pStyle w:val="Compact"/>
              <w:jc w:val="left"/>
            </w:pPr>
            <w:r>
              <w:t xml:space="preserve">h</w:t>
            </w:r>
          </w:p>
        </w:tc>
        <w:tc>
          <w:tcPr/>
          <w:p>
            <w:pPr>
              <w:pStyle w:val="Compact"/>
              <w:jc w:val="center"/>
            </w:pPr>
            <w:r>
              <w:t xml:space="preserve">Ridge(37)</w:t>
            </w:r>
          </w:p>
        </w:tc>
        <w:tc>
          <w:tcPr/>
          <w:p>
            <w:pPr>
              <w:pStyle w:val="Compact"/>
              <w:jc w:val="center"/>
            </w:pPr>
            <w:r>
              <w:t xml:space="preserve">BiLSTM-A(3)</w:t>
            </w:r>
          </w:p>
        </w:tc>
        <w:tc>
          <w:tcPr/>
          <w:p>
            <w:pPr>
              <w:pStyle w:val="Compact"/>
              <w:jc w:val="center"/>
            </w:pPr>
            <w:r>
              <w:t xml:space="preserve">HAR-3(3)</w:t>
            </w:r>
          </w:p>
        </w:tc>
        <w:tc>
          <w:tcPr/>
          <w:p>
            <w:pPr>
              <w:pStyle w:val="Compact"/>
              <w:jc w:val="center"/>
            </w:pPr>
            <w:r>
              <w:t xml:space="preserve">LASSO(37)</w:t>
            </w:r>
          </w:p>
        </w:tc>
        <w:tc>
          <w:tcPr/>
          <w:p>
            <w:pPr>
              <w:pStyle w:val="Compact"/>
              <w:jc w:val="center"/>
            </w:pPr>
            <w:r>
              <w:t xml:space="preserve">RF(37)</w:t>
            </w:r>
          </w:p>
        </w:tc>
        <w:tc>
          <w:tcPr/>
          <w:p>
            <w:pPr>
              <w:pStyle w:val="Compact"/>
              <w:jc w:val="left"/>
            </w:pPr>
            <w:r>
              <w:t xml:space="preserve">Champion</w:t>
            </w:r>
          </w:p>
        </w:tc>
      </w:tr>
      <w:tr>
        <w:tc>
          <w:tcPr/>
          <w:p>
            <w:pPr>
              <w:pStyle w:val="Compact"/>
              <w:jc w:val="left"/>
            </w:pPr>
            <w:r>
              <w:t xml:space="preserve">1d</w:t>
            </w:r>
          </w:p>
        </w:tc>
        <w:tc>
          <w:tcPr/>
          <w:p>
            <w:pPr>
              <w:pStyle w:val="Compact"/>
              <w:jc w:val="center"/>
            </w:pPr>
            <w:r>
              <w:t xml:space="preserve">0.114</w:t>
            </w:r>
          </w:p>
        </w:tc>
        <w:tc>
          <w:tcPr/>
          <w:p>
            <w:pPr>
              <w:pStyle w:val="Compact"/>
              <w:jc w:val="center"/>
            </w:pPr>
            <w:r>
              <w:t xml:space="preserve">0.092</w:t>
            </w:r>
          </w:p>
        </w:tc>
        <w:tc>
          <w:tcPr/>
          <w:p>
            <w:pPr>
              <w:pStyle w:val="Compact"/>
              <w:jc w:val="center"/>
            </w:pPr>
            <w:r>
              <w:t xml:space="preserve">0.109</w:t>
            </w:r>
          </w:p>
        </w:tc>
        <w:tc>
          <w:tcPr/>
          <w:p>
            <w:pPr>
              <w:pStyle w:val="Compact"/>
              <w:jc w:val="center"/>
            </w:pPr>
            <w:r>
              <w:t xml:space="preserve">0.116</w:t>
            </w:r>
          </w:p>
        </w:tc>
        <w:tc>
          <w:tcPr/>
          <w:p>
            <w:pPr>
              <w:pStyle w:val="Compact"/>
              <w:jc w:val="center"/>
            </w:pPr>
            <w:r>
              <w:t xml:space="preserve">0.113</w:t>
            </w:r>
          </w:p>
        </w:tc>
        <w:tc>
          <w:tcPr/>
          <w:p>
            <w:pPr>
              <w:pStyle w:val="Compact"/>
              <w:jc w:val="left"/>
            </w:pPr>
            <w:r>
              <w:t xml:space="preserve">LASSO</w:t>
            </w:r>
          </w:p>
        </w:tc>
      </w:tr>
      <w:tr>
        <w:tc>
          <w:tcPr/>
          <w:p>
            <w:pPr>
              <w:pStyle w:val="Compact"/>
              <w:jc w:val="left"/>
            </w:pPr>
            <w:r>
              <w:t xml:space="preserve">5d</w:t>
            </w:r>
          </w:p>
        </w:tc>
        <w:tc>
          <w:tcPr/>
          <w:p>
            <w:pPr>
              <w:pStyle w:val="Compact"/>
              <w:jc w:val="center"/>
            </w:pPr>
            <w:r>
              <w:t xml:space="preserve">0.625</w:t>
            </w:r>
          </w:p>
        </w:tc>
        <w:tc>
          <w:tcPr/>
          <w:p>
            <w:pPr>
              <w:pStyle w:val="Compact"/>
              <w:jc w:val="center"/>
            </w:pPr>
            <w:r>
              <w:t xml:space="preserve">0.577</w:t>
            </w:r>
          </w:p>
        </w:tc>
        <w:tc>
          <w:tcPr/>
          <w:p>
            <w:pPr>
              <w:pStyle w:val="Compact"/>
              <w:jc w:val="center"/>
            </w:pPr>
            <w:r>
              <w:t xml:space="preserve">0.581</w:t>
            </w:r>
          </w:p>
        </w:tc>
        <w:tc>
          <w:tcPr/>
          <w:p>
            <w:pPr>
              <w:pStyle w:val="Compact"/>
              <w:jc w:val="center"/>
            </w:pPr>
            <w:r>
              <w:t xml:space="preserve">0.625</w:t>
            </w:r>
          </w:p>
        </w:tc>
        <w:tc>
          <w:tcPr/>
          <w:p>
            <w:pPr>
              <w:pStyle w:val="Compact"/>
              <w:jc w:val="center"/>
            </w:pPr>
            <w:r>
              <w:t xml:space="preserve">0.611</w:t>
            </w:r>
          </w:p>
        </w:tc>
        <w:tc>
          <w:tcPr/>
          <w:p>
            <w:pPr>
              <w:pStyle w:val="Compact"/>
              <w:jc w:val="left"/>
            </w:pPr>
            <w:r>
              <w:t xml:space="preserve">Ridge</w:t>
            </w:r>
          </w:p>
        </w:tc>
      </w:tr>
      <w:tr>
        <w:tc>
          <w:tcPr/>
          <w:p>
            <w:pPr>
              <w:pStyle w:val="Compact"/>
              <w:jc w:val="left"/>
            </w:pPr>
            <w:r>
              <w:t xml:space="preserve">22d</w:t>
            </w:r>
          </w:p>
        </w:tc>
        <w:tc>
          <w:tcPr/>
          <w:p>
            <w:pPr>
              <w:pStyle w:val="Compact"/>
              <w:jc w:val="center"/>
            </w:pPr>
            <w:r>
              <w:rPr>
                <w:b/>
                <w:bCs/>
              </w:rPr>
              <w:t xml:space="preserve">0.798</w:t>
            </w:r>
          </w:p>
        </w:tc>
        <w:tc>
          <w:tcPr/>
          <w:p>
            <w:pPr>
              <w:pStyle w:val="Compact"/>
              <w:jc w:val="center"/>
            </w:pPr>
            <w:r>
              <w:t xml:space="preserve">0.780</w:t>
            </w:r>
          </w:p>
        </w:tc>
        <w:tc>
          <w:tcPr/>
          <w:p>
            <w:pPr>
              <w:pStyle w:val="Compact"/>
              <w:jc w:val="center"/>
            </w:pPr>
            <w:r>
              <w:t xml:space="preserve">0.761</w:t>
            </w:r>
          </w:p>
        </w:tc>
        <w:tc>
          <w:tcPr/>
          <w:p>
            <w:pPr>
              <w:pStyle w:val="Compact"/>
              <w:jc w:val="center"/>
            </w:pPr>
            <w:r>
              <w:t xml:space="preserve">0.790</w:t>
            </w:r>
          </w:p>
        </w:tc>
        <w:tc>
          <w:tcPr/>
          <w:p>
            <w:pPr>
              <w:pStyle w:val="Compact"/>
              <w:jc w:val="center"/>
            </w:pPr>
            <w:r>
              <w:t xml:space="preserve">0.770</w:t>
            </w:r>
          </w:p>
        </w:tc>
        <w:tc>
          <w:tcPr/>
          <w:p>
            <w:pPr>
              <w:pStyle w:val="Compact"/>
              <w:jc w:val="left"/>
            </w:pPr>
            <w:r>
              <w:rPr>
                <w:b/>
                <w:bCs/>
              </w:rPr>
              <w:t xml:space="preserve">Ridge</w:t>
            </w:r>
          </w:p>
        </w:tc>
      </w:tr>
      <w:tr>
        <w:tc>
          <w:tcPr/>
          <w:p>
            <w:pPr>
              <w:pStyle w:val="Compact"/>
              <w:jc w:val="left"/>
            </w:pPr>
            <w:r>
              <w:t xml:space="preserve">60d</w:t>
            </w:r>
          </w:p>
        </w:tc>
        <w:tc>
          <w:tcPr/>
          <w:p>
            <w:pPr>
              <w:pStyle w:val="Compact"/>
              <w:jc w:val="center"/>
            </w:pPr>
            <w:r>
              <w:t xml:space="preserve">0.774</w:t>
            </w:r>
          </w:p>
        </w:tc>
        <w:tc>
          <w:tcPr/>
          <w:p>
            <w:pPr>
              <w:pStyle w:val="Compact"/>
              <w:jc w:val="center"/>
            </w:pPr>
            <w:r>
              <w:rPr>
                <w:b/>
                <w:bCs/>
              </w:rPr>
              <w:t xml:space="preserve">0.796</w:t>
            </w:r>
          </w:p>
        </w:tc>
        <w:tc>
          <w:tcPr/>
          <w:p>
            <w:pPr>
              <w:pStyle w:val="Compact"/>
              <w:jc w:val="center"/>
            </w:pPr>
            <w:r>
              <w:t xml:space="preserve">0.784</w:t>
            </w:r>
          </w:p>
        </w:tc>
        <w:tc>
          <w:tcPr/>
          <w:p>
            <w:pPr>
              <w:pStyle w:val="Compact"/>
              <w:jc w:val="center"/>
            </w:pPr>
            <w:r>
              <w:t xml:space="preserve">0.782</w:t>
            </w:r>
          </w:p>
        </w:tc>
        <w:tc>
          <w:tcPr/>
          <w:p>
            <w:pPr>
              <w:pStyle w:val="Compact"/>
              <w:jc w:val="center"/>
            </w:pPr>
            <w:r>
              <w:t xml:space="preserve">0.752</w:t>
            </w:r>
          </w:p>
        </w:tc>
        <w:tc>
          <w:tcPr/>
          <w:p>
            <w:pPr>
              <w:pStyle w:val="Compact"/>
              <w:jc w:val="left"/>
            </w:pPr>
            <w:r>
              <w:rPr>
                <w:b/>
                <w:bCs/>
              </w:rPr>
              <w:t xml:space="preserve">BiLSTM-A</w:t>
            </w:r>
          </w:p>
        </w:tc>
      </w:tr>
      <w:tr>
        <w:tc>
          <w:tcPr/>
          <w:p>
            <w:pPr>
              <w:pStyle w:val="Compact"/>
              <w:jc w:val="left"/>
            </w:pPr>
            <w:r>
              <w:t xml:space="preserve">90d</w:t>
            </w:r>
          </w:p>
        </w:tc>
        <w:tc>
          <w:tcPr/>
          <w:p>
            <w:pPr>
              <w:pStyle w:val="Compact"/>
              <w:jc w:val="center"/>
            </w:pPr>
            <w:r>
              <w:t xml:space="preserve">0.752</w:t>
            </w:r>
          </w:p>
        </w:tc>
        <w:tc>
          <w:tcPr/>
          <w:p>
            <w:pPr>
              <w:pStyle w:val="Compact"/>
              <w:jc w:val="center"/>
            </w:pPr>
            <w:r>
              <w:rPr>
                <w:b/>
                <w:bCs/>
              </w:rPr>
              <w:t xml:space="preserve">0.788</w:t>
            </w:r>
          </w:p>
        </w:tc>
        <w:tc>
          <w:tcPr/>
          <w:p>
            <w:pPr>
              <w:pStyle w:val="Compact"/>
              <w:jc w:val="center"/>
            </w:pPr>
            <w:r>
              <w:t xml:space="preserve">0.781</w:t>
            </w:r>
          </w:p>
        </w:tc>
        <w:tc>
          <w:tcPr/>
          <w:p>
            <w:pPr>
              <w:pStyle w:val="Compact"/>
              <w:jc w:val="center"/>
            </w:pPr>
            <w:r>
              <w:t xml:space="preserve">0.763</w:t>
            </w:r>
          </w:p>
        </w:tc>
        <w:tc>
          <w:tcPr/>
          <w:p>
            <w:pPr>
              <w:pStyle w:val="Compact"/>
              <w:jc w:val="center"/>
            </w:pPr>
            <w:r>
              <w:t xml:space="preserve">0.737</w:t>
            </w:r>
          </w:p>
        </w:tc>
        <w:tc>
          <w:tcPr/>
          <w:p>
            <w:pPr>
              <w:pStyle w:val="Compact"/>
              <w:jc w:val="left"/>
            </w:pPr>
            <w:r>
              <w:rPr>
                <w:b/>
                <w:bCs/>
              </w:rPr>
              <w:t xml:space="preserve">BiLSTM-A</w:t>
            </w:r>
          </w:p>
        </w:tc>
      </w:tr>
      <w:tr>
        <w:tc>
          <w:tcPr/>
          <w:p>
            <w:pPr>
              <w:pStyle w:val="Compact"/>
              <w:jc w:val="left"/>
            </w:pPr>
            <w:r>
              <w:t xml:space="preserve">120d</w:t>
            </w:r>
          </w:p>
        </w:tc>
        <w:tc>
          <w:tcPr/>
          <w:p>
            <w:pPr>
              <w:pStyle w:val="Compact"/>
              <w:jc w:val="center"/>
            </w:pPr>
            <w:r>
              <w:t xml:space="preserve">0.737</w:t>
            </w:r>
          </w:p>
        </w:tc>
        <w:tc>
          <w:tcPr/>
          <w:p>
            <w:pPr>
              <w:pStyle w:val="Compact"/>
              <w:jc w:val="center"/>
            </w:pPr>
            <w:r>
              <w:t xml:space="preserve">0.751</w:t>
            </w:r>
          </w:p>
        </w:tc>
        <w:tc>
          <w:tcPr/>
          <w:p>
            <w:pPr>
              <w:pStyle w:val="Compact"/>
              <w:jc w:val="center"/>
            </w:pPr>
            <w:r>
              <w:rPr>
                <w:b/>
                <w:bCs/>
              </w:rPr>
              <w:t xml:space="preserve">0.758</w:t>
            </w:r>
          </w:p>
        </w:tc>
        <w:tc>
          <w:tcPr/>
          <w:p>
            <w:pPr>
              <w:pStyle w:val="Compact"/>
              <w:jc w:val="center"/>
            </w:pPr>
            <w:r>
              <w:t xml:space="preserve">0.748</w:t>
            </w:r>
          </w:p>
        </w:tc>
        <w:tc>
          <w:tcPr/>
          <w:p>
            <w:pPr>
              <w:pStyle w:val="Compact"/>
              <w:jc w:val="center"/>
            </w:pPr>
            <w:r>
              <w:t xml:space="preserve">0.730</w:t>
            </w:r>
          </w:p>
        </w:tc>
        <w:tc>
          <w:tcPr/>
          <w:p>
            <w:pPr>
              <w:pStyle w:val="Compact"/>
              <w:jc w:val="left"/>
            </w:pPr>
            <w:r>
              <w:t xml:space="preserve">HAR-3</w:t>
            </w:r>
          </w:p>
        </w:tc>
      </w:tr>
      <w:tr>
        <w:tc>
          <w:tcPr/>
          <w:p>
            <w:pPr>
              <w:pStyle w:val="Compact"/>
              <w:jc w:val="left"/>
            </w:pPr>
            <w:r>
              <w:t xml:space="preserve">180d</w:t>
            </w:r>
          </w:p>
        </w:tc>
        <w:tc>
          <w:tcPr/>
          <w:p>
            <w:pPr>
              <w:pStyle w:val="Compact"/>
              <w:jc w:val="center"/>
            </w:pPr>
            <w:r>
              <w:t xml:space="preserve">0.691</w:t>
            </w:r>
          </w:p>
        </w:tc>
        <w:tc>
          <w:tcPr/>
          <w:p>
            <w:pPr>
              <w:pStyle w:val="Compact"/>
              <w:jc w:val="center"/>
            </w:pPr>
            <w:r>
              <w:t xml:space="preserve">0.708</w:t>
            </w:r>
          </w:p>
        </w:tc>
        <w:tc>
          <w:tcPr/>
          <w:p>
            <w:pPr>
              <w:pStyle w:val="Compact"/>
              <w:jc w:val="center"/>
            </w:pPr>
            <w:r>
              <w:t xml:space="preserve">0.705</w:t>
            </w:r>
          </w:p>
        </w:tc>
        <w:tc>
          <w:tcPr/>
          <w:p>
            <w:pPr>
              <w:pStyle w:val="Compact"/>
              <w:jc w:val="center"/>
            </w:pPr>
            <w:r>
              <w:t xml:space="preserve">0.707</w:t>
            </w:r>
          </w:p>
        </w:tc>
        <w:tc>
          <w:tcPr/>
          <w:p>
            <w:pPr>
              <w:pStyle w:val="Compact"/>
              <w:jc w:val="center"/>
            </w:pPr>
            <w:r>
              <w:rPr>
                <w:b/>
                <w:bCs/>
              </w:rPr>
              <w:t xml:space="preserve">0.719</w:t>
            </w:r>
          </w:p>
        </w:tc>
        <w:tc>
          <w:tcPr/>
          <w:p>
            <w:pPr>
              <w:pStyle w:val="Compact"/>
              <w:jc w:val="left"/>
            </w:pPr>
            <w:r>
              <w:rPr>
                <w:b/>
                <w:bCs/>
              </w:rPr>
              <w:t xml:space="preserve">RF</w:t>
            </w:r>
          </w:p>
        </w:tc>
      </w:tr>
      <w:tr>
        <w:tc>
          <w:tcPr/>
          <w:p>
            <w:pPr>
              <w:pStyle w:val="Compact"/>
              <w:jc w:val="left"/>
            </w:pPr>
            <w:r>
              <w:t xml:space="preserve">252d</w:t>
            </w:r>
          </w:p>
        </w:tc>
        <w:tc>
          <w:tcPr/>
          <w:p>
            <w:pPr>
              <w:pStyle w:val="Compact"/>
              <w:jc w:val="center"/>
            </w:pPr>
            <w:r>
              <w:t xml:space="preserve">0.516</w:t>
            </w:r>
          </w:p>
        </w:tc>
        <w:tc>
          <w:tcPr/>
          <w:p>
            <w:pPr>
              <w:pStyle w:val="Compact"/>
              <w:jc w:val="center"/>
            </w:pPr>
            <w:r>
              <w:t xml:space="preserve">0.589</w:t>
            </w:r>
          </w:p>
        </w:tc>
        <w:tc>
          <w:tcPr/>
          <w:p>
            <w:pPr>
              <w:pStyle w:val="Compact"/>
              <w:jc w:val="center"/>
            </w:pPr>
            <w:r>
              <w:t xml:space="preserve">0.611</w:t>
            </w:r>
          </w:p>
        </w:tc>
        <w:tc>
          <w:tcPr/>
          <w:p>
            <w:pPr>
              <w:pStyle w:val="Compact"/>
              <w:jc w:val="center"/>
            </w:pPr>
            <w:r>
              <w:t xml:space="preserve">0.555</w:t>
            </w:r>
          </w:p>
        </w:tc>
        <w:tc>
          <w:tcPr/>
          <w:p>
            <w:pPr>
              <w:pStyle w:val="Compact"/>
              <w:jc w:val="center"/>
            </w:pPr>
            <w:r>
              <w:rPr>
                <w:b/>
                <w:bCs/>
              </w:rPr>
              <w:t xml:space="preserve">0.705</w:t>
            </w:r>
          </w:p>
        </w:tc>
        <w:tc>
          <w:tcPr/>
          <w:p>
            <w:pPr>
              <w:pStyle w:val="Compact"/>
              <w:jc w:val="left"/>
            </w:pPr>
            <w:r>
              <w:rPr>
                <w:b/>
                <w:bCs/>
              </w:rPr>
              <w:t xml:space="preserve">RF</w:t>
            </w:r>
          </w:p>
        </w:tc>
      </w:tr>
    </w:tbl>
    <w:p>
      <w:pPr>
        <w:pStyle w:val="BodyText"/>
      </w:pPr>
      <w:r>
        <w:rPr>
          <w:b/>
          <w:bCs/>
        </w:rPr>
        <w:t xml:space="preserve">표 5. 지평별 챔피언 모델의 전반적 설명력(중위 R^2) 요약</w:t>
      </w:r>
    </w:p>
    <w:tbl>
      <w:tblPr>
        <w:tblStyle w:val="Table"/>
        <w:tblW w:type="pct" w:w="5000"/>
        <w:tblLayout w:type="fixed"/>
        <w:tblLook w:firstRow="1" w:lastRow="0" w:firstColumn="0" w:lastColumn="0" w:noHBand="0" w:noVBand="0" w:val="0020"/>
      </w:tblPr>
      <w:tblGrid>
        <w:gridCol w:w="1760"/>
        <w:gridCol w:w="1760"/>
        <w:gridCol w:w="2200"/>
        <w:gridCol w:w="2200"/>
      </w:tblGrid>
      <w:tr>
        <w:trPr>
          <w:tblHeader w:val="on"/>
        </w:trPr>
        <w:tc>
          <w:tcPr/>
          <w:p>
            <w:pPr>
              <w:pStyle w:val="Compact"/>
              <w:jc w:val="left"/>
            </w:pPr>
            <w:r>
              <w:t xml:space="preserve">h</w:t>
            </w:r>
          </w:p>
        </w:tc>
        <w:tc>
          <w:tcPr/>
          <w:p>
            <w:pPr>
              <w:pStyle w:val="Compact"/>
              <w:jc w:val="left"/>
            </w:pPr>
            <w:r>
              <w:t xml:space="preserve">Best Model (Type)</w:t>
            </w:r>
          </w:p>
        </w:tc>
        <w:tc>
          <w:tcPr/>
          <w:p>
            <w:pPr>
              <w:pStyle w:val="Compact"/>
              <w:jc w:val="center"/>
            </w:pPr>
            <w:r>
              <w:t xml:space="preserve">Pooled R^2</w:t>
            </w:r>
          </w:p>
        </w:tc>
        <w:tc>
          <w:tcPr/>
          <w:p>
            <w:pPr>
              <w:pStyle w:val="Compact"/>
              <w:jc w:val="center"/>
            </w:pPr>
            <w:r>
              <w:t xml:space="preserve">Median R^2</w:t>
            </w:r>
          </w:p>
        </w:tc>
      </w:tr>
      <w:tr>
        <w:tc>
          <w:tcPr/>
          <w:p>
            <w:pPr>
              <w:pStyle w:val="Compact"/>
              <w:jc w:val="left"/>
            </w:pPr>
            <w:r>
              <w:t xml:space="preserve">1d</w:t>
            </w:r>
          </w:p>
        </w:tc>
        <w:tc>
          <w:tcPr/>
          <w:p>
            <w:pPr>
              <w:pStyle w:val="Compact"/>
              <w:jc w:val="left"/>
            </w:pPr>
            <w:r>
              <w:t xml:space="preserve">LASSO (Linear)</w:t>
            </w:r>
          </w:p>
        </w:tc>
        <w:tc>
          <w:tcPr/>
          <w:p>
            <w:pPr>
              <w:pStyle w:val="Compact"/>
              <w:jc w:val="center"/>
            </w:pPr>
            <w:r>
              <w:t xml:space="preserve">0.116</w:t>
            </w:r>
          </w:p>
        </w:tc>
        <w:tc>
          <w:tcPr/>
          <w:p>
            <w:pPr>
              <w:pStyle w:val="Compact"/>
              <w:jc w:val="center"/>
            </w:pPr>
            <w:r>
              <w:t xml:space="preserve">0.019 (WEns)</w:t>
            </w:r>
          </w:p>
        </w:tc>
      </w:tr>
      <w:tr>
        <w:tc>
          <w:tcPr/>
          <w:p>
            <w:pPr>
              <w:pStyle w:val="Compact"/>
              <w:jc w:val="left"/>
            </w:pPr>
            <w:r>
              <w:t xml:space="preserve">5d</w:t>
            </w:r>
          </w:p>
        </w:tc>
        <w:tc>
          <w:tcPr/>
          <w:p>
            <w:pPr>
              <w:pStyle w:val="Compact"/>
              <w:jc w:val="left"/>
            </w:pPr>
            <w:r>
              <w:t xml:space="preserve">Ridge (Linear)</w:t>
            </w:r>
          </w:p>
        </w:tc>
        <w:tc>
          <w:tcPr/>
          <w:p>
            <w:pPr>
              <w:pStyle w:val="Compact"/>
              <w:jc w:val="center"/>
            </w:pPr>
            <w:r>
              <w:t xml:space="preserve">0.621</w:t>
            </w:r>
          </w:p>
        </w:tc>
        <w:tc>
          <w:tcPr/>
          <w:p>
            <w:pPr>
              <w:pStyle w:val="Compact"/>
              <w:jc w:val="center"/>
            </w:pPr>
            <w:r>
              <w:t xml:space="preserve">0.203 (WEns)</w:t>
            </w:r>
          </w:p>
        </w:tc>
      </w:tr>
      <w:tr>
        <w:tc>
          <w:tcPr/>
          <w:p>
            <w:pPr>
              <w:pStyle w:val="Compact"/>
              <w:jc w:val="left"/>
            </w:pPr>
            <w:r>
              <w:t xml:space="preserve">22d</w:t>
            </w:r>
          </w:p>
        </w:tc>
        <w:tc>
          <w:tcPr/>
          <w:p>
            <w:pPr>
              <w:pStyle w:val="Compact"/>
              <w:jc w:val="left"/>
            </w:pPr>
            <w:r>
              <w:t xml:space="preserve">ElasticNet-59 / WEns (Linear/Ensemble)</w:t>
            </w:r>
          </w:p>
        </w:tc>
        <w:tc>
          <w:tcPr/>
          <w:p>
            <w:pPr>
              <w:pStyle w:val="Compact"/>
              <w:jc w:val="center"/>
            </w:pPr>
            <w:r>
              <w:t xml:space="preserve">0.807 / 0.803</w:t>
            </w:r>
          </w:p>
        </w:tc>
        <w:tc>
          <w:tcPr/>
          <w:p>
            <w:pPr>
              <w:pStyle w:val="Compact"/>
              <w:jc w:val="center"/>
            </w:pPr>
            <w:r>
              <w:t xml:space="preserve">0.097 / 0.215</w:t>
            </w:r>
          </w:p>
        </w:tc>
      </w:tr>
      <w:tr>
        <w:tc>
          <w:tcPr/>
          <w:p>
            <w:pPr>
              <w:pStyle w:val="Compact"/>
              <w:jc w:val="left"/>
            </w:pPr>
            <w:r>
              <w:t xml:space="preserve">60d</w:t>
            </w:r>
          </w:p>
        </w:tc>
        <w:tc>
          <w:tcPr/>
          <w:p>
            <w:pPr>
              <w:pStyle w:val="Compact"/>
              <w:jc w:val="left"/>
            </w:pPr>
            <w:r>
              <w:t xml:space="preserve">BiLSTM-A (DL)</w:t>
            </w:r>
          </w:p>
        </w:tc>
        <w:tc>
          <w:tcPr/>
          <w:p>
            <w:pPr>
              <w:pStyle w:val="Compact"/>
              <w:jc w:val="center"/>
            </w:pPr>
            <w:r>
              <w:t xml:space="preserve">0.796</w:t>
            </w:r>
          </w:p>
        </w:tc>
        <w:tc>
          <w:tcPr/>
          <w:p>
            <w:pPr>
              <w:pStyle w:val="Compact"/>
              <w:jc w:val="center"/>
            </w:pPr>
            <w:r>
              <w:t xml:space="preserve">0.150</w:t>
            </w:r>
          </w:p>
        </w:tc>
      </w:tr>
      <w:tr>
        <w:tc>
          <w:tcPr/>
          <w:p>
            <w:pPr>
              <w:pStyle w:val="Compact"/>
              <w:jc w:val="left"/>
            </w:pPr>
            <w:r>
              <w:t xml:space="preserve">180d</w:t>
            </w:r>
          </w:p>
        </w:tc>
        <w:tc>
          <w:tcPr/>
          <w:p>
            <w:pPr>
              <w:pStyle w:val="Compact"/>
              <w:jc w:val="left"/>
            </w:pPr>
            <w:r>
              <w:t xml:space="preserve">RF (Tree)</w:t>
            </w:r>
          </w:p>
        </w:tc>
        <w:tc>
          <w:tcPr/>
          <w:p>
            <w:pPr>
              <w:pStyle w:val="Compact"/>
              <w:jc w:val="center"/>
            </w:pPr>
            <w:r>
              <w:t xml:space="preserve">0.719</w:t>
            </w:r>
          </w:p>
        </w:tc>
        <w:tc>
          <w:tcPr/>
          <w:p>
            <w:pPr>
              <w:pStyle w:val="Compact"/>
              <w:jc w:val="center"/>
            </w:pPr>
            <w:r>
              <w:t xml:space="preserve">-0.456</w:t>
            </w:r>
          </w:p>
        </w:tc>
      </w:tr>
      <w:tr>
        <w:tc>
          <w:tcPr/>
          <w:p>
            <w:pPr>
              <w:pStyle w:val="Compact"/>
              <w:jc w:val="left"/>
            </w:pPr>
            <w:r>
              <w:t xml:space="preserve">252d</w:t>
            </w:r>
          </w:p>
        </w:tc>
        <w:tc>
          <w:tcPr/>
          <w:p>
            <w:pPr>
              <w:pStyle w:val="Compact"/>
              <w:jc w:val="left"/>
            </w:pPr>
            <w:r>
              <w:t xml:space="preserve">RF (Tree)</w:t>
            </w:r>
          </w:p>
        </w:tc>
        <w:tc>
          <w:tcPr/>
          <w:p>
            <w:pPr>
              <w:pStyle w:val="Compact"/>
              <w:jc w:val="center"/>
            </w:pPr>
            <w:r>
              <w:t xml:space="preserve">0.705</w:t>
            </w:r>
          </w:p>
        </w:tc>
        <w:tc>
          <w:tcPr/>
          <w:p>
            <w:pPr>
              <w:pStyle w:val="Compact"/>
              <w:jc w:val="center"/>
            </w:pPr>
            <w:r>
              <w:t xml:space="preserve">-0.482</w:t>
            </w:r>
          </w:p>
        </w:tc>
      </w:tr>
    </w:tbl>
    <w:p>
      <w:pPr>
        <w:pStyle w:val="BlockText"/>
      </w:pPr>
      <w:r>
        <w:rPr>
          <w:b/>
          <w:bCs/>
        </w:rPr>
        <w:t xml:space="preserve">주</w:t>
      </w:r>
      <w:r>
        <w:t xml:space="preserve">: 풀링 R^2는 기저 변동성이 큰 자산에 의해 과대평가될 수 있으므로, 모델의 전반적 설명력을 가늠하는 보수적 수단으로 챔피언 모델 계열의 자산별 중위 R^2를 함께 보조 지표로 참조하였다. 장기 지평(180d 이상)으로 갈수록 중위 R^2가 음수로 돌아서며 예측이 급격히 어려워짐을 알 수 있다.</w:t>
      </w:r>
    </w:p>
    <w:bookmarkEnd w:id="23"/>
    <w:bookmarkStart w:id="26" w:name="거래일-지평에서의-주요-결과-wens-앙상블"/>
    <w:p>
      <w:pPr>
        <w:pStyle w:val="Heading2"/>
      </w:pPr>
      <w:r>
        <w:t xml:space="preserve">4.3 22거래일 지평에서의 주요 결과: WEns 앙상블</w:t>
      </w:r>
    </w:p>
    <w:p>
      <w:pPr>
        <w:pStyle w:val="FirstParagraph"/>
      </w:pPr>
      <w:r>
        <w:t xml:space="preserve">22거래일 예측에서 대표적인 최고 성능 모델은</w:t>
      </w:r>
      <w:r>
        <w:t xml:space="preserve"> </w:t>
      </w:r>
      <w:r>
        <w:rPr>
          <w:b/>
          <w:bCs/>
        </w:rPr>
        <w:t xml:space="preserve">WEns(Ridge 70% + XGBoost 30% 가중 앙상블, 37피처)</w:t>
      </w:r>
      <w:r>
        <w:t xml:space="preserve">이며, 풀링 R^2 0.803, 중위 R^2 0.215를 기록하였다.</w:t>
      </w:r>
    </w:p>
    <w:p>
      <w:pPr>
        <w:pStyle w:val="BodyText"/>
      </w:pPr>
      <w:r>
        <w:rPr>
          <w:b/>
          <w:bCs/>
        </w:rPr>
        <w:t xml:space="preserve">표 6. WEns 앙상블의 지평별 성능(발췌)</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h</w:t>
            </w:r>
          </w:p>
        </w:tc>
        <w:tc>
          <w:tcPr/>
          <w:p>
            <w:pPr>
              <w:pStyle w:val="Compact"/>
              <w:jc w:val="center"/>
            </w:pPr>
            <w:r>
              <w:t xml:space="preserve">Pooled R^2</w:t>
            </w:r>
          </w:p>
        </w:tc>
        <w:tc>
          <w:tcPr/>
          <w:p>
            <w:pPr>
              <w:pStyle w:val="Compact"/>
              <w:jc w:val="center"/>
            </w:pPr>
            <w:r>
              <w:t xml:space="preserve">RMSE</w:t>
            </w:r>
          </w:p>
        </w:tc>
        <w:tc>
          <w:tcPr/>
          <w:p>
            <w:pPr>
              <w:pStyle w:val="Compact"/>
              <w:jc w:val="center"/>
            </w:pPr>
            <w:r>
              <w:t xml:space="preserve">MAE</w:t>
            </w:r>
          </w:p>
        </w:tc>
        <w:tc>
          <w:tcPr/>
          <w:p>
            <w:pPr>
              <w:pStyle w:val="Compact"/>
              <w:jc w:val="center"/>
            </w:pPr>
            <w:r>
              <w:t xml:space="preserve">QLIKE</w:t>
            </w:r>
          </w:p>
        </w:tc>
        <w:tc>
          <w:tcPr/>
          <w:p>
            <w:pPr>
              <w:pStyle w:val="Compact"/>
              <w:jc w:val="center"/>
            </w:pPr>
            <w:r>
              <w:t xml:space="preserve">Median R^2</w:t>
            </w:r>
          </w:p>
        </w:tc>
      </w:tr>
      <w:tr>
        <w:tc>
          <w:tcPr/>
          <w:p>
            <w:pPr>
              <w:pStyle w:val="Compact"/>
              <w:jc w:val="left"/>
            </w:pPr>
            <w:r>
              <w:t xml:space="preserve">1d</w:t>
            </w:r>
          </w:p>
        </w:tc>
        <w:tc>
          <w:tcPr/>
          <w:p>
            <w:pPr>
              <w:pStyle w:val="Compact"/>
              <w:jc w:val="center"/>
            </w:pPr>
            <w:r>
              <w:t xml:space="preserve">0.1170</w:t>
            </w:r>
          </w:p>
        </w:tc>
        <w:tc>
          <w:tcPr/>
          <w:p>
            <w:pPr>
              <w:pStyle w:val="Compact"/>
              <w:jc w:val="center"/>
            </w:pPr>
            <w:r>
              <w:t xml:space="preserve">2.4922</w:t>
            </w:r>
          </w:p>
        </w:tc>
        <w:tc>
          <w:tcPr/>
          <w:p>
            <w:pPr>
              <w:pStyle w:val="Compact"/>
              <w:jc w:val="center"/>
            </w:pPr>
            <w:r>
              <w:t xml:space="preserve">1.7467</w:t>
            </w:r>
          </w:p>
        </w:tc>
        <w:tc>
          <w:tcPr/>
          <w:p>
            <w:pPr>
              <w:pStyle w:val="Compact"/>
              <w:jc w:val="center"/>
            </w:pPr>
            <w:r>
              <w:t xml:space="preserve">3.4431</w:t>
            </w:r>
          </w:p>
        </w:tc>
        <w:tc>
          <w:tcPr/>
          <w:p>
            <w:pPr>
              <w:pStyle w:val="Compact"/>
              <w:jc w:val="center"/>
            </w:pPr>
            <w:r>
              <w:t xml:space="preserve">0.0291</w:t>
            </w:r>
          </w:p>
        </w:tc>
      </w:tr>
      <w:tr>
        <w:tc>
          <w:tcPr/>
          <w:p>
            <w:pPr>
              <w:pStyle w:val="Compact"/>
              <w:jc w:val="left"/>
            </w:pPr>
            <w:r>
              <w:t xml:space="preserve">5d</w:t>
            </w:r>
          </w:p>
        </w:tc>
        <w:tc>
          <w:tcPr/>
          <w:p>
            <w:pPr>
              <w:pStyle w:val="Compact"/>
              <w:jc w:val="center"/>
            </w:pPr>
            <w:r>
              <w:t xml:space="preserve">0.6238</w:t>
            </w:r>
          </w:p>
        </w:tc>
        <w:tc>
          <w:tcPr/>
          <w:p>
            <w:pPr>
              <w:pStyle w:val="Compact"/>
              <w:jc w:val="center"/>
            </w:pPr>
            <w:r>
              <w:t xml:space="preserve">0.7490</w:t>
            </w:r>
          </w:p>
        </w:tc>
        <w:tc>
          <w:tcPr/>
          <w:p>
            <w:pPr>
              <w:pStyle w:val="Compact"/>
              <w:jc w:val="center"/>
            </w:pPr>
            <w:r>
              <w:t xml:space="preserve">0.5908</w:t>
            </w:r>
          </w:p>
        </w:tc>
        <w:tc>
          <w:tcPr/>
          <w:p>
            <w:pPr>
              <w:pStyle w:val="Compact"/>
              <w:jc w:val="center"/>
            </w:pPr>
            <w:r>
              <w:t xml:space="preserve">0.3229</w:t>
            </w:r>
          </w:p>
        </w:tc>
        <w:tc>
          <w:tcPr/>
          <w:p>
            <w:pPr>
              <w:pStyle w:val="Compact"/>
              <w:jc w:val="center"/>
            </w:pPr>
            <w:r>
              <w:t xml:space="preserve">0.1801</w:t>
            </w:r>
          </w:p>
        </w:tc>
      </w:tr>
      <w:tr>
        <w:tc>
          <w:tcPr/>
          <w:p>
            <w:pPr>
              <w:pStyle w:val="Compact"/>
              <w:jc w:val="left"/>
            </w:pPr>
            <w:r>
              <w:rPr>
                <w:b/>
                <w:bCs/>
              </w:rPr>
              <w:t xml:space="preserve">22d</w:t>
            </w:r>
          </w:p>
        </w:tc>
        <w:tc>
          <w:tcPr/>
          <w:p>
            <w:pPr>
              <w:pStyle w:val="Compact"/>
              <w:jc w:val="center"/>
            </w:pPr>
            <w:r>
              <w:rPr>
                <w:b/>
                <w:bCs/>
              </w:rPr>
              <w:t xml:space="preserve">0.7965</w:t>
            </w:r>
          </w:p>
        </w:tc>
        <w:tc>
          <w:tcPr/>
          <w:p>
            <w:pPr>
              <w:pStyle w:val="Compact"/>
              <w:jc w:val="center"/>
            </w:pPr>
            <w:r>
              <w:rPr>
                <w:b/>
                <w:bCs/>
              </w:rPr>
              <w:t xml:space="preserve">0.4683</w:t>
            </w:r>
          </w:p>
        </w:tc>
        <w:tc>
          <w:tcPr/>
          <w:p>
            <w:pPr>
              <w:pStyle w:val="Compact"/>
              <w:jc w:val="center"/>
            </w:pPr>
            <w:r>
              <w:rPr>
                <w:b/>
                <w:bCs/>
              </w:rPr>
              <w:t xml:space="preserve">0.3769</w:t>
            </w:r>
          </w:p>
        </w:tc>
        <w:tc>
          <w:tcPr/>
          <w:p>
            <w:pPr>
              <w:pStyle w:val="Compact"/>
              <w:jc w:val="center"/>
            </w:pPr>
            <w:r>
              <w:rPr>
                <w:b/>
                <w:bCs/>
              </w:rPr>
              <w:t xml:space="preserve">0.1271</w:t>
            </w:r>
          </w:p>
        </w:tc>
        <w:tc>
          <w:tcPr/>
          <w:p>
            <w:pPr>
              <w:pStyle w:val="Compact"/>
              <w:jc w:val="center"/>
            </w:pPr>
            <w:r>
              <w:rPr>
                <w:b/>
                <w:bCs/>
              </w:rPr>
              <w:t xml:space="preserve">0.1985</w:t>
            </w:r>
          </w:p>
        </w:tc>
      </w:tr>
      <w:tr>
        <w:tc>
          <w:tcPr/>
          <w:p>
            <w:pPr>
              <w:pStyle w:val="Compact"/>
              <w:jc w:val="left"/>
            </w:pPr>
            <w:r>
              <w:t xml:space="preserve">60d</w:t>
            </w:r>
          </w:p>
        </w:tc>
        <w:tc>
          <w:tcPr/>
          <w:p>
            <w:pPr>
              <w:pStyle w:val="Compact"/>
              <w:jc w:val="center"/>
            </w:pPr>
            <w:r>
              <w:t xml:space="preserve">0.7892</w:t>
            </w:r>
          </w:p>
        </w:tc>
        <w:tc>
          <w:tcPr/>
          <w:p>
            <w:pPr>
              <w:pStyle w:val="Compact"/>
              <w:jc w:val="center"/>
            </w:pPr>
            <w:r>
              <w:t xml:space="preserve">0.4557</w:t>
            </w:r>
          </w:p>
        </w:tc>
        <w:tc>
          <w:tcPr/>
          <w:p>
            <w:pPr>
              <w:pStyle w:val="Compact"/>
              <w:jc w:val="center"/>
            </w:pPr>
            <w:r>
              <w:t xml:space="preserve">0.3602</w:t>
            </w:r>
          </w:p>
        </w:tc>
        <w:tc>
          <w:tcPr/>
          <w:p>
            <w:pPr>
              <w:pStyle w:val="Compact"/>
              <w:jc w:val="center"/>
            </w:pPr>
            <w:r>
              <w:t xml:space="preserve">0.1267</w:t>
            </w:r>
          </w:p>
        </w:tc>
        <w:tc>
          <w:tcPr/>
          <w:p>
            <w:pPr>
              <w:pStyle w:val="Compact"/>
              <w:jc w:val="center"/>
            </w:pPr>
            <w:r>
              <w:t xml:space="preserve">0.0092</w:t>
            </w:r>
          </w:p>
        </w:tc>
      </w:tr>
      <w:tr>
        <w:tc>
          <w:tcPr/>
          <w:p>
            <w:pPr>
              <w:pStyle w:val="Compact"/>
              <w:jc w:val="left"/>
            </w:pPr>
            <w:r>
              <w:t xml:space="preserve">90d</w:t>
            </w:r>
          </w:p>
        </w:tc>
        <w:tc>
          <w:tcPr/>
          <w:p>
            <w:pPr>
              <w:pStyle w:val="Compact"/>
              <w:jc w:val="center"/>
            </w:pPr>
            <w:r>
              <w:t xml:space="preserve">0.7673</w:t>
            </w:r>
          </w:p>
        </w:tc>
        <w:tc>
          <w:tcPr/>
          <w:p>
            <w:pPr>
              <w:pStyle w:val="Compact"/>
              <w:jc w:val="center"/>
            </w:pPr>
            <w:r>
              <w:t xml:space="preserve">0.4711</w:t>
            </w:r>
          </w:p>
        </w:tc>
        <w:tc>
          <w:tcPr/>
          <w:p>
            <w:pPr>
              <w:pStyle w:val="Compact"/>
              <w:jc w:val="center"/>
            </w:pPr>
            <w:r>
              <w:t xml:space="preserve">0.3759</w:t>
            </w:r>
          </w:p>
        </w:tc>
        <w:tc>
          <w:tcPr/>
          <w:p>
            <w:pPr>
              <w:pStyle w:val="Compact"/>
              <w:jc w:val="center"/>
            </w:pPr>
            <w:r>
              <w:t xml:space="preserve">0.1367</w:t>
            </w:r>
          </w:p>
        </w:tc>
        <w:tc>
          <w:tcPr/>
          <w:p>
            <w:pPr>
              <w:pStyle w:val="Compact"/>
              <w:jc w:val="center"/>
            </w:pPr>
            <w:r>
              <w:t xml:space="preserve">-0.3465</w:t>
            </w:r>
          </w:p>
        </w:tc>
      </w:tr>
      <w:tr>
        <w:tc>
          <w:tcPr/>
          <w:p>
            <w:pPr>
              <w:pStyle w:val="Compact"/>
              <w:jc w:val="left"/>
            </w:pPr>
            <w:r>
              <w:t xml:space="preserve">120d</w:t>
            </w:r>
          </w:p>
        </w:tc>
        <w:tc>
          <w:tcPr/>
          <w:p>
            <w:pPr>
              <w:pStyle w:val="Compact"/>
              <w:jc w:val="center"/>
            </w:pPr>
            <w:r>
              <w:t xml:space="preserve">0.7496</w:t>
            </w:r>
          </w:p>
        </w:tc>
        <w:tc>
          <w:tcPr/>
          <w:p>
            <w:pPr>
              <w:pStyle w:val="Compact"/>
              <w:jc w:val="center"/>
            </w:pPr>
            <w:r>
              <w:t xml:space="preserve">0.4832</w:t>
            </w:r>
          </w:p>
        </w:tc>
        <w:tc>
          <w:tcPr/>
          <w:p>
            <w:pPr>
              <w:pStyle w:val="Compact"/>
              <w:jc w:val="center"/>
            </w:pPr>
            <w:r>
              <w:t xml:space="preserve">0.3863</w:t>
            </w:r>
          </w:p>
        </w:tc>
        <w:tc>
          <w:tcPr/>
          <w:p>
            <w:pPr>
              <w:pStyle w:val="Compact"/>
              <w:jc w:val="center"/>
            </w:pPr>
            <w:r>
              <w:t xml:space="preserve">0.1454</w:t>
            </w:r>
          </w:p>
        </w:tc>
        <w:tc>
          <w:tcPr/>
          <w:p>
            <w:pPr>
              <w:pStyle w:val="Compact"/>
              <w:jc w:val="center"/>
            </w:pPr>
            <w:r>
              <w:t xml:space="preserve">-0.5156</w:t>
            </w:r>
          </w:p>
        </w:tc>
      </w:tr>
      <w:tr>
        <w:tc>
          <w:tcPr/>
          <w:p>
            <w:pPr>
              <w:pStyle w:val="Compact"/>
              <w:jc w:val="left"/>
            </w:pPr>
            <w:r>
              <w:t xml:space="preserve">180d</w:t>
            </w:r>
          </w:p>
        </w:tc>
        <w:tc>
          <w:tcPr/>
          <w:p>
            <w:pPr>
              <w:pStyle w:val="Compact"/>
              <w:jc w:val="center"/>
            </w:pPr>
            <w:r>
              <w:t xml:space="preserve">0.7434</w:t>
            </w:r>
          </w:p>
        </w:tc>
        <w:tc>
          <w:tcPr/>
          <w:p>
            <w:pPr>
              <w:pStyle w:val="Compact"/>
              <w:jc w:val="center"/>
            </w:pPr>
            <w:r>
              <w:t xml:space="preserve">0.4817</w:t>
            </w:r>
          </w:p>
        </w:tc>
        <w:tc>
          <w:tcPr/>
          <w:p>
            <w:pPr>
              <w:pStyle w:val="Compact"/>
              <w:jc w:val="center"/>
            </w:pPr>
            <w:r>
              <w:t xml:space="preserve">0.3860</w:t>
            </w:r>
          </w:p>
        </w:tc>
        <w:tc>
          <w:tcPr/>
          <w:p>
            <w:pPr>
              <w:pStyle w:val="Compact"/>
              <w:jc w:val="center"/>
            </w:pPr>
            <w:r>
              <w:t xml:space="preserve">0.1451</w:t>
            </w:r>
          </w:p>
        </w:tc>
        <w:tc>
          <w:tcPr/>
          <w:p>
            <w:pPr>
              <w:pStyle w:val="Compact"/>
              <w:jc w:val="center"/>
            </w:pPr>
            <w:r>
              <w:t xml:space="preserve">-0.7267</w:t>
            </w:r>
          </w:p>
        </w:tc>
      </w:tr>
      <w:tr>
        <w:tc>
          <w:tcPr/>
          <w:p>
            <w:pPr>
              <w:pStyle w:val="Compact"/>
              <w:jc w:val="left"/>
            </w:pPr>
            <w:r>
              <w:t xml:space="preserve">252d</w:t>
            </w:r>
          </w:p>
        </w:tc>
        <w:tc>
          <w:tcPr/>
          <w:p>
            <w:pPr>
              <w:pStyle w:val="Compact"/>
              <w:jc w:val="center"/>
            </w:pPr>
            <w:r>
              <w:t xml:space="preserve">0.7034</w:t>
            </w:r>
          </w:p>
        </w:tc>
        <w:tc>
          <w:tcPr/>
          <w:p>
            <w:pPr>
              <w:pStyle w:val="Compact"/>
              <w:jc w:val="center"/>
            </w:pPr>
            <w:r>
              <w:t xml:space="preserve">0.5102</w:t>
            </w:r>
          </w:p>
        </w:tc>
        <w:tc>
          <w:tcPr/>
          <w:p>
            <w:pPr>
              <w:pStyle w:val="Compact"/>
              <w:jc w:val="center"/>
            </w:pPr>
            <w:r>
              <w:t xml:space="preserve">0.4117</w:t>
            </w:r>
          </w:p>
        </w:tc>
        <w:tc>
          <w:tcPr/>
          <w:p>
            <w:pPr>
              <w:pStyle w:val="Compact"/>
              <w:jc w:val="center"/>
            </w:pPr>
            <w:r>
              <w:t xml:space="preserve">0.1662</w:t>
            </w:r>
          </w:p>
        </w:tc>
        <w:tc>
          <w:tcPr/>
          <w:p>
            <w:pPr>
              <w:pStyle w:val="Compact"/>
              <w:jc w:val="center"/>
            </w:pPr>
            <w:r>
              <w:t xml:space="preserve">-1.8437</w:t>
            </w:r>
          </w:p>
        </w:tc>
      </w:tr>
    </w:tbl>
    <w:p>
      <w:pPr>
        <w:pStyle w:val="BodyText"/>
      </w:pPr>
      <w:r>
        <w:t xml:space="preserve">표 6에 나타나듯, WEns 앙상블은 22거래일(월간) 지평에서 최적의 예측력을 보이지만, 60거래일(분기) 이상으로 지평이 확장될 경우 시계열 설명력을 엄밀히 대변하는 중위 R^2가 음수(-) 영역으로 진입한다. 이는 단일 풀링(pooling) 모델이 180~252d 지평에서 각 자산군이 갖는 독자적인 변동성 구조를 동시에 모두 적합(fit)시키는 데 한계가 있음을 시사한다.</w:t>
      </w:r>
    </w:p>
    <w:bookmarkStart w:id="24" w:name="d-중위-r2-음수의-해석"/>
    <w:p>
      <w:pPr>
        <w:pStyle w:val="Heading3"/>
      </w:pPr>
      <w:r>
        <w:t xml:space="preserve">4.3.1 180~252d 중위 R^2 음수의 해석</w:t>
      </w:r>
    </w:p>
    <w:p>
      <w:pPr>
        <w:pStyle w:val="FirstParagraph"/>
      </w:pPr>
      <w:r>
        <w:t xml:space="preserve">장기 지평에서 중위 R^2가 음수로 전환되는 현상은 (1) Equity/Bond/Commodity 간 변동성 동학 이질성으로 인해 단일 풀링 모델이 모든 자산 패턴을 동시에 포착하기 어렵고, (2) 지평이 길어질수록 조건부 모델의 상대적 우위가 감소하여 비조건부 평균이 더 강한 예측기가 되는 SNR 감소를 반영한다. 180~252d 예측에서는 자산군별 적응 전략이 필요함을 시사한다.</w:t>
      </w:r>
    </w:p>
    <w:p>
      <w:pPr>
        <w:pStyle w:val="BodyText"/>
      </w:pPr>
      <w:r>
        <w:t xml:space="preserve">자산군별 252d 중위 R^2를 분해하면, Equity(5종) -1.82, Bond(3종) -4.31, Commodity(3종) -5.64로 채권과 원자재가 주식 대비 훨씬 낮다. 이 중 Equity 내에서도 SPY·QQQ는 양수를 유지하나 EEM·EFA는 큰 음수를 기록한다.</w:t>
      </w:r>
    </w:p>
    <w:p>
      <w:pPr>
        <w:pStyle w:val="BodyText"/>
      </w:pPr>
      <w:r>
        <w:t xml:space="preserve">채권과 원자재 자산군은 180~252d 이상 지평에서 눈에 띄게 더 낮은 R^2 성과를 보인다. 주식과 뚜렷이 구별되는 채권의 듀레이션 리스크 분포, 그리고 원자재의 콘탱고/백워데이션 구조 차이 등이 단일 풀링 모델 구축 시 교란 요인으로 작용했음을 시사한다.</w:t>
      </w:r>
    </w:p>
    <w:bookmarkEnd w:id="24"/>
    <w:bookmarkStart w:id="25" w:name="자산별-개별-예측-성능"/>
    <w:p>
      <w:pPr>
        <w:pStyle w:val="Heading3"/>
      </w:pPr>
      <w:r>
        <w:t xml:space="preserve">4.3.2 자산별 개별 예측 성능</w:t>
      </w:r>
    </w:p>
    <w:p>
      <w:pPr>
        <w:pStyle w:val="FirstParagraph"/>
      </w:pPr>
      <w:r>
        <w:t xml:space="preserve">표 7는 WEns 앙상블의 22거래일 지평에서 11개 ETF 각각의 개별 R^2를 보고한다. 풀링 R^2(0.803)는 자산 간 수준 차이(횡단면 변동)를 포함하므로 높은 값을 보이지만, 개별 자산 R^2는 순수 시계열 예측 정확도를 반영하여 상대적으로 낮다. 주식(Equity) 자산군, 특히 SPY와 QQQ가 가장 높은 개별 R^2를 기록하였으며, 채권(Bond)은 예측 난이도가 높은 것으로 나타났다.</w:t>
      </w:r>
    </w:p>
    <w:p>
      <w:pPr>
        <w:pStyle w:val="BodyText"/>
      </w:pPr>
      <w:r>
        <w:rPr>
          <w:b/>
          <w:bCs/>
        </w:rPr>
        <w:t xml:space="preserve">표 7. WEns 앙상블의 자산별 예측 성능 (22d 전방 RV)</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w:t>
            </w:r>
          </w:p>
        </w:tc>
        <w:tc>
          <w:tcPr/>
          <w:p>
            <w:pPr>
              <w:pStyle w:val="Compact"/>
              <w:jc w:val="left"/>
            </w:pPr>
            <w:r>
              <w:t xml:space="preserve">Class</w:t>
            </w:r>
          </w:p>
        </w:tc>
        <w:tc>
          <w:tcPr/>
          <w:p>
            <w:pPr>
              <w:pStyle w:val="Compact"/>
              <w:jc w:val="center"/>
            </w:pPr>
            <w:r>
              <w:t xml:space="preserve">R^2</w:t>
            </w:r>
          </w:p>
        </w:tc>
        <w:tc>
          <w:tcPr/>
          <w:p>
            <w:pPr>
              <w:pStyle w:val="Compact"/>
              <w:jc w:val="center"/>
            </w:pPr>
            <w:r>
              <w:t xml:space="preserve">RMSE</w:t>
            </w:r>
          </w:p>
        </w:tc>
        <w:tc>
          <w:tcPr/>
          <w:p>
            <w:pPr>
              <w:pStyle w:val="Compact"/>
              <w:jc w:val="left"/>
            </w:pPr>
            <w:r>
              <w:t xml:space="preserve">Rating</w:t>
            </w:r>
          </w:p>
        </w:tc>
      </w:tr>
      <w:tr>
        <w:tc>
          <w:tcPr/>
          <w:p>
            <w:pPr>
              <w:pStyle w:val="Compact"/>
              <w:jc w:val="left"/>
            </w:pPr>
            <w:r>
              <w:t xml:space="preserve">SPY</w:t>
            </w:r>
          </w:p>
        </w:tc>
        <w:tc>
          <w:tcPr/>
          <w:p>
            <w:pPr>
              <w:pStyle w:val="Compact"/>
              <w:jc w:val="left"/>
            </w:pPr>
            <w:r>
              <w:t xml:space="preserve">Equity</w:t>
            </w:r>
          </w:p>
        </w:tc>
        <w:tc>
          <w:tcPr/>
          <w:p>
            <w:pPr>
              <w:pStyle w:val="Compact"/>
              <w:jc w:val="center"/>
            </w:pPr>
            <w:r>
              <w:t xml:space="preserve">0.299</w:t>
            </w:r>
          </w:p>
        </w:tc>
        <w:tc>
          <w:tcPr/>
          <w:p>
            <w:pPr>
              <w:pStyle w:val="Compact"/>
              <w:jc w:val="center"/>
            </w:pPr>
            <w:r>
              <w:t xml:space="preserve">0.379</w:t>
            </w:r>
          </w:p>
        </w:tc>
        <w:tc>
          <w:tcPr/>
          <w:p>
            <w:pPr>
              <w:pStyle w:val="Compact"/>
              <w:jc w:val="left"/>
            </w:pPr>
            <w:r>
              <w:t xml:space="preserve">Good</w:t>
            </w:r>
          </w:p>
        </w:tc>
      </w:tr>
      <w:tr>
        <w:tc>
          <w:tcPr/>
          <w:p>
            <w:pPr>
              <w:pStyle w:val="Compact"/>
              <w:jc w:val="left"/>
            </w:pPr>
            <w:r>
              <w:t xml:space="preserve">QQQ</w:t>
            </w:r>
          </w:p>
        </w:tc>
        <w:tc>
          <w:tcPr/>
          <w:p>
            <w:pPr>
              <w:pStyle w:val="Compact"/>
              <w:jc w:val="left"/>
            </w:pPr>
            <w:r>
              <w:t xml:space="preserve">Equity</w:t>
            </w:r>
          </w:p>
        </w:tc>
        <w:tc>
          <w:tcPr/>
          <w:p>
            <w:pPr>
              <w:pStyle w:val="Compact"/>
              <w:jc w:val="center"/>
            </w:pPr>
            <w:r>
              <w:t xml:space="preserve">0.262</w:t>
            </w:r>
          </w:p>
        </w:tc>
        <w:tc>
          <w:tcPr/>
          <w:p>
            <w:pPr>
              <w:pStyle w:val="Compact"/>
              <w:jc w:val="center"/>
            </w:pPr>
            <w:r>
              <w:t xml:space="preserve">0.437</w:t>
            </w:r>
          </w:p>
        </w:tc>
        <w:tc>
          <w:tcPr/>
          <w:p>
            <w:pPr>
              <w:pStyle w:val="Compact"/>
              <w:jc w:val="left"/>
            </w:pPr>
            <w:r>
              <w:t xml:space="preserve">Good</w:t>
            </w:r>
          </w:p>
        </w:tc>
      </w:tr>
      <w:tr>
        <w:tc>
          <w:tcPr/>
          <w:p>
            <w:pPr>
              <w:pStyle w:val="Compact"/>
              <w:jc w:val="left"/>
            </w:pPr>
            <w:r>
              <w:t xml:space="preserve">IWM</w:t>
            </w:r>
          </w:p>
        </w:tc>
        <w:tc>
          <w:tcPr/>
          <w:p>
            <w:pPr>
              <w:pStyle w:val="Compact"/>
              <w:jc w:val="left"/>
            </w:pPr>
            <w:r>
              <w:t xml:space="preserve">Equity</w:t>
            </w:r>
          </w:p>
        </w:tc>
        <w:tc>
          <w:tcPr/>
          <w:p>
            <w:pPr>
              <w:pStyle w:val="Compact"/>
              <w:jc w:val="center"/>
            </w:pPr>
            <w:r>
              <w:t xml:space="preserve">0.215</w:t>
            </w:r>
          </w:p>
        </w:tc>
        <w:tc>
          <w:tcPr/>
          <w:p>
            <w:pPr>
              <w:pStyle w:val="Compact"/>
              <w:jc w:val="center"/>
            </w:pPr>
            <w:r>
              <w:t xml:space="preserve">0.409</w:t>
            </w:r>
          </w:p>
        </w:tc>
        <w:tc>
          <w:tcPr/>
          <w:p>
            <w:pPr>
              <w:pStyle w:val="Compact"/>
              <w:jc w:val="left"/>
            </w:pPr>
            <w:r>
              <w:t xml:space="preserve">Fair</w:t>
            </w:r>
          </w:p>
        </w:tc>
      </w:tr>
      <w:tr>
        <w:tc>
          <w:tcPr/>
          <w:p>
            <w:pPr>
              <w:pStyle w:val="Compact"/>
              <w:jc w:val="left"/>
            </w:pPr>
            <w:r>
              <w:t xml:space="preserve">EFA</w:t>
            </w:r>
          </w:p>
        </w:tc>
        <w:tc>
          <w:tcPr/>
          <w:p>
            <w:pPr>
              <w:pStyle w:val="Compact"/>
              <w:jc w:val="left"/>
            </w:pPr>
            <w:r>
              <w:t xml:space="preserve">Equity</w:t>
            </w:r>
          </w:p>
        </w:tc>
        <w:tc>
          <w:tcPr/>
          <w:p>
            <w:pPr>
              <w:pStyle w:val="Compact"/>
              <w:jc w:val="center"/>
            </w:pPr>
            <w:r>
              <w:t xml:space="preserve">0.139</w:t>
            </w:r>
          </w:p>
        </w:tc>
        <w:tc>
          <w:tcPr/>
          <w:p>
            <w:pPr>
              <w:pStyle w:val="Compact"/>
              <w:jc w:val="center"/>
            </w:pPr>
            <w:r>
              <w:t xml:space="preserve">0.405</w:t>
            </w:r>
          </w:p>
        </w:tc>
        <w:tc>
          <w:tcPr/>
          <w:p>
            <w:pPr>
              <w:pStyle w:val="Compact"/>
              <w:jc w:val="left"/>
            </w:pPr>
            <w:r>
              <w:t xml:space="preserve">Fair</w:t>
            </w:r>
          </w:p>
        </w:tc>
      </w:tr>
      <w:tr>
        <w:tc>
          <w:tcPr/>
          <w:p>
            <w:pPr>
              <w:pStyle w:val="Compact"/>
              <w:jc w:val="left"/>
            </w:pPr>
            <w:r>
              <w:t xml:space="preserve">EEM</w:t>
            </w:r>
          </w:p>
        </w:tc>
        <w:tc>
          <w:tcPr/>
          <w:p>
            <w:pPr>
              <w:pStyle w:val="Compact"/>
              <w:jc w:val="left"/>
            </w:pPr>
            <w:r>
              <w:t xml:space="preserve">Equity</w:t>
            </w:r>
          </w:p>
        </w:tc>
        <w:tc>
          <w:tcPr/>
          <w:p>
            <w:pPr>
              <w:pStyle w:val="Compact"/>
              <w:jc w:val="center"/>
            </w:pPr>
            <w:r>
              <w:t xml:space="preserve">0.059</w:t>
            </w:r>
          </w:p>
        </w:tc>
        <w:tc>
          <w:tcPr/>
          <w:p>
            <w:pPr>
              <w:pStyle w:val="Compact"/>
              <w:jc w:val="center"/>
            </w:pPr>
            <w:r>
              <w:t xml:space="preserve">0.441</w:t>
            </w:r>
          </w:p>
        </w:tc>
        <w:tc>
          <w:tcPr/>
          <w:p>
            <w:pPr>
              <w:pStyle w:val="Compact"/>
              <w:jc w:val="left"/>
            </w:pPr>
            <w:r>
              <w:t xml:space="preserve">Fair</w:t>
            </w:r>
          </w:p>
        </w:tc>
      </w:tr>
      <w:tr>
        <w:tc>
          <w:tcPr/>
          <w:p>
            <w:pPr>
              <w:pStyle w:val="Compact"/>
              <w:jc w:val="left"/>
            </w:pPr>
            <w:r>
              <w:t xml:space="preserve">TLT</w:t>
            </w:r>
          </w:p>
        </w:tc>
        <w:tc>
          <w:tcPr/>
          <w:p>
            <w:pPr>
              <w:pStyle w:val="Compact"/>
              <w:jc w:val="left"/>
            </w:pPr>
            <w:r>
              <w:t xml:space="preserve">Bond</w:t>
            </w:r>
          </w:p>
        </w:tc>
        <w:tc>
          <w:tcPr/>
          <w:p>
            <w:pPr>
              <w:pStyle w:val="Compact"/>
              <w:jc w:val="center"/>
            </w:pPr>
            <w:r>
              <w:t xml:space="preserve">-0.003</w:t>
            </w:r>
          </w:p>
        </w:tc>
        <w:tc>
          <w:tcPr/>
          <w:p>
            <w:pPr>
              <w:pStyle w:val="Compact"/>
              <w:jc w:val="center"/>
            </w:pPr>
            <w:r>
              <w:t xml:space="preserve">0.568</w:t>
            </w:r>
          </w:p>
        </w:tc>
        <w:tc>
          <w:tcPr/>
          <w:p>
            <w:pPr>
              <w:pStyle w:val="Compact"/>
              <w:jc w:val="left"/>
            </w:pPr>
            <w:r>
              <w:t xml:space="preserve">Poor</w:t>
            </w:r>
          </w:p>
        </w:tc>
      </w:tr>
      <w:tr>
        <w:tc>
          <w:tcPr/>
          <w:p>
            <w:pPr>
              <w:pStyle w:val="Compact"/>
              <w:jc w:val="left"/>
            </w:pPr>
            <w:r>
              <w:t xml:space="preserve">IEF</w:t>
            </w:r>
          </w:p>
        </w:tc>
        <w:tc>
          <w:tcPr/>
          <w:p>
            <w:pPr>
              <w:pStyle w:val="Compact"/>
              <w:jc w:val="left"/>
            </w:pPr>
            <w:r>
              <w:t xml:space="preserve">Bond</w:t>
            </w:r>
          </w:p>
        </w:tc>
        <w:tc>
          <w:tcPr/>
          <w:p>
            <w:pPr>
              <w:pStyle w:val="Compact"/>
              <w:jc w:val="center"/>
            </w:pPr>
            <w:r>
              <w:t xml:space="preserve">0.030</w:t>
            </w:r>
          </w:p>
        </w:tc>
        <w:tc>
          <w:tcPr/>
          <w:p>
            <w:pPr>
              <w:pStyle w:val="Compact"/>
              <w:jc w:val="center"/>
            </w:pPr>
            <w:r>
              <w:t xml:space="preserve">0.523</w:t>
            </w:r>
          </w:p>
        </w:tc>
        <w:tc>
          <w:tcPr/>
          <w:p>
            <w:pPr>
              <w:pStyle w:val="Compact"/>
              <w:jc w:val="left"/>
            </w:pPr>
            <w:r>
              <w:t xml:space="preserve">Fair</w:t>
            </w:r>
          </w:p>
        </w:tc>
      </w:tr>
      <w:tr>
        <w:tc>
          <w:tcPr/>
          <w:p>
            <w:pPr>
              <w:pStyle w:val="Compact"/>
              <w:jc w:val="left"/>
            </w:pPr>
            <w:r>
              <w:t xml:space="preserve">AGG</w:t>
            </w:r>
          </w:p>
        </w:tc>
        <w:tc>
          <w:tcPr/>
          <w:p>
            <w:pPr>
              <w:pStyle w:val="Compact"/>
              <w:jc w:val="left"/>
            </w:pPr>
            <w:r>
              <w:t xml:space="preserve">Bond</w:t>
            </w:r>
          </w:p>
        </w:tc>
        <w:tc>
          <w:tcPr/>
          <w:p>
            <w:pPr>
              <w:pStyle w:val="Compact"/>
              <w:jc w:val="center"/>
            </w:pPr>
            <w:r>
              <w:t xml:space="preserve">0.019</w:t>
            </w:r>
          </w:p>
        </w:tc>
        <w:tc>
          <w:tcPr/>
          <w:p>
            <w:pPr>
              <w:pStyle w:val="Compact"/>
              <w:jc w:val="center"/>
            </w:pPr>
            <w:r>
              <w:t xml:space="preserve">0.481</w:t>
            </w:r>
          </w:p>
        </w:tc>
        <w:tc>
          <w:tcPr/>
          <w:p>
            <w:pPr>
              <w:pStyle w:val="Compact"/>
              <w:jc w:val="left"/>
            </w:pPr>
            <w:r>
              <w:t xml:space="preserve">Fair</w:t>
            </w:r>
          </w:p>
        </w:tc>
      </w:tr>
      <w:tr>
        <w:tc>
          <w:tcPr/>
          <w:p>
            <w:pPr>
              <w:pStyle w:val="Compact"/>
              <w:jc w:val="left"/>
            </w:pPr>
            <w:r>
              <w:t xml:space="preserve">GLD</w:t>
            </w:r>
          </w:p>
        </w:tc>
        <w:tc>
          <w:tcPr/>
          <w:p>
            <w:pPr>
              <w:pStyle w:val="Compact"/>
              <w:jc w:val="left"/>
            </w:pPr>
            <w:r>
              <w:t xml:space="preserve">Commodity</w:t>
            </w:r>
          </w:p>
        </w:tc>
        <w:tc>
          <w:tcPr/>
          <w:p>
            <w:pPr>
              <w:pStyle w:val="Compact"/>
              <w:jc w:val="center"/>
            </w:pPr>
            <w:r>
              <w:t xml:space="preserve">0.105</w:t>
            </w:r>
          </w:p>
        </w:tc>
        <w:tc>
          <w:tcPr/>
          <w:p>
            <w:pPr>
              <w:pStyle w:val="Compact"/>
              <w:jc w:val="center"/>
            </w:pPr>
            <w:r>
              <w:t xml:space="preserve">0.413</w:t>
            </w:r>
          </w:p>
        </w:tc>
        <w:tc>
          <w:tcPr/>
          <w:p>
            <w:pPr>
              <w:pStyle w:val="Compact"/>
              <w:jc w:val="left"/>
            </w:pPr>
            <w:r>
              <w:t xml:space="preserve">Fair</w:t>
            </w:r>
          </w:p>
        </w:tc>
      </w:tr>
      <w:tr>
        <w:tc>
          <w:tcPr/>
          <w:p>
            <w:pPr>
              <w:pStyle w:val="Compact"/>
              <w:jc w:val="left"/>
            </w:pPr>
            <w:r>
              <w:t xml:space="preserve">SLV</w:t>
            </w:r>
          </w:p>
        </w:tc>
        <w:tc>
          <w:tcPr/>
          <w:p>
            <w:pPr>
              <w:pStyle w:val="Compact"/>
              <w:jc w:val="left"/>
            </w:pPr>
            <w:r>
              <w:t xml:space="preserve">Commodity</w:t>
            </w:r>
          </w:p>
        </w:tc>
        <w:tc>
          <w:tcPr/>
          <w:p>
            <w:pPr>
              <w:pStyle w:val="Compact"/>
              <w:jc w:val="center"/>
            </w:pPr>
            <w:r>
              <w:t xml:space="preserve">0.119</w:t>
            </w:r>
          </w:p>
        </w:tc>
        <w:tc>
          <w:tcPr/>
          <w:p>
            <w:pPr>
              <w:pStyle w:val="Compact"/>
              <w:jc w:val="center"/>
            </w:pPr>
            <w:r>
              <w:t xml:space="preserve">0.475</w:t>
            </w:r>
          </w:p>
        </w:tc>
        <w:tc>
          <w:tcPr/>
          <w:p>
            <w:pPr>
              <w:pStyle w:val="Compact"/>
              <w:jc w:val="left"/>
            </w:pPr>
            <w:r>
              <w:t xml:space="preserve">Fair</w:t>
            </w:r>
          </w:p>
        </w:tc>
      </w:tr>
      <w:tr>
        <w:tc>
          <w:tcPr/>
          <w:p>
            <w:pPr>
              <w:pStyle w:val="Compact"/>
              <w:jc w:val="left"/>
            </w:pPr>
            <w:r>
              <w:t xml:space="preserve">USO</w:t>
            </w:r>
          </w:p>
        </w:tc>
        <w:tc>
          <w:tcPr/>
          <w:p>
            <w:pPr>
              <w:pStyle w:val="Compact"/>
              <w:jc w:val="left"/>
            </w:pPr>
            <w:r>
              <w:t xml:space="preserve">Commodity</w:t>
            </w:r>
          </w:p>
        </w:tc>
        <w:tc>
          <w:tcPr/>
          <w:p>
            <w:pPr>
              <w:pStyle w:val="Compact"/>
              <w:jc w:val="center"/>
            </w:pPr>
            <w:r>
              <w:t xml:space="preserve">-0.081</w:t>
            </w:r>
          </w:p>
        </w:tc>
        <w:tc>
          <w:tcPr/>
          <w:p>
            <w:pPr>
              <w:pStyle w:val="Compact"/>
              <w:jc w:val="center"/>
            </w:pPr>
            <w:r>
              <w:t xml:space="preserve">0.592</w:t>
            </w:r>
          </w:p>
        </w:tc>
        <w:tc>
          <w:tcPr/>
          <w:p>
            <w:pPr>
              <w:pStyle w:val="Compact"/>
              <w:jc w:val="left"/>
            </w:pPr>
            <w:r>
              <w:t xml:space="preserve">Poor</w:t>
            </w:r>
          </w:p>
        </w:tc>
      </w:tr>
      <w:tr>
        <w:tc>
          <w:tcPr/>
          <w:p>
            <w:pPr>
              <w:pStyle w:val="Compact"/>
              <w:jc w:val="left"/>
            </w:pPr>
            <w:r>
              <w:rPr>
                <w:b/>
                <w:bCs/>
              </w:rPr>
              <w:t xml:space="preserve">Pooled</w:t>
            </w:r>
          </w:p>
        </w:tc>
        <w:tc>
          <w:tcPr/>
          <w:p>
            <w:pPr>
              <w:pStyle w:val="Compact"/>
              <w:jc w:val="left"/>
            </w:pPr>
            <w:r>
              <w:rPr>
                <w:b/>
                <w:bCs/>
              </w:rPr>
              <w:t xml:space="preserve">All</w:t>
            </w:r>
          </w:p>
        </w:tc>
        <w:tc>
          <w:tcPr/>
          <w:p>
            <w:pPr>
              <w:pStyle w:val="Compact"/>
              <w:jc w:val="center"/>
            </w:pPr>
            <w:r>
              <w:rPr>
                <w:b/>
                <w:bCs/>
              </w:rPr>
              <w:t xml:space="preserve">0.803</w:t>
            </w:r>
          </w:p>
        </w:tc>
        <w:tc>
          <w:tcPr/>
          <w:p>
            <w:pPr>
              <w:pStyle w:val="Compact"/>
              <w:jc w:val="center"/>
            </w:pPr>
            <w:r>
              <w:rPr>
                <w:b/>
                <w:bCs/>
              </w:rPr>
              <w:t xml:space="preserve">0.468</w:t>
            </w:r>
          </w:p>
        </w:tc>
        <w:tc>
          <w:tcPr/>
          <w:p>
            <w:pPr>
              <w:pStyle w:val="Compact"/>
              <w:jc w:val="left"/>
            </w:pPr>
            <w:r>
              <w:rPr>
                <w:b/>
                <w:bCs/>
              </w:rPr>
              <w:t xml:space="preserve">Overall</w:t>
            </w:r>
          </w:p>
        </w:tc>
      </w:tr>
    </w:tbl>
    <w:p>
      <w:pPr>
        <w:pStyle w:val="BodyText"/>
      </w:pPr>
      <w:r>
        <w:t xml:space="preserve">개별 자산 R^2와 풀링 R^2의 큰 괴리는 모델의 예측력이 상당 부분 자산 간 횡단면 변동에 의존하고 있음을 시사하며, 이는 중위 R^2를 1순위 지표로 사용하는 본 연구의 보고 방식의 타당성을 뒷받침한다.</w:t>
      </w:r>
    </w:p>
    <w:bookmarkEnd w:id="25"/>
    <w:bookmarkEnd w:id="26"/>
    <w:bookmarkStart w:id="29" w:name="모델-비교9개-모델와-핵심-관찰"/>
    <w:p>
      <w:pPr>
        <w:pStyle w:val="Heading2"/>
      </w:pPr>
      <w:r>
        <w:t xml:space="preserve">4.4 모델 비교(9개 모델)와 핵심 관찰</w:t>
      </w:r>
    </w:p>
    <w:p>
      <w:pPr>
        <w:pStyle w:val="FirstParagraph"/>
      </w:pPr>
      <w:r>
        <w:t xml:space="preserve">다음 표는 대표 8개 모델의 성능을 비교한 결과이다. 풀링 R^2 기준으로는 선형 모델(Lasso/ElasticNet)이 상위권을 차지하며, 중위 R^2 기준으로는 Random Forest가 상대적으로 높게 나타난다. SVR, MLP는 중위 R^2가 크게 음수로 나타나 안정적 일반화가 어려웠다.</w:t>
      </w:r>
    </w:p>
    <w:p>
      <w:pPr>
        <w:pStyle w:val="BodyText"/>
      </w:pPr>
      <w:r>
        <w:rPr>
          <w:b/>
          <w:bCs/>
        </w:rPr>
        <w:t xml:space="preserve">표 8. 다중 모델 비교(요약, 22d)</w:t>
      </w:r>
    </w:p>
    <w:tbl>
      <w:tblPr>
        <w:tblStyle w:val="Table"/>
        <w:tblW w:type="pct" w:w="4865"/>
        <w:tblLayout w:type="fixed"/>
        <w:tblLook w:firstRow="1" w:lastRow="0" w:firstColumn="0" w:lastColumn="0" w:noHBand="0" w:noVBand="0" w:val="0020"/>
      </w:tblPr>
      <w:tblGrid>
        <w:gridCol w:w="2996"/>
        <w:gridCol w:w="1498"/>
        <w:gridCol w:w="1605"/>
        <w:gridCol w:w="1605"/>
      </w:tblGrid>
      <w:tr>
        <w:trPr>
          <w:tblHeader w:val="on"/>
        </w:trPr>
        <w:tc>
          <w:tcPr/>
          <w:p>
            <w:pPr>
              <w:pStyle w:val="Compact"/>
              <w:jc w:val="left"/>
            </w:pPr>
            <w:r>
              <w:t xml:space="preserve">Model</w:t>
            </w:r>
          </w:p>
        </w:tc>
        <w:tc>
          <w:tcPr/>
          <w:p>
            <w:pPr>
              <w:pStyle w:val="Compact"/>
              <w:jc w:val="left"/>
            </w:pPr>
            <w:r>
              <w:t xml:space="preserve">Type</w:t>
            </w:r>
          </w:p>
        </w:tc>
        <w:tc>
          <w:tcPr/>
          <w:p>
            <w:pPr>
              <w:pStyle w:val="Compact"/>
            </w:pPr>
            <w:r>
              <w:t xml:space="preserve">Pooled R^2 Med</w:t>
            </w:r>
          </w:p>
        </w:tc>
        <w:tc>
          <w:tcPr/>
          <w:p>
            <w:pPr>
              <w:pStyle w:val="Compact"/>
              <w:jc w:val="left"/>
            </w:pPr>
            <w:r>
              <w:t xml:space="preserve">ian R^2</w:t>
            </w:r>
          </w:p>
        </w:tc>
      </w:tr>
      <w:tr>
        <w:tc>
          <w:tcPr/>
          <w:p>
            <w:pPr>
              <w:pStyle w:val="Compact"/>
              <w:jc w:val="left"/>
            </w:pPr>
            <w:r>
              <w:t xml:space="preserve">Lasso</w:t>
            </w:r>
          </w:p>
        </w:tc>
        <w:tc>
          <w:tcPr/>
          <w:p>
            <w:pPr>
              <w:pStyle w:val="Compact"/>
              <w:jc w:val="left"/>
            </w:pPr>
            <w:r>
              <w:t xml:space="preserve">Linear</w:t>
            </w:r>
          </w:p>
        </w:tc>
        <w:tc>
          <w:tcPr/>
          <w:p>
            <w:pPr>
              <w:pStyle w:val="Compact"/>
            </w:pPr>
            <w:r>
              <w:t xml:space="preserve">0.7712</w:t>
            </w:r>
          </w:p>
        </w:tc>
        <w:tc>
          <w:tcPr/>
          <w:p>
            <w:pPr>
              <w:pStyle w:val="Compact"/>
              <w:jc w:val="left"/>
            </w:pPr>
            <w:r>
              <w:t xml:space="preserve">0.0998</w:t>
            </w:r>
          </w:p>
        </w:tc>
      </w:tr>
      <w:tr>
        <w:tc>
          <w:tcPr/>
          <w:p>
            <w:pPr>
              <w:pStyle w:val="Compact"/>
              <w:jc w:val="left"/>
            </w:pPr>
            <w:r>
              <w:t xml:space="preserve">ElasticNet</w:t>
            </w:r>
          </w:p>
        </w:tc>
        <w:tc>
          <w:tcPr/>
          <w:p>
            <w:pPr>
              <w:pStyle w:val="Compact"/>
              <w:jc w:val="left"/>
            </w:pPr>
            <w:r>
              <w:t xml:space="preserve">Linear</w:t>
            </w:r>
          </w:p>
        </w:tc>
        <w:tc>
          <w:tcPr/>
          <w:p>
            <w:pPr>
              <w:pStyle w:val="Compact"/>
            </w:pPr>
            <w:r>
              <w:t xml:space="preserve">0.7696</w:t>
            </w:r>
          </w:p>
        </w:tc>
        <w:tc>
          <w:tcPr/>
          <w:p>
            <w:pPr>
              <w:pStyle w:val="Compact"/>
              <w:jc w:val="left"/>
            </w:pPr>
            <w:r>
              <w:t xml:space="preserve">0.0742</w:t>
            </w:r>
          </w:p>
        </w:tc>
      </w:tr>
      <w:tr>
        <w:tc>
          <w:tcPr/>
          <w:p>
            <w:pPr>
              <w:pStyle w:val="Compact"/>
              <w:jc w:val="left"/>
            </w:pPr>
            <w:r>
              <w:t xml:space="preserve">Ridge(pooled)</w:t>
            </w:r>
          </w:p>
        </w:tc>
        <w:tc>
          <w:tcPr/>
          <w:p>
            <w:pPr>
              <w:pStyle w:val="Compact"/>
              <w:jc w:val="left"/>
            </w:pPr>
            <w:r>
              <w:t xml:space="preserve">Linear</w:t>
            </w:r>
          </w:p>
        </w:tc>
        <w:tc>
          <w:tcPr/>
          <w:p>
            <w:pPr>
              <w:pStyle w:val="Compact"/>
            </w:pPr>
            <w:r>
              <w:t xml:space="preserve">0.7625</w:t>
            </w:r>
          </w:p>
        </w:tc>
        <w:tc>
          <w:tcPr/>
          <w:p>
            <w:pPr>
              <w:pStyle w:val="Compact"/>
              <w:jc w:val="left"/>
            </w:pPr>
            <w:r>
              <w:t xml:space="preserve">-0.0030</w:t>
            </w:r>
          </w:p>
        </w:tc>
      </w:tr>
      <w:tr>
        <w:tc>
          <w:tcPr/>
          <w:p>
            <w:pPr>
              <w:pStyle w:val="Compact"/>
              <w:jc w:val="left"/>
            </w:pPr>
            <w:r>
              <w:t xml:space="preserve">Ridge(per-class)</w:t>
            </w:r>
          </w:p>
        </w:tc>
        <w:tc>
          <w:tcPr/>
          <w:p>
            <w:pPr>
              <w:pStyle w:val="Compact"/>
              <w:jc w:val="left"/>
            </w:pPr>
            <w:r>
              <w:t xml:space="preserve">Linear</w:t>
            </w:r>
          </w:p>
        </w:tc>
        <w:tc>
          <w:tcPr/>
          <w:p>
            <w:pPr>
              <w:pStyle w:val="Compact"/>
            </w:pPr>
            <w:r>
              <w:t xml:space="preserve">0.7618</w:t>
            </w:r>
          </w:p>
        </w:tc>
        <w:tc>
          <w:tcPr/>
          <w:p>
            <w:pPr>
              <w:pStyle w:val="Compact"/>
              <w:jc w:val="left"/>
            </w:pPr>
            <w:r>
              <w:t xml:space="preserve">0.0949</w:t>
            </w:r>
          </w:p>
        </w:tc>
      </w:tr>
      <w:tr>
        <w:tc>
          <w:tcPr/>
          <w:p>
            <w:pPr>
              <w:pStyle w:val="Compact"/>
              <w:jc w:val="left"/>
            </w:pPr>
            <w:r>
              <w:t xml:space="preserve">RF</w:t>
            </w:r>
          </w:p>
        </w:tc>
        <w:tc>
          <w:tcPr/>
          <w:p>
            <w:pPr>
              <w:pStyle w:val="Compact"/>
              <w:jc w:val="left"/>
            </w:pPr>
            <w:r>
              <w:t xml:space="preserve">Tree</w:t>
            </w:r>
          </w:p>
        </w:tc>
        <w:tc>
          <w:tcPr/>
          <w:p>
            <w:pPr>
              <w:pStyle w:val="Compact"/>
            </w:pPr>
            <w:r>
              <w:t xml:space="preserve">0.7590</w:t>
            </w:r>
          </w:p>
        </w:tc>
        <w:tc>
          <w:tcPr/>
          <w:p>
            <w:pPr>
              <w:pStyle w:val="Compact"/>
              <w:jc w:val="left"/>
            </w:pPr>
            <w:r>
              <w:t xml:space="preserve">0.1424</w:t>
            </w:r>
          </w:p>
        </w:tc>
      </w:tr>
      <w:tr>
        <w:tc>
          <w:tcPr/>
          <w:p>
            <w:pPr>
              <w:pStyle w:val="Compact"/>
              <w:jc w:val="left"/>
            </w:pPr>
            <w:r>
              <w:t xml:space="preserve">LightGBM</w:t>
            </w:r>
          </w:p>
        </w:tc>
        <w:tc>
          <w:tcPr/>
          <w:p>
            <w:pPr>
              <w:pStyle w:val="Compact"/>
              <w:jc w:val="left"/>
            </w:pPr>
            <w:r>
              <w:t xml:space="preserve">Tree</w:t>
            </w:r>
          </w:p>
        </w:tc>
        <w:tc>
          <w:tcPr/>
          <w:p>
            <w:pPr>
              <w:pStyle w:val="Compact"/>
            </w:pPr>
            <w:r>
              <w:t xml:space="preserve">0.7387</w:t>
            </w:r>
          </w:p>
        </w:tc>
        <w:tc>
          <w:tcPr/>
          <w:p>
            <w:pPr>
              <w:pStyle w:val="Compact"/>
              <w:jc w:val="left"/>
            </w:pPr>
            <w:r>
              <w:t xml:space="preserve">0.0589</w:t>
            </w:r>
          </w:p>
        </w:tc>
      </w:tr>
      <w:tr>
        <w:tc>
          <w:tcPr/>
          <w:p>
            <w:pPr>
              <w:pStyle w:val="Compact"/>
              <w:jc w:val="left"/>
            </w:pPr>
            <w:r>
              <w:t xml:space="preserve">XGBoost</w:t>
            </w:r>
          </w:p>
        </w:tc>
        <w:tc>
          <w:tcPr/>
          <w:p>
            <w:pPr>
              <w:pStyle w:val="Compact"/>
              <w:jc w:val="left"/>
            </w:pPr>
            <w:r>
              <w:t xml:space="preserve">Tree</w:t>
            </w:r>
          </w:p>
        </w:tc>
        <w:tc>
          <w:tcPr/>
          <w:p>
            <w:pPr>
              <w:pStyle w:val="Compact"/>
            </w:pPr>
            <w:r>
              <w:t xml:space="preserve">0.7330</w:t>
            </w:r>
          </w:p>
        </w:tc>
        <w:tc>
          <w:tcPr/>
          <w:p>
            <w:pPr>
              <w:pStyle w:val="Compact"/>
              <w:jc w:val="left"/>
            </w:pPr>
            <w:r>
              <w:t xml:space="preserve">0.0353</w:t>
            </w:r>
          </w:p>
        </w:tc>
      </w:tr>
      <w:tr>
        <w:tc>
          <w:tcPr/>
          <w:p>
            <w:pPr>
              <w:pStyle w:val="Compact"/>
              <w:jc w:val="left"/>
            </w:pPr>
            <w:r>
              <w:t xml:space="preserve">SVR</w:t>
            </w:r>
          </w:p>
        </w:tc>
        <w:tc>
          <w:tcPr/>
          <w:p>
            <w:pPr>
              <w:pStyle w:val="Compact"/>
              <w:jc w:val="left"/>
            </w:pPr>
            <w:r>
              <w:t xml:space="preserve">Kernel</w:t>
            </w:r>
          </w:p>
        </w:tc>
        <w:tc>
          <w:tcPr/>
          <w:p>
            <w:pPr>
              <w:pStyle w:val="Compact"/>
            </w:pPr>
            <w:r>
              <w:t xml:space="preserve">0.6901</w:t>
            </w:r>
          </w:p>
        </w:tc>
        <w:tc>
          <w:tcPr/>
          <w:p>
            <w:pPr>
              <w:pStyle w:val="Compact"/>
              <w:jc w:val="left"/>
            </w:pPr>
            <w:r>
              <w:t xml:space="preserve">-0.0939</w:t>
            </w:r>
          </w:p>
        </w:tc>
      </w:tr>
      <w:tr>
        <w:tc>
          <w:tcPr/>
          <w:p>
            <w:pPr>
              <w:pStyle w:val="Compact"/>
              <w:jc w:val="left"/>
            </w:pPr>
            <w:r>
              <w:t xml:space="preserve">MLP</w:t>
            </w:r>
          </w:p>
        </w:tc>
        <w:tc>
          <w:tcPr/>
          <w:p>
            <w:pPr>
              <w:pStyle w:val="Compact"/>
              <w:jc w:val="left"/>
            </w:pPr>
            <w:r>
              <w:t xml:space="preserve">NN 0.61</w:t>
            </w:r>
          </w:p>
        </w:tc>
        <w:tc>
          <w:tcPr/>
          <w:p>
            <w:pPr>
              <w:pStyle w:val="Compact"/>
            </w:pPr>
            <w:r>
              <w:t xml:space="preserve">83 -0.3</w:t>
            </w:r>
          </w:p>
        </w:tc>
        <w:tc>
          <w:tcPr/>
          <w:p>
            <w:pPr>
              <w:pStyle w:val="Compact"/>
              <w:jc w:val="left"/>
            </w:pPr>
            <w:r>
              <w:t xml:space="preserve">266</w:t>
            </w:r>
          </w:p>
        </w:tc>
      </w:tr>
    </w:tbl>
    <w:p>
      <w:pPr>
        <w:pStyle w:val="BodyText"/>
      </w:pPr>
      <w:r>
        <w:t xml:space="preserve">이는 ’기계학습 모델의 구조가 복잡할수록 시계열 예측 성능도 우상향할 것’이라는 통념과 배치된다. 변동성 예측 환경 특유의 (i) 강한 자기상관 구조, (ii) 높은 잡음, (iii) 국면(레짐) 변화가 공존하기 때문에, 적절한 규제를 부여한 선형 모델이 테스트 구간에서 예측의 분산을 제어하며 더 안정적인 성능을 보일 수 있다.</w:t>
      </w:r>
    </w:p>
    <w:bookmarkStart w:id="27" w:name="다중-모델-공정-비교-fair-comparison"/>
    <w:p>
      <w:pPr>
        <w:pStyle w:val="Heading3"/>
      </w:pPr>
      <w:r>
        <w:t xml:space="preserve">4.4.1 다중 모델 공정 비교 (Fair Comparison)</w:t>
      </w:r>
    </w:p>
    <w:p>
      <w:pPr>
        <w:pStyle w:val="FirstParagraph"/>
      </w:pPr>
      <w:r>
        <w:t xml:space="preserve">표 9은 본 연구에서</w:t>
      </w:r>
      <w:r>
        <w:t xml:space="preserve"> </w:t>
      </w:r>
      <w:r>
        <w:rPr>
          <w:b/>
          <w:bCs/>
        </w:rPr>
        <w:t xml:space="preserve">동일 데이터(11개 ETF, 2010~2025)·동일 37개 피처·동일 검증 절차(80:20 temporal split, purge=h)</w:t>
      </w:r>
      <w:r>
        <w:t xml:space="preserve">를 적용하여 수행한 공정 비교 결과이다. 이 표의 모든 수치는 동일 조건에서 산출되었으므로 직접적인 모델 간 우열 비교가 가능하다.</w:t>
      </w:r>
    </w:p>
    <w:p>
      <w:pPr>
        <w:pStyle w:val="BodyText"/>
      </w:pPr>
      <w:r>
        <w:rPr>
          <w:b/>
          <w:bCs/>
        </w:rPr>
        <w:t xml:space="preserve">표 9. 본 연구 내 공정 비교표 (Fair Comparison, 22d)</w:t>
      </w:r>
    </w:p>
    <w:tbl>
      <w:tblPr>
        <w:tblStyle w:val="Table"/>
        <w:tblW w:type="pct" w:w="5000"/>
        <w:tblLayout w:type="fixed"/>
        <w:tblLook w:firstRow="1" w:lastRow="0" w:firstColumn="0" w:lastColumn="0" w:noHBand="0" w:noVBand="0" w:val="0020"/>
      </w:tblPr>
      <w:tblGrid>
        <w:gridCol w:w="880"/>
        <w:gridCol w:w="880"/>
        <w:gridCol w:w="1100"/>
        <w:gridCol w:w="880"/>
        <w:gridCol w:w="1100"/>
        <w:gridCol w:w="1100"/>
        <w:gridCol w:w="1100"/>
        <w:gridCol w:w="880"/>
      </w:tblGrid>
      <w:tr>
        <w:trPr>
          <w:tblHeader w:val="on"/>
        </w:trPr>
        <w:tc>
          <w:tcPr/>
          <w:p>
            <w:pPr>
              <w:pStyle w:val="Compact"/>
              <w:jc w:val="left"/>
            </w:pPr>
            <w:r>
              <w:t xml:space="preserve">Model</w:t>
            </w:r>
          </w:p>
        </w:tc>
        <w:tc>
          <w:tcPr/>
          <w:p>
            <w:pPr>
              <w:pStyle w:val="Compact"/>
              <w:jc w:val="left"/>
            </w:pPr>
            <w:r>
              <w:t xml:space="preserve">Type</w:t>
            </w:r>
          </w:p>
        </w:tc>
        <w:tc>
          <w:tcPr/>
          <w:p>
            <w:pPr>
              <w:pStyle w:val="Compact"/>
              <w:jc w:val="center"/>
            </w:pPr>
            <w:r>
              <w:t xml:space="preserve">#Feat</w:t>
            </w:r>
          </w:p>
        </w:tc>
        <w:tc>
          <w:tcPr/>
          <w:p>
            <w:pPr>
              <w:pStyle w:val="Compact"/>
              <w:jc w:val="left"/>
            </w:pPr>
            <w:r>
              <w:t xml:space="preserve">Features</w:t>
            </w:r>
          </w:p>
        </w:tc>
        <w:tc>
          <w:tcPr/>
          <w:p>
            <w:pPr>
              <w:pStyle w:val="Compact"/>
              <w:jc w:val="center"/>
            </w:pPr>
            <w:r>
              <w:t xml:space="preserve">Pooled R^2</w:t>
            </w:r>
          </w:p>
        </w:tc>
        <w:tc>
          <w:tcPr/>
          <w:p>
            <w:pPr>
              <w:pStyle w:val="Compact"/>
              <w:jc w:val="center"/>
            </w:pPr>
            <w:r>
              <w:t xml:space="preserve">Median R^2</w:t>
            </w:r>
          </w:p>
        </w:tc>
        <w:tc>
          <w:tcPr/>
          <w:p>
            <w:pPr>
              <w:pStyle w:val="Compact"/>
              <w:jc w:val="center"/>
            </w:pPr>
            <w:r>
              <w:t xml:space="preserve">RMSE</w:t>
            </w:r>
          </w:p>
        </w:tc>
        <w:tc>
          <w:tcPr/>
          <w:p>
            <w:pPr>
              <w:pStyle w:val="Compact"/>
              <w:jc w:val="left"/>
            </w:pPr>
            <w:r>
              <w:t xml:space="preserve">Note</w:t>
            </w:r>
          </w:p>
        </w:tc>
      </w:tr>
      <w:tr>
        <w:tc>
          <w:tcPr/>
          <w:p>
            <w:pPr>
              <w:pStyle w:val="Compact"/>
              <w:jc w:val="left"/>
            </w:pPr>
            <w:r>
              <w:t xml:space="preserve">GARCH(1,1)</w:t>
            </w:r>
          </w:p>
        </w:tc>
        <w:tc>
          <w:tcPr/>
          <w:p>
            <w:pPr>
              <w:pStyle w:val="Compact"/>
              <w:jc w:val="left"/>
            </w:pPr>
            <w:r>
              <w:t xml:space="preserve">TS</w:t>
            </w:r>
          </w:p>
        </w:tc>
        <w:tc>
          <w:tcPr/>
          <w:p>
            <w:pPr>
              <w:pStyle w:val="Compact"/>
              <w:jc w:val="center"/>
            </w:pPr>
            <w:r>
              <w:t xml:space="preserve">–</w:t>
            </w:r>
          </w:p>
        </w:tc>
        <w:tc>
          <w:tcPr/>
          <w:p>
            <w:pPr>
              <w:pStyle w:val="Compact"/>
              <w:jc w:val="left"/>
            </w:pPr>
            <w:r>
              <w:t xml:space="preserve">Daily log returns</w:t>
            </w:r>
          </w:p>
        </w:tc>
        <w:tc>
          <w:tcPr/>
          <w:p>
            <w:pPr>
              <w:pStyle w:val="Compact"/>
              <w:jc w:val="center"/>
            </w:pPr>
            <w:r>
              <w:t xml:space="preserve">0.6939</w:t>
            </w:r>
          </w:p>
        </w:tc>
        <w:tc>
          <w:tcPr/>
          <w:p>
            <w:pPr>
              <w:pStyle w:val="Compact"/>
              <w:jc w:val="center"/>
            </w:pPr>
            <w:r>
              <w:t xml:space="preserve">0.0273</w:t>
            </w:r>
          </w:p>
        </w:tc>
        <w:tc>
          <w:tcPr/>
          <w:p>
            <w:pPr>
              <w:pStyle w:val="Compact"/>
              <w:jc w:val="center"/>
            </w:pPr>
            <w:r>
              <w:t xml:space="preserve">0.5782</w:t>
            </w:r>
          </w:p>
        </w:tc>
        <w:tc>
          <w:tcPr/>
          <w:p>
            <w:pPr>
              <w:pStyle w:val="Compact"/>
              <w:jc w:val="left"/>
            </w:pPr>
            <w:r>
              <w:t xml:space="preserve">Traditional benchmark</w:t>
            </w:r>
          </w:p>
        </w:tc>
      </w:tr>
      <w:tr>
        <w:tc>
          <w:tcPr/>
          <w:p>
            <w:pPr>
              <w:pStyle w:val="Compact"/>
              <w:jc w:val="left"/>
            </w:pPr>
            <w:r>
              <w:t xml:space="preserve">GJR-GARCH</w:t>
            </w:r>
          </w:p>
        </w:tc>
        <w:tc>
          <w:tcPr/>
          <w:p>
            <w:pPr>
              <w:pStyle w:val="Compact"/>
              <w:jc w:val="left"/>
            </w:pPr>
            <w:r>
              <w:t xml:space="preserve">TS</w:t>
            </w:r>
          </w:p>
        </w:tc>
        <w:tc>
          <w:tcPr/>
          <w:p>
            <w:pPr>
              <w:pStyle w:val="Compact"/>
              <w:jc w:val="center"/>
            </w:pPr>
            <w:r>
              <w:t xml:space="preserve">–</w:t>
            </w:r>
          </w:p>
        </w:tc>
        <w:tc>
          <w:tcPr/>
          <w:p>
            <w:pPr>
              <w:pStyle w:val="Compact"/>
              <w:jc w:val="left"/>
            </w:pPr>
            <w:r>
              <w:t xml:space="preserve">Asymmetric returns</w:t>
            </w:r>
          </w:p>
        </w:tc>
        <w:tc>
          <w:tcPr/>
          <w:p>
            <w:pPr>
              <w:pStyle w:val="Compact"/>
              <w:jc w:val="center"/>
            </w:pPr>
            <w:r>
              <w:t xml:space="preserve">0.6989</w:t>
            </w:r>
          </w:p>
        </w:tc>
        <w:tc>
          <w:tcPr/>
          <w:p>
            <w:pPr>
              <w:pStyle w:val="Compact"/>
              <w:jc w:val="center"/>
            </w:pPr>
            <w:r>
              <w:t xml:space="preserve">-0.0066</w:t>
            </w:r>
          </w:p>
        </w:tc>
        <w:tc>
          <w:tcPr/>
          <w:p>
            <w:pPr>
              <w:pStyle w:val="Compact"/>
              <w:jc w:val="center"/>
            </w:pPr>
            <w:r>
              <w:t xml:space="preserve">0.5735</w:t>
            </w:r>
          </w:p>
        </w:tc>
        <w:tc>
          <w:tcPr/>
          <w:p>
            <w:pPr>
              <w:pStyle w:val="Compact"/>
              <w:jc w:val="left"/>
            </w:pPr>
            <w:r>
              <w:t xml:space="preserve">Asymmetry effect</w:t>
            </w:r>
          </w:p>
        </w:tc>
      </w:tr>
      <w:tr>
        <w:tc>
          <w:tcPr/>
          <w:p>
            <w:pPr>
              <w:pStyle w:val="Compact"/>
              <w:jc w:val="left"/>
            </w:pPr>
            <w:r>
              <w:t xml:space="preserve">HAR-3</w:t>
            </w:r>
          </w:p>
        </w:tc>
        <w:tc>
          <w:tcPr/>
          <w:p>
            <w:pPr>
              <w:pStyle w:val="Compact"/>
              <w:jc w:val="left"/>
            </w:pPr>
            <w:r>
              <w:t xml:space="preserve">Linear</w:t>
            </w:r>
          </w:p>
        </w:tc>
        <w:tc>
          <w:tcPr/>
          <w:p>
            <w:pPr>
              <w:pStyle w:val="Compact"/>
              <w:jc w:val="center"/>
            </w:pPr>
            <w:r>
              <w:t xml:space="preserve">3</w:t>
            </w:r>
          </w:p>
        </w:tc>
        <w:tc>
          <w:tcPr/>
          <w:p>
            <w:pPr>
              <w:pStyle w:val="Compact"/>
              <w:jc w:val="left"/>
            </w:pPr>
            <w:r>
              <w:t xml:space="preserve">RV lags</w:t>
            </w:r>
          </w:p>
        </w:tc>
        <w:tc>
          <w:tcPr/>
          <w:p>
            <w:pPr>
              <w:pStyle w:val="Compact"/>
              <w:jc w:val="center"/>
            </w:pPr>
            <w:r>
              <w:t xml:space="preserve">0.7610</w:t>
            </w:r>
          </w:p>
        </w:tc>
        <w:tc>
          <w:tcPr/>
          <w:p>
            <w:pPr>
              <w:pStyle w:val="Compact"/>
              <w:jc w:val="center"/>
            </w:pPr>
            <w:r>
              <w:t xml:space="preserve">0.1709</w:t>
            </w:r>
          </w:p>
        </w:tc>
        <w:tc>
          <w:tcPr/>
          <w:p>
            <w:pPr>
              <w:pStyle w:val="Compact"/>
              <w:jc w:val="center"/>
            </w:pPr>
            <w:r>
              <w:t xml:space="preserve">0.5415</w:t>
            </w:r>
          </w:p>
        </w:tc>
        <w:tc>
          <w:tcPr/>
          <w:p>
            <w:pPr>
              <w:pStyle w:val="Compact"/>
              <w:jc w:val="left"/>
            </w:pPr>
            <w:r>
              <w:t xml:space="preserve">Base benchmark</w:t>
            </w:r>
          </w:p>
        </w:tc>
      </w:tr>
      <w:tr>
        <w:tc>
          <w:tcPr/>
          <w:p>
            <w:pPr>
              <w:pStyle w:val="Compact"/>
              <w:jc w:val="left"/>
            </w:pPr>
            <w:r>
              <w:t xml:space="preserve">Ridge (pooled)</w:t>
            </w:r>
          </w:p>
        </w:tc>
        <w:tc>
          <w:tcPr/>
          <w:p>
            <w:pPr>
              <w:pStyle w:val="Compact"/>
              <w:jc w:val="left"/>
            </w:pPr>
            <w:r>
              <w:t xml:space="preserve">Linear</w:t>
            </w:r>
          </w:p>
        </w:tc>
        <w:tc>
          <w:tcPr/>
          <w:p>
            <w:pPr>
              <w:pStyle w:val="Compact"/>
              <w:jc w:val="center"/>
            </w:pPr>
            <w:r>
              <w:t xml:space="preserve">37</w:t>
            </w:r>
          </w:p>
        </w:tc>
        <w:tc>
          <w:tcPr/>
          <w:p>
            <w:pPr>
              <w:pStyle w:val="Compact"/>
              <w:jc w:val="left"/>
            </w:pPr>
            <w:r>
              <w:t xml:space="preserve">Full</w:t>
            </w:r>
          </w:p>
        </w:tc>
        <w:tc>
          <w:tcPr/>
          <w:p>
            <w:pPr>
              <w:pStyle w:val="Compact"/>
              <w:jc w:val="center"/>
            </w:pPr>
            <w:r>
              <w:t xml:space="preserve">0.7625</w:t>
            </w:r>
          </w:p>
        </w:tc>
        <w:tc>
          <w:tcPr/>
          <w:p>
            <w:pPr>
              <w:pStyle w:val="Compact"/>
              <w:jc w:val="center"/>
            </w:pPr>
            <w:r>
              <w:t xml:space="preserve">-0.0030</w:t>
            </w:r>
          </w:p>
        </w:tc>
        <w:tc>
          <w:tcPr/>
          <w:p>
            <w:pPr>
              <w:pStyle w:val="Compact"/>
              <w:jc w:val="center"/>
            </w:pPr>
            <w:r>
              <w:t xml:space="preserve">0.5093</w:t>
            </w:r>
          </w:p>
        </w:tc>
        <w:tc>
          <w:tcPr/>
          <w:p>
            <w:pPr>
              <w:pStyle w:val="Compact"/>
              <w:jc w:val="left"/>
            </w:pPr>
            <w:r>
              <w:t xml:space="preserve">Single pooling</w:t>
            </w:r>
          </w:p>
        </w:tc>
      </w:tr>
      <w:tr>
        <w:tc>
          <w:tcPr/>
          <w:p>
            <w:pPr>
              <w:pStyle w:val="Compact"/>
              <w:jc w:val="left"/>
            </w:pPr>
            <w:r>
              <w:t xml:space="preserve">Ridge (per-class)</w:t>
            </w:r>
          </w:p>
        </w:tc>
        <w:tc>
          <w:tcPr/>
          <w:p>
            <w:pPr>
              <w:pStyle w:val="Compact"/>
              <w:jc w:val="left"/>
            </w:pPr>
            <w:r>
              <w:t xml:space="preserve">Linear</w:t>
            </w:r>
          </w:p>
        </w:tc>
        <w:tc>
          <w:tcPr/>
          <w:p>
            <w:pPr>
              <w:pStyle w:val="Compact"/>
              <w:jc w:val="center"/>
            </w:pPr>
            <w:r>
              <w:t xml:space="preserve">37</w:t>
            </w:r>
          </w:p>
        </w:tc>
        <w:tc>
          <w:tcPr/>
          <w:p>
            <w:pPr>
              <w:pStyle w:val="Compact"/>
              <w:jc w:val="left"/>
            </w:pPr>
            <w:r>
              <w:t xml:space="preserve">Full</w:t>
            </w:r>
          </w:p>
        </w:tc>
        <w:tc>
          <w:tcPr/>
          <w:p>
            <w:pPr>
              <w:pStyle w:val="Compact"/>
              <w:jc w:val="center"/>
            </w:pPr>
            <w:r>
              <w:t xml:space="preserve">0.7618</w:t>
            </w:r>
          </w:p>
        </w:tc>
        <w:tc>
          <w:tcPr/>
          <w:p>
            <w:pPr>
              <w:pStyle w:val="Compact"/>
              <w:jc w:val="center"/>
            </w:pPr>
            <w:r>
              <w:t xml:space="preserve">0.0949</w:t>
            </w:r>
          </w:p>
        </w:tc>
        <w:tc>
          <w:tcPr/>
          <w:p>
            <w:pPr>
              <w:pStyle w:val="Compact"/>
              <w:jc w:val="center"/>
            </w:pPr>
            <w:r>
              <w:t xml:space="preserve">0.5101</w:t>
            </w:r>
          </w:p>
        </w:tc>
        <w:tc>
          <w:tcPr/>
          <w:p>
            <w:pPr>
              <w:pStyle w:val="Compact"/>
              <w:jc w:val="left"/>
            </w:pPr>
            <w:r>
              <w:t xml:space="preserve">Per-class</w:t>
            </w:r>
          </w:p>
        </w:tc>
      </w:tr>
      <w:tr>
        <w:tc>
          <w:tcPr/>
          <w:p>
            <w:pPr>
              <w:pStyle w:val="Compact"/>
              <w:jc w:val="left"/>
            </w:pPr>
            <w:r>
              <w:t xml:space="preserve">Lasso</w:t>
            </w:r>
          </w:p>
        </w:tc>
        <w:tc>
          <w:tcPr/>
          <w:p>
            <w:pPr>
              <w:pStyle w:val="Compact"/>
              <w:jc w:val="left"/>
            </w:pPr>
            <w:r>
              <w:t xml:space="preserve">Linear</w:t>
            </w:r>
          </w:p>
        </w:tc>
        <w:tc>
          <w:tcPr/>
          <w:p>
            <w:pPr>
              <w:pStyle w:val="Compact"/>
              <w:jc w:val="center"/>
            </w:pPr>
            <w:r>
              <w:t xml:space="preserve">37</w:t>
            </w:r>
          </w:p>
        </w:tc>
        <w:tc>
          <w:tcPr/>
          <w:p>
            <w:pPr>
              <w:pStyle w:val="Compact"/>
              <w:jc w:val="left"/>
            </w:pPr>
            <w:r>
              <w:t xml:space="preserve">Full</w:t>
            </w:r>
          </w:p>
        </w:tc>
        <w:tc>
          <w:tcPr/>
          <w:p>
            <w:pPr>
              <w:pStyle w:val="Compact"/>
              <w:jc w:val="center"/>
            </w:pPr>
            <w:r>
              <w:t xml:space="preserve">0.7712</w:t>
            </w:r>
          </w:p>
        </w:tc>
        <w:tc>
          <w:tcPr/>
          <w:p>
            <w:pPr>
              <w:pStyle w:val="Compact"/>
              <w:jc w:val="center"/>
            </w:pPr>
            <w:r>
              <w:t xml:space="preserve">0.0998</w:t>
            </w:r>
          </w:p>
        </w:tc>
        <w:tc>
          <w:tcPr/>
          <w:p>
            <w:pPr>
              <w:pStyle w:val="Compact"/>
              <w:jc w:val="center"/>
            </w:pPr>
            <w:r>
              <w:t xml:space="preserve">0.4999</w:t>
            </w:r>
          </w:p>
        </w:tc>
        <w:tc>
          <w:tcPr/>
          <w:p>
            <w:pPr>
              <w:pStyle w:val="Compact"/>
              <w:jc w:val="left"/>
            </w:pPr>
            <w:r>
              <w:t xml:space="preserve">L1 reg.</w:t>
            </w:r>
          </w:p>
        </w:tc>
      </w:tr>
      <w:tr>
        <w:tc>
          <w:tcPr/>
          <w:p>
            <w:pPr>
              <w:pStyle w:val="Compact"/>
              <w:jc w:val="left"/>
            </w:pPr>
            <w:r>
              <w:t xml:space="preserve">ElasticNet</w:t>
            </w:r>
          </w:p>
        </w:tc>
        <w:tc>
          <w:tcPr/>
          <w:p>
            <w:pPr>
              <w:pStyle w:val="Compact"/>
              <w:jc w:val="left"/>
            </w:pPr>
            <w:r>
              <w:t xml:space="preserve">Linear</w:t>
            </w:r>
          </w:p>
        </w:tc>
        <w:tc>
          <w:tcPr/>
          <w:p>
            <w:pPr>
              <w:pStyle w:val="Compact"/>
              <w:jc w:val="center"/>
            </w:pPr>
            <w:r>
              <w:t xml:space="preserve">37</w:t>
            </w:r>
          </w:p>
        </w:tc>
        <w:tc>
          <w:tcPr/>
          <w:p>
            <w:pPr>
              <w:pStyle w:val="Compact"/>
              <w:jc w:val="left"/>
            </w:pPr>
            <w:r>
              <w:t xml:space="preserve">Full</w:t>
            </w:r>
          </w:p>
        </w:tc>
        <w:tc>
          <w:tcPr/>
          <w:p>
            <w:pPr>
              <w:pStyle w:val="Compact"/>
              <w:jc w:val="center"/>
            </w:pPr>
            <w:r>
              <w:t xml:space="preserve">0.7696</w:t>
            </w:r>
          </w:p>
        </w:tc>
        <w:tc>
          <w:tcPr/>
          <w:p>
            <w:pPr>
              <w:pStyle w:val="Compact"/>
              <w:jc w:val="center"/>
            </w:pPr>
            <w:r>
              <w:t xml:space="preserve">0.0742</w:t>
            </w:r>
          </w:p>
        </w:tc>
        <w:tc>
          <w:tcPr/>
          <w:p>
            <w:pPr>
              <w:pStyle w:val="Compact"/>
              <w:jc w:val="center"/>
            </w:pPr>
            <w:r>
              <w:t xml:space="preserve">0.5017</w:t>
            </w:r>
          </w:p>
        </w:tc>
        <w:tc>
          <w:tcPr/>
          <w:p>
            <w:pPr>
              <w:pStyle w:val="Compact"/>
              <w:jc w:val="left"/>
            </w:pPr>
            <w:r>
              <w:t xml:space="preserve">L1+L2</w:t>
            </w:r>
          </w:p>
        </w:tc>
      </w:tr>
      <w:tr>
        <w:tc>
          <w:tcPr/>
          <w:p>
            <w:pPr>
              <w:pStyle w:val="Compact"/>
              <w:jc w:val="left"/>
            </w:pPr>
            <w:r>
              <w:t xml:space="preserve">RF</w:t>
            </w:r>
          </w:p>
        </w:tc>
        <w:tc>
          <w:tcPr/>
          <w:p>
            <w:pPr>
              <w:pStyle w:val="Compact"/>
              <w:jc w:val="left"/>
            </w:pPr>
            <w:r>
              <w:t xml:space="preserve">Tree</w:t>
            </w:r>
          </w:p>
        </w:tc>
        <w:tc>
          <w:tcPr/>
          <w:p>
            <w:pPr>
              <w:pStyle w:val="Compact"/>
              <w:jc w:val="center"/>
            </w:pPr>
            <w:r>
              <w:t xml:space="preserve">37</w:t>
            </w:r>
          </w:p>
        </w:tc>
        <w:tc>
          <w:tcPr/>
          <w:p>
            <w:pPr>
              <w:pStyle w:val="Compact"/>
              <w:jc w:val="left"/>
            </w:pPr>
            <w:r>
              <w:t xml:space="preserve">Full</w:t>
            </w:r>
          </w:p>
        </w:tc>
        <w:tc>
          <w:tcPr/>
          <w:p>
            <w:pPr>
              <w:pStyle w:val="Compact"/>
              <w:jc w:val="center"/>
            </w:pPr>
            <w:r>
              <w:t xml:space="preserve">0.7590</w:t>
            </w:r>
          </w:p>
        </w:tc>
        <w:tc>
          <w:tcPr/>
          <w:p>
            <w:pPr>
              <w:pStyle w:val="Compact"/>
              <w:jc w:val="center"/>
            </w:pPr>
            <w:r>
              <w:t xml:space="preserve">0.1424</w:t>
            </w:r>
          </w:p>
        </w:tc>
        <w:tc>
          <w:tcPr/>
          <w:p>
            <w:pPr>
              <w:pStyle w:val="Compact"/>
              <w:jc w:val="center"/>
            </w:pPr>
            <w:r>
              <w:t xml:space="preserve">0.5130</w:t>
            </w:r>
          </w:p>
        </w:tc>
        <w:tc>
          <w:tcPr/>
          <w:p>
            <w:pPr>
              <w:pStyle w:val="Compact"/>
              <w:jc w:val="left"/>
            </w:pPr>
            <w:r>
              <w:t xml:space="preserve">–</w:t>
            </w:r>
          </w:p>
        </w:tc>
      </w:tr>
      <w:tr>
        <w:tc>
          <w:tcPr/>
          <w:p>
            <w:pPr>
              <w:pStyle w:val="Compact"/>
              <w:jc w:val="left"/>
            </w:pPr>
            <w:r>
              <w:t xml:space="preserve">XGBoost</w:t>
            </w:r>
          </w:p>
        </w:tc>
        <w:tc>
          <w:tcPr/>
          <w:p>
            <w:pPr>
              <w:pStyle w:val="Compact"/>
              <w:jc w:val="left"/>
            </w:pPr>
            <w:r>
              <w:t xml:space="preserve">Tree</w:t>
            </w:r>
          </w:p>
        </w:tc>
        <w:tc>
          <w:tcPr/>
          <w:p>
            <w:pPr>
              <w:pStyle w:val="Compact"/>
              <w:jc w:val="center"/>
            </w:pPr>
            <w:r>
              <w:t xml:space="preserve">37</w:t>
            </w:r>
          </w:p>
        </w:tc>
        <w:tc>
          <w:tcPr/>
          <w:p>
            <w:pPr>
              <w:pStyle w:val="Compact"/>
              <w:jc w:val="left"/>
            </w:pPr>
            <w:r>
              <w:t xml:space="preserve">Full</w:t>
            </w:r>
          </w:p>
        </w:tc>
        <w:tc>
          <w:tcPr/>
          <w:p>
            <w:pPr>
              <w:pStyle w:val="Compact"/>
              <w:jc w:val="center"/>
            </w:pPr>
            <w:r>
              <w:t xml:space="preserve">0.7330</w:t>
            </w:r>
          </w:p>
        </w:tc>
        <w:tc>
          <w:tcPr/>
          <w:p>
            <w:pPr>
              <w:pStyle w:val="Compact"/>
              <w:jc w:val="center"/>
            </w:pPr>
            <w:r>
              <w:t xml:space="preserve">0.0353</w:t>
            </w:r>
          </w:p>
        </w:tc>
        <w:tc>
          <w:tcPr/>
          <w:p>
            <w:pPr>
              <w:pStyle w:val="Compact"/>
              <w:jc w:val="center"/>
            </w:pPr>
            <w:r>
              <w:t xml:space="preserve">0.5400</w:t>
            </w:r>
          </w:p>
        </w:tc>
        <w:tc>
          <w:tcPr/>
          <w:p>
            <w:pPr>
              <w:pStyle w:val="Compact"/>
              <w:jc w:val="left"/>
            </w:pPr>
            <w:r>
              <w:t xml:space="preserve">–</w:t>
            </w:r>
          </w:p>
        </w:tc>
      </w:tr>
      <w:tr>
        <w:tc>
          <w:tcPr/>
          <w:p>
            <w:pPr>
              <w:pStyle w:val="Compact"/>
              <w:jc w:val="left"/>
            </w:pPr>
            <w:r>
              <w:t xml:space="preserve">LightGBM</w:t>
            </w:r>
          </w:p>
        </w:tc>
        <w:tc>
          <w:tcPr/>
          <w:p>
            <w:pPr>
              <w:pStyle w:val="Compact"/>
              <w:jc w:val="left"/>
            </w:pPr>
            <w:r>
              <w:t xml:space="preserve">Tree</w:t>
            </w:r>
          </w:p>
        </w:tc>
        <w:tc>
          <w:tcPr/>
          <w:p>
            <w:pPr>
              <w:pStyle w:val="Compact"/>
              <w:jc w:val="center"/>
            </w:pPr>
            <w:r>
              <w:t xml:space="preserve">37</w:t>
            </w:r>
          </w:p>
        </w:tc>
        <w:tc>
          <w:tcPr/>
          <w:p>
            <w:pPr>
              <w:pStyle w:val="Compact"/>
              <w:jc w:val="left"/>
            </w:pPr>
            <w:r>
              <w:t xml:space="preserve">Full</w:t>
            </w:r>
          </w:p>
        </w:tc>
        <w:tc>
          <w:tcPr/>
          <w:p>
            <w:pPr>
              <w:pStyle w:val="Compact"/>
              <w:jc w:val="center"/>
            </w:pPr>
            <w:r>
              <w:t xml:space="preserve">0.7387</w:t>
            </w:r>
          </w:p>
        </w:tc>
        <w:tc>
          <w:tcPr/>
          <w:p>
            <w:pPr>
              <w:pStyle w:val="Compact"/>
              <w:jc w:val="center"/>
            </w:pPr>
            <w:r>
              <w:t xml:space="preserve">0.0589</w:t>
            </w:r>
          </w:p>
        </w:tc>
        <w:tc>
          <w:tcPr/>
          <w:p>
            <w:pPr>
              <w:pStyle w:val="Compact"/>
              <w:jc w:val="center"/>
            </w:pPr>
            <w:r>
              <w:t xml:space="preserve">0.5342</w:t>
            </w:r>
          </w:p>
        </w:tc>
        <w:tc>
          <w:tcPr/>
          <w:p>
            <w:pPr>
              <w:pStyle w:val="Compact"/>
              <w:jc w:val="left"/>
            </w:pPr>
            <w:r>
              <w:t xml:space="preserve">–</w:t>
            </w:r>
          </w:p>
        </w:tc>
      </w:tr>
      <w:tr>
        <w:tc>
          <w:tcPr/>
          <w:p>
            <w:pPr>
              <w:pStyle w:val="Compact"/>
              <w:jc w:val="left"/>
            </w:pPr>
            <w:r>
              <w:t xml:space="preserve">SVR</w:t>
            </w:r>
          </w:p>
        </w:tc>
        <w:tc>
          <w:tcPr/>
          <w:p>
            <w:pPr>
              <w:pStyle w:val="Compact"/>
              <w:jc w:val="left"/>
            </w:pPr>
            <w:r>
              <w:t xml:space="preserve">Kernel</w:t>
            </w:r>
          </w:p>
        </w:tc>
        <w:tc>
          <w:tcPr/>
          <w:p>
            <w:pPr>
              <w:pStyle w:val="Compact"/>
              <w:jc w:val="center"/>
            </w:pPr>
            <w:r>
              <w:t xml:space="preserve">37</w:t>
            </w:r>
          </w:p>
        </w:tc>
        <w:tc>
          <w:tcPr/>
          <w:p>
            <w:pPr>
              <w:pStyle w:val="Compact"/>
              <w:jc w:val="left"/>
            </w:pPr>
            <w:r>
              <w:t xml:space="preserve">Full</w:t>
            </w:r>
          </w:p>
        </w:tc>
        <w:tc>
          <w:tcPr/>
          <w:p>
            <w:pPr>
              <w:pStyle w:val="Compact"/>
              <w:jc w:val="center"/>
            </w:pPr>
            <w:r>
              <w:t xml:space="preserve">0.6901</w:t>
            </w:r>
          </w:p>
        </w:tc>
        <w:tc>
          <w:tcPr/>
          <w:p>
            <w:pPr>
              <w:pStyle w:val="Compact"/>
              <w:jc w:val="center"/>
            </w:pPr>
            <w:r>
              <w:t xml:space="preserve">-0.0939</w:t>
            </w:r>
          </w:p>
        </w:tc>
        <w:tc>
          <w:tcPr/>
          <w:p>
            <w:pPr>
              <w:pStyle w:val="Compact"/>
              <w:jc w:val="center"/>
            </w:pPr>
            <w:r>
              <w:t xml:space="preserve">0.5818</w:t>
            </w:r>
          </w:p>
        </w:tc>
        <w:tc>
          <w:tcPr/>
          <w:p>
            <w:pPr>
              <w:pStyle w:val="Compact"/>
              <w:jc w:val="left"/>
            </w:pPr>
            <w:r>
              <w:t xml:space="preserve">–</w:t>
            </w:r>
          </w:p>
        </w:tc>
      </w:tr>
      <w:tr>
        <w:tc>
          <w:tcPr/>
          <w:p>
            <w:pPr>
              <w:pStyle w:val="Compact"/>
              <w:jc w:val="left"/>
            </w:pPr>
            <w:r>
              <w:t xml:space="preserve">MLP</w:t>
            </w:r>
          </w:p>
        </w:tc>
        <w:tc>
          <w:tcPr/>
          <w:p>
            <w:pPr>
              <w:pStyle w:val="Compact"/>
              <w:jc w:val="left"/>
            </w:pPr>
            <w:r>
              <w:t xml:space="preserve">NN</w:t>
            </w:r>
          </w:p>
        </w:tc>
        <w:tc>
          <w:tcPr/>
          <w:p>
            <w:pPr>
              <w:pStyle w:val="Compact"/>
              <w:jc w:val="center"/>
            </w:pPr>
            <w:r>
              <w:t xml:space="preserve">37</w:t>
            </w:r>
          </w:p>
        </w:tc>
        <w:tc>
          <w:tcPr/>
          <w:p>
            <w:pPr>
              <w:pStyle w:val="Compact"/>
              <w:jc w:val="left"/>
            </w:pPr>
            <w:r>
              <w:t xml:space="preserve">Full</w:t>
            </w:r>
          </w:p>
        </w:tc>
        <w:tc>
          <w:tcPr/>
          <w:p>
            <w:pPr>
              <w:pStyle w:val="Compact"/>
              <w:jc w:val="center"/>
            </w:pPr>
            <w:r>
              <w:t xml:space="preserve">0.6183</w:t>
            </w:r>
          </w:p>
        </w:tc>
        <w:tc>
          <w:tcPr/>
          <w:p>
            <w:pPr>
              <w:pStyle w:val="Compact"/>
              <w:jc w:val="center"/>
            </w:pPr>
            <w:r>
              <w:t xml:space="preserve">-0.3266</w:t>
            </w:r>
          </w:p>
        </w:tc>
        <w:tc>
          <w:tcPr/>
          <w:p>
            <w:pPr>
              <w:pStyle w:val="Compact"/>
              <w:jc w:val="center"/>
            </w:pPr>
            <w:r>
              <w:t xml:space="preserve">0.6457</w:t>
            </w:r>
          </w:p>
        </w:tc>
        <w:tc>
          <w:tcPr/>
          <w:p>
            <w:pPr>
              <w:pStyle w:val="Compact"/>
              <w:jc w:val="left"/>
            </w:pPr>
            <w:r>
              <w:t xml:space="preserve">Overfitting</w:t>
            </w:r>
          </w:p>
        </w:tc>
      </w:tr>
      <w:tr>
        <w:tc>
          <w:tcPr/>
          <w:p>
            <w:pPr>
              <w:pStyle w:val="Compact"/>
              <w:jc w:val="left"/>
            </w:pPr>
            <w:r>
              <w:t xml:space="preserve">BiLSTM-A</w:t>
            </w:r>
          </w:p>
        </w:tc>
        <w:tc>
          <w:tcPr/>
          <w:p>
            <w:pPr>
              <w:pStyle w:val="Compact"/>
              <w:jc w:val="left"/>
            </w:pPr>
            <w:r>
              <w:t xml:space="preserve">DL</w:t>
            </w:r>
          </w:p>
        </w:tc>
        <w:tc>
          <w:tcPr/>
          <w:p>
            <w:pPr>
              <w:pStyle w:val="Compact"/>
              <w:jc w:val="center"/>
            </w:pPr>
            <w:r>
              <w:t xml:space="preserve">3</w:t>
            </w:r>
          </w:p>
        </w:tc>
        <w:tc>
          <w:tcPr/>
          <w:p>
            <w:pPr>
              <w:pStyle w:val="Compact"/>
              <w:jc w:val="left"/>
            </w:pPr>
            <w:r>
              <w:t xml:space="preserve">Range (RS,GK,RC)</w:t>
            </w:r>
          </w:p>
        </w:tc>
        <w:tc>
          <w:tcPr/>
          <w:p>
            <w:pPr>
              <w:pStyle w:val="Compact"/>
              <w:jc w:val="center"/>
            </w:pPr>
            <w:r>
              <w:t xml:space="preserve">0.7800</w:t>
            </w:r>
          </w:p>
        </w:tc>
        <w:tc>
          <w:tcPr/>
          <w:p>
            <w:pPr>
              <w:pStyle w:val="Compact"/>
              <w:jc w:val="center"/>
            </w:pPr>
            <w:r>
              <w:t xml:space="preserve">0.2353</w:t>
            </w:r>
          </w:p>
        </w:tc>
        <w:tc>
          <w:tcPr/>
          <w:p>
            <w:pPr>
              <w:pStyle w:val="Compact"/>
              <w:jc w:val="center"/>
            </w:pPr>
            <w:r>
              <w:t xml:space="preserve">0.4767</w:t>
            </w:r>
          </w:p>
        </w:tc>
        <w:tc>
          <w:tcPr/>
          <w:p>
            <w:pPr>
              <w:pStyle w:val="Compact"/>
              <w:jc w:val="left"/>
            </w:pPr>
            <w:r>
              <w:t xml:space="preserve">3-feat design</w:t>
            </w:r>
          </w:p>
        </w:tc>
      </w:tr>
      <w:tr>
        <w:tc>
          <w:tcPr/>
          <w:p>
            <w:pPr>
              <w:pStyle w:val="Compact"/>
              <w:jc w:val="left"/>
            </w:pPr>
            <w:r>
              <w:rPr>
                <w:b/>
                <w:bCs/>
              </w:rPr>
              <w:t xml:space="preserve">WEns</w:t>
            </w:r>
          </w:p>
        </w:tc>
        <w:tc>
          <w:tcPr/>
          <w:p>
            <w:pPr>
              <w:pStyle w:val="Compact"/>
              <w:jc w:val="left"/>
            </w:pPr>
            <w:r>
              <w:rPr>
                <w:b/>
                <w:bCs/>
              </w:rPr>
              <w:t xml:space="preserve">Ensemble</w:t>
            </w:r>
          </w:p>
        </w:tc>
        <w:tc>
          <w:tcPr/>
          <w:p>
            <w:pPr>
              <w:pStyle w:val="Compact"/>
              <w:jc w:val="center"/>
            </w:pPr>
            <w:r>
              <w:rPr>
                <w:b/>
                <w:bCs/>
              </w:rPr>
              <w:t xml:space="preserve">37</w:t>
            </w:r>
          </w:p>
        </w:tc>
        <w:tc>
          <w:tcPr/>
          <w:p>
            <w:pPr>
              <w:pStyle w:val="Compact"/>
              <w:jc w:val="left"/>
            </w:pPr>
            <w:r>
              <w:rPr>
                <w:b/>
                <w:bCs/>
              </w:rPr>
              <w:t xml:space="preserve">Full</w:t>
            </w:r>
          </w:p>
        </w:tc>
        <w:tc>
          <w:tcPr/>
          <w:p>
            <w:pPr>
              <w:pStyle w:val="Compact"/>
              <w:jc w:val="center"/>
            </w:pPr>
            <w:r>
              <w:rPr>
                <w:b/>
                <w:bCs/>
              </w:rPr>
              <w:t xml:space="preserve">0.8030</w:t>
            </w:r>
          </w:p>
        </w:tc>
        <w:tc>
          <w:tcPr/>
          <w:p>
            <w:pPr>
              <w:pStyle w:val="Compact"/>
              <w:jc w:val="center"/>
            </w:pPr>
            <w:r>
              <w:rPr>
                <w:b/>
                <w:bCs/>
              </w:rPr>
              <w:t xml:space="preserve">0.2150</w:t>
            </w:r>
          </w:p>
        </w:tc>
        <w:tc>
          <w:tcPr/>
          <w:p>
            <w:pPr>
              <w:pStyle w:val="Compact"/>
              <w:jc w:val="center"/>
            </w:pPr>
            <w:r>
              <w:rPr>
                <w:b/>
                <w:bCs/>
              </w:rPr>
              <w:t xml:space="preserve">0.4680</w:t>
            </w:r>
          </w:p>
        </w:tc>
        <w:tc>
          <w:tcPr/>
          <w:p>
            <w:pPr>
              <w:pStyle w:val="Compact"/>
              <w:jc w:val="left"/>
            </w:pPr>
            <w:r>
              <w:rPr>
                <w:b/>
                <w:bCs/>
              </w:rPr>
              <w:t xml:space="preserve">Ridge 70%+XGB 30%</w:t>
            </w:r>
          </w:p>
        </w:tc>
      </w:tr>
      <w:tr>
        <w:tc>
          <w:tcPr/>
          <w:p>
            <w:pPr>
              <w:pStyle w:val="Compact"/>
              <w:jc w:val="left"/>
            </w:pPr>
            <w:r>
              <w:rPr>
                <w:b/>
                <w:bCs/>
              </w:rPr>
              <w:t xml:space="preserve">ElasticNet-59</w:t>
            </w:r>
          </w:p>
        </w:tc>
        <w:tc>
          <w:tcPr/>
          <w:p>
            <w:pPr>
              <w:pStyle w:val="Compact"/>
              <w:jc w:val="left"/>
            </w:pPr>
            <w:r>
              <w:rPr>
                <w:b/>
                <w:bCs/>
              </w:rPr>
              <w:t xml:space="preserve">Linear</w:t>
            </w:r>
          </w:p>
        </w:tc>
        <w:tc>
          <w:tcPr/>
          <w:p>
            <w:pPr>
              <w:pStyle w:val="Compact"/>
              <w:jc w:val="center"/>
            </w:pPr>
            <w:r>
              <w:rPr>
                <w:b/>
                <w:bCs/>
              </w:rPr>
              <w:t xml:space="preserve">59</w:t>
            </w:r>
          </w:p>
        </w:tc>
        <w:tc>
          <w:tcPr/>
          <w:p>
            <w:pPr>
              <w:pStyle w:val="Compact"/>
              <w:jc w:val="left"/>
            </w:pPr>
            <w:r>
              <w:rPr>
                <w:b/>
                <w:bCs/>
              </w:rPr>
              <w:t xml:space="preserve">Extended feat.</w:t>
            </w:r>
          </w:p>
        </w:tc>
        <w:tc>
          <w:tcPr/>
          <w:p>
            <w:pPr>
              <w:pStyle w:val="Compact"/>
              <w:jc w:val="center"/>
            </w:pPr>
            <w:r>
              <w:rPr>
                <w:b/>
                <w:bCs/>
              </w:rPr>
              <w:t xml:space="preserve">0.8070</w:t>
            </w:r>
          </w:p>
        </w:tc>
        <w:tc>
          <w:tcPr/>
          <w:p>
            <w:pPr>
              <w:pStyle w:val="Compact"/>
              <w:jc w:val="center"/>
            </w:pPr>
            <w:r>
              <w:t xml:space="preserve">–</w:t>
            </w:r>
          </w:p>
        </w:tc>
        <w:tc>
          <w:tcPr/>
          <w:p>
            <w:pPr>
              <w:pStyle w:val="Compact"/>
              <w:jc w:val="center"/>
            </w:pPr>
            <w:r>
              <w:t xml:space="preserve">0.4591</w:t>
            </w:r>
          </w:p>
        </w:tc>
        <w:tc>
          <w:tcPr/>
          <w:p>
            <w:pPr>
              <w:pStyle w:val="Compact"/>
              <w:jc w:val="left"/>
            </w:pPr>
            <w:r>
              <w:rPr>
                <w:b/>
                <w:bCs/>
              </w:rPr>
              <w:t xml:space="preserve">Best pooled</w:t>
            </w:r>
          </w:p>
        </w:tc>
      </w:tr>
    </w:tbl>
    <w:p>
      <w:pPr>
        <w:pStyle w:val="BlockText"/>
      </w:pPr>
      <w:r>
        <w:rPr>
          <w:b/>
          <w:bCs/>
        </w:rPr>
        <w:t xml:space="preserve">주</w:t>
      </w:r>
      <w:r>
        <w:t xml:space="preserve">: BiLSTM-A는 과적합 방지를 위해 의도적으로 3개 range 피처만 사용하며(4.4.2절 참조), ElasticNet-59는 37개 기본 피처에 22개 cross-lag 피처를 추가한 확장 세트를 사용한다. 피처 수 차이는 불공정 비교가 아닌 각 모델의 최적 설계를 반영한 것이다.</w:t>
      </w:r>
    </w:p>
    <w:p>
      <w:pPr>
        <w:pStyle w:val="FirstParagraph"/>
      </w:pPr>
      <w:r>
        <w:t xml:space="preserve">본 연구의 모델은 두 가지 차별점을 갖는다. 첫째, 옵션 단면 데이터 없이 공개 OHLCV와 VIX 기간구조만으로 문헌에서 보고된 최고 수준의 성능(표 12 참조)에 필적하거나 이를 상회하였다. 특히, 본 프레임워크와 동일 조건에서 평가된 전통적 시계열 모델인 GARCH(1,1) 및 GJR-GARCH(22d 풀링 R^2 ≈ 0.69) 대비, 기본 선형 구조(HAR-3, 0.761)와 기계학습/정규화 앙상블(WEns, 0.803)이 예측 성능을 대폭 상회함을 입증하였다. 둘째, 단일 자산(S&amp;P 500)이 아닌 주식/채권/원자재 11개 ETF를 통합한 cross-asset 환경에서 일관되게 검증되었다.</w:t>
      </w:r>
    </w:p>
    <w:bookmarkEnd w:id="27"/>
    <w:bookmarkStart w:id="28" w:name="딥러닝-피처-통제-효과-검증"/>
    <w:p>
      <w:pPr>
        <w:pStyle w:val="Heading3"/>
      </w:pPr>
      <w:r>
        <w:t xml:space="preserve">4.4.2 딥러닝 피처 통제 효과 검증</w:t>
      </w:r>
    </w:p>
    <w:p>
      <w:pPr>
        <w:pStyle w:val="FirstParagraph"/>
      </w:pPr>
      <w:r>
        <w:t xml:space="preserve">가장 높은 성능을 낸 선형 모델(WEns) 군은 37개 구조의 전체 피처 집합을 사용한 반면, BiLSTM-A 모델은 3개의 range 피처에 국한된 설계값을 주었다는 부분에서</w:t>
      </w:r>
      <w:r>
        <w:t xml:space="preserve"> </w:t>
      </w:r>
      <w:r>
        <w:t xml:space="preserve">“선형 모델(37피처) 대 딥러닝(3변수)”</w:t>
      </w:r>
      <w:r>
        <w:t xml:space="preserve">이라는 불공정 비교(unfair comparison) 가능성이 제기될 수 있다. 이를 검증하고자 BiLSTM-A 모델에도 37피처의 전체 피처를 동일하게 적용하여 재학습시키는 공정 비교 실험을 수행하였다. 그 결과, 1~22d 지평에서 풀링 R^2가 기존 대비 큰 폭으로 하락한 0.538이 산출되었다. 더불어 대다수 개별 자산(예: SPY -0.18, QQQ -0.81) 단위에서 딥러닝 예측치가 단순 역사적 평균치를 하회하는 강한 음수 중위 R^2 궤적을 남겼다(상세 표는 부록 참조). 이는 다수 피처가 교차하는 차원의 저주 제약에서 복잡한 신경망 구조가 강한 과적합 함정에 빠진 전형적인 양상을 증빙한다. 종합하면, BiLSTM-A에 3개의 range 핵심 피처만 입력한 의사 결정이 기계적으로 설정한</w:t>
      </w:r>
      <w:r>
        <w:t xml:space="preserve"> </w:t>
      </w:r>
      <w:r>
        <w:t xml:space="preserve">“불공정한 모델 축소”</w:t>
      </w:r>
      <w:r>
        <w:t xml:space="preserve">가 아니라 딥러닝의 과적합 통제를 위해 채택했던 최적의 정교한 피처 설계 선택이었음이 확인된다. 나아가 본 예측 환경하에서는 무조건적인 은닉 층 추가 등 단순 복잡성 증가보다 사전 피처 선택과 안정적 정규화 계열 구성이 시계열 예측성에 더 핵심임을 관찰하였다.</w:t>
      </w:r>
    </w:p>
    <w:bookmarkEnd w:id="28"/>
    <w:bookmarkEnd w:id="29"/>
    <w:bookmarkStart w:id="33" w:name="피처-기여-분석ablation"/>
    <w:p>
      <w:pPr>
        <w:pStyle w:val="Heading2"/>
      </w:pPr>
      <w:r>
        <w:t xml:space="preserve">4.5 피처 기여 분석(Ablation)</w:t>
      </w:r>
    </w:p>
    <w:p>
      <w:pPr>
        <w:pStyle w:val="FirstParagraph"/>
      </w:pPr>
      <w:r>
        <w:t xml:space="preserve">피처 그룹이 실제로 예측력에 기여하는지 확인하기 위해 서브셋 실험을 수행하였다. 그 결과, HAR+Range(8피처) 조합이 풀링 R^2와 중위 R^2 모두에서 강한 성능을 보였고, 단순히 피처를 많이 넣는다고 성능이 항상 증가하지는 않았다.</w:t>
      </w:r>
    </w:p>
    <w:p>
      <w:pPr>
        <w:pStyle w:val="BodyText"/>
      </w:pPr>
      <w:r>
        <w:rPr>
          <w:b/>
          <w:bCs/>
        </w:rPr>
        <w:t xml:space="preserve">표 10. 피처 서브셋 Ablation(요약, 22d)</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left"/>
            </w:pPr>
            <w:r>
              <w:t xml:space="preserve">Subset</w:t>
            </w:r>
          </w:p>
        </w:tc>
        <w:tc>
          <w:tcPr/>
          <w:p>
            <w:pPr>
              <w:pStyle w:val="Compact"/>
            </w:pPr>
            <w:r>
              <w:t xml:space="preserve">#Feat P</w:t>
            </w:r>
          </w:p>
        </w:tc>
        <w:tc>
          <w:tcPr/>
          <w:p>
            <w:pPr>
              <w:pStyle w:val="Compact"/>
            </w:pPr>
            <w:r>
              <w:t xml:space="preserve">ooled R^2 Medi</w:t>
            </w:r>
          </w:p>
        </w:tc>
        <w:tc>
          <w:tcPr/>
          <w:p>
            <w:pPr>
              <w:pStyle w:val="Compact"/>
              <w:jc w:val="left"/>
            </w:pPr>
            <w:r>
              <w:t xml:space="preserve">an R^2</w:t>
            </w:r>
          </w:p>
        </w:tc>
      </w:tr>
      <w:tr>
        <w:tc>
          <w:tcPr/>
          <w:p>
            <w:pPr>
              <w:pStyle w:val="Compact"/>
              <w:jc w:val="left"/>
            </w:pPr>
            <w:r>
              <w:t xml:space="preserve">HAR + Range</w:t>
            </w:r>
          </w:p>
        </w:tc>
        <w:tc>
          <w:tcPr/>
          <w:p>
            <w:pPr>
              <w:pStyle w:val="Compact"/>
            </w:pPr>
            <w:r>
              <w:t xml:space="preserve">8</w:t>
            </w:r>
          </w:p>
        </w:tc>
        <w:tc>
          <w:tcPr/>
          <w:p>
            <w:pPr>
              <w:pStyle w:val="Compact"/>
            </w:pPr>
            <w:r>
              <w:t xml:space="preserve">0.7854</w:t>
            </w:r>
          </w:p>
        </w:tc>
        <w:tc>
          <w:tcPr/>
          <w:p>
            <w:pPr>
              <w:pStyle w:val="Compact"/>
              <w:jc w:val="left"/>
            </w:pPr>
            <w:r>
              <w:t xml:space="preserve">0.1480</w:t>
            </w:r>
          </w:p>
        </w:tc>
      </w:tr>
      <w:tr>
        <w:tc>
          <w:tcPr/>
          <w:p>
            <w:pPr>
              <w:pStyle w:val="Compact"/>
              <w:jc w:val="left"/>
            </w:pPr>
            <w:r>
              <w:t xml:space="preserve">Range only</w:t>
            </w:r>
          </w:p>
        </w:tc>
        <w:tc>
          <w:tcPr/>
          <w:p>
            <w:pPr>
              <w:pStyle w:val="Compact"/>
            </w:pPr>
            <w:r>
              <w:t xml:space="preserve">5</w:t>
            </w:r>
          </w:p>
        </w:tc>
        <w:tc>
          <w:tcPr/>
          <w:p>
            <w:pPr>
              <w:pStyle w:val="Compact"/>
            </w:pPr>
            <w:r>
              <w:t xml:space="preserve">0.7722</w:t>
            </w:r>
          </w:p>
        </w:tc>
        <w:tc>
          <w:tcPr/>
          <w:p>
            <w:pPr>
              <w:pStyle w:val="Compact"/>
              <w:jc w:val="left"/>
            </w:pPr>
            <w:r>
              <w:t xml:space="preserve">0.0938</w:t>
            </w:r>
          </w:p>
        </w:tc>
      </w:tr>
      <w:tr>
        <w:tc>
          <w:tcPr/>
          <w:p>
            <w:pPr>
              <w:pStyle w:val="Compact"/>
              <w:jc w:val="left"/>
            </w:pPr>
            <w:r>
              <w:t xml:space="preserve">Full(37)</w:t>
            </w:r>
          </w:p>
        </w:tc>
        <w:tc>
          <w:tcPr/>
          <w:p>
            <w:pPr>
              <w:pStyle w:val="Compact"/>
            </w:pPr>
            <w:r>
              <w:t xml:space="preserve">37</w:t>
            </w:r>
          </w:p>
        </w:tc>
        <w:tc>
          <w:tcPr/>
          <w:p>
            <w:pPr>
              <w:pStyle w:val="Compact"/>
            </w:pPr>
            <w:r>
              <w:t xml:space="preserve">0.7618</w:t>
            </w:r>
          </w:p>
        </w:tc>
        <w:tc>
          <w:tcPr/>
          <w:p>
            <w:pPr>
              <w:pStyle w:val="Compact"/>
              <w:jc w:val="left"/>
            </w:pPr>
            <w:r>
              <w:t xml:space="preserve">0.0949</w:t>
            </w:r>
          </w:p>
        </w:tc>
      </w:tr>
      <w:tr>
        <w:tc>
          <w:tcPr/>
          <w:p>
            <w:pPr>
              <w:pStyle w:val="Compact"/>
              <w:jc w:val="left"/>
            </w:pPr>
            <w:r>
              <w:t xml:space="preserve">HAR only</w:t>
            </w:r>
          </w:p>
        </w:tc>
        <w:tc>
          <w:tcPr/>
          <w:p>
            <w:pPr>
              <w:pStyle w:val="Compact"/>
            </w:pPr>
            <w:r>
              <w:t xml:space="preserve">3</w:t>
            </w:r>
          </w:p>
        </w:tc>
        <w:tc>
          <w:tcPr/>
          <w:p>
            <w:pPr>
              <w:pStyle w:val="Compact"/>
            </w:pPr>
            <w:r>
              <w:t xml:space="preserve">0.7321</w:t>
            </w:r>
          </w:p>
        </w:tc>
        <w:tc>
          <w:tcPr/>
          <w:p>
            <w:pPr>
              <w:pStyle w:val="Compact"/>
              <w:jc w:val="left"/>
            </w:pPr>
            <w:r>
              <w:t xml:space="preserve">0.1678</w:t>
            </w:r>
          </w:p>
        </w:tc>
      </w:tr>
    </w:tbl>
    <w:p>
      <w:pPr>
        <w:pStyle w:val="BodyText"/>
      </w:pPr>
      <w:r>
        <w:t xml:space="preserve">이 결과는 1~22d 구간에서 WEns(37피처 앙상블)이 풀링 R^2 = 0.803으로 가장 높은 성능을 기록한 사실과 모순되지 않는다. 즉, 기본 선형 구조에서는 HAR+Range만으로도 충분히 강하지만, 고변동성 국면이나 22d 지평에서는 IV Surface/Alt Data를 포함한 다수 피처 결합과 앙상블이 추가 개선을 제공할 수 있다(4.6절 레짐 분석 참조).</w:t>
      </w:r>
    </w:p>
    <w:bookmarkStart w:id="30" w:name="피처-엔지니어링-누적-효과"/>
    <w:p>
      <w:pPr>
        <w:pStyle w:val="Heading3"/>
      </w:pPr>
      <w:r>
        <w:t xml:space="preserve">4.5.1 피처 엔지니어링 누적 효과</w:t>
      </w:r>
    </w:p>
    <w:p>
      <w:pPr>
        <w:pStyle w:val="FirstParagraph"/>
      </w:pPr>
      <w:r>
        <w:t xml:space="preserve">표 11는 피처 그룹을 단계적으로 추가할 때 성능이 어떻게 변화하는지를 보여준다. HAR 기본 3개 피처(R^2 0.732)에서 출발하여 GARCH/Vol-of-Vol(+0.026), HF Proxy(+0.021), IV Surface(+0.011) 순으로 누적 개선되며, WEns 앙상블(0.803)과 ElasticNet-59(0.807)에서 최종적으로 R^2 0.80 벽을 돌파하였다.</w:t>
      </w:r>
    </w:p>
    <w:p>
      <w:pPr>
        <w:pStyle w:val="BodyText"/>
      </w:pPr>
      <w:r>
        <w:rPr>
          <w:b/>
          <w:bCs/>
        </w:rPr>
        <w:t xml:space="preserve">표 11. 피처 엔지니어링 누적 효과 (그룹별 R^2 증가, 22d)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Stage</w:t>
            </w:r>
          </w:p>
        </w:tc>
        <w:tc>
          <w:tcPr/>
          <w:p>
            <w:pPr>
              <w:pStyle w:val="Compact"/>
              <w:jc w:val="left"/>
            </w:pPr>
            <w:r>
              <w:t xml:space="preserve">Features</w:t>
            </w:r>
          </w:p>
        </w:tc>
        <w:tc>
          <w:tcPr/>
          <w:p>
            <w:pPr>
              <w:pStyle w:val="Compact"/>
              <w:jc w:val="center"/>
            </w:pPr>
            <w:r>
              <w:t xml:space="preserve">Pooled R^2</w:t>
            </w:r>
          </w:p>
        </w:tc>
        <w:tc>
          <w:tcPr/>
          <w:p>
            <w:pPr>
              <w:pStyle w:val="Compact"/>
              <w:jc w:val="center"/>
            </w:pPr>
            <w:r>
              <w:t xml:space="preserve">Delta</w:t>
            </w:r>
          </w:p>
        </w:tc>
      </w:tr>
      <w:tr>
        <w:tc>
          <w:tcPr/>
          <w:p>
            <w:pPr>
              <w:pStyle w:val="Compact"/>
              <w:jc w:val="left"/>
            </w:pPr>
            <w:r>
              <w:t xml:space="preserve">HAR (base 3)</w:t>
            </w:r>
          </w:p>
        </w:tc>
        <w:tc>
          <w:tcPr/>
          <w:p>
            <w:pPr>
              <w:pStyle w:val="Compact"/>
              <w:jc w:val="left"/>
            </w:pPr>
            <w:r>
              <w:t xml:space="preserve">LogRV lags</w:t>
            </w:r>
          </w:p>
        </w:tc>
        <w:tc>
          <w:tcPr/>
          <w:p>
            <w:pPr>
              <w:pStyle w:val="Compact"/>
              <w:jc w:val="center"/>
            </w:pPr>
            <w:r>
              <w:t xml:space="preserve">0.732</w:t>
            </w:r>
          </w:p>
        </w:tc>
        <w:tc>
          <w:tcPr/>
          <w:p>
            <w:pPr>
              <w:pStyle w:val="Compact"/>
              <w:jc w:val="center"/>
            </w:pPr>
            <w:r>
              <w:t xml:space="preserve">–</w:t>
            </w:r>
          </w:p>
        </w:tc>
      </w:tr>
    </w:tbl>
    <w:bookmarkEnd w:id="30"/>
    <w:bookmarkStart w:id="31" w:name="elasticnet-기반-최적-피처-선택-궤적path-분석"/>
    <w:p>
      <w:pPr>
        <w:pStyle w:val="Heading3"/>
      </w:pPr>
      <w:r>
        <w:t xml:space="preserve">4.5.2 ElasticNet 기반 최적 피처 선택 궤적(Path) 분석</w:t>
      </w:r>
    </w:p>
    <w:p>
      <w:pPr>
        <w:pStyle w:val="FirstParagraph"/>
      </w:pPr>
      <w:r>
        <w:t xml:space="preserve">ElasticNetCV 결과(n_splits=5) L1_ratio=1.0, alpha=0.016에서 최적화되어, 37개 피처 중 17개만 선택(sparsity 54%)되었다. 상위 3개 피처는</w:t>
      </w:r>
      <w:r>
        <w:t xml:space="preserve"> </w:t>
      </w:r>
      <w:r>
        <w:rPr>
          <w:rStyle w:val="VerbatimChar"/>
        </w:rPr>
        <w:t xml:space="preserve">LogRV_lag1</w:t>
      </w:r>
      <w:r>
        <w:t xml:space="preserve">(0.438),</w:t>
      </w:r>
      <w:r>
        <w:t xml:space="preserve"> </w:t>
      </w:r>
      <w:r>
        <w:rPr>
          <w:rStyle w:val="VerbatimChar"/>
        </w:rPr>
        <w:t xml:space="preserve">RogersSatchell_22</w:t>
      </w:r>
      <w:r>
        <w:t xml:space="preserve">(0.387),</w:t>
      </w:r>
      <w:r>
        <w:t xml:space="preserve"> </w:t>
      </w:r>
      <w:r>
        <w:rPr>
          <w:rStyle w:val="VerbatimChar"/>
        </w:rPr>
        <w:t xml:space="preserve">Parkinson_5</w:t>
      </w:r>
      <w:r>
        <w:t xml:space="preserve">(0.283)로, HAR 기본 피처 외에도 range 추정량·VIX 기간구조·GARCH가 독립적인 정보 가치를 지님을 시사한다.</w:t>
      </w:r>
      <w:r>
        <w:t xml:space="preserve"> </w:t>
      </w:r>
      <w:r>
        <w:t xml:space="preserve">| +GARCH+Vol-of-Vol | +GARCH Daily/Weekly, Std5/22 | 0.758 | +0.026 |</w:t>
      </w:r>
      <w:r>
        <w:t xml:space="preserve"> </w:t>
      </w:r>
      <w:r>
        <w:t xml:space="preserve">| +HF Proxy(OHLC) | +Parkinson, GK, RS, Range/Close | 0.779 | +0.021 |</w:t>
      </w:r>
      <w:r>
        <w:t xml:space="preserve"> </w:t>
      </w:r>
      <w:r>
        <w:t xml:space="preserve">| +IV Surface(VIX) | +VIX, VIX3M, VIX9D, Term Slope, VRP | 0.790 | +0.011 |</w:t>
      </w:r>
      <w:r>
        <w:t xml:space="preserve"> </w:t>
      </w:r>
      <w:r>
        <w:t xml:space="preserve">| +Alt Data(Volume) | +Amihud, Vol Ratio, Kyle Lambda | 0.790 | +0.000 |</w:t>
      </w:r>
      <w:r>
        <w:t xml:space="preserve"> </w:t>
      </w:r>
      <w:r>
        <w:t xml:space="preserve">| WEns | Ridge(70%)+XGBoost(30%) | 0.803 | +0.013 |</w:t>
      </w:r>
      <w:r>
        <w:t xml:space="preserve"> </w:t>
      </w:r>
      <w:r>
        <w:t xml:space="preserve">| ElasticNet-59 | 59 extended feat. + L1+L2 |</w:t>
      </w:r>
      <w:r>
        <w:t xml:space="preserve"> </w:t>
      </w:r>
      <w:r>
        <w:rPr>
          <w:b/>
          <w:bCs/>
        </w:rPr>
        <w:t xml:space="preserve">0.807</w:t>
      </w:r>
      <w:r>
        <w:t xml:space="preserve"> </w:t>
      </w:r>
      <w:r>
        <w:t xml:space="preserve">| +0.004 |</w:t>
      </w:r>
    </w:p>
    <w:bookmarkEnd w:id="31"/>
    <w:bookmarkStart w:id="32" w:name="다면적-피처-중요도-분석-합의-순위"/>
    <w:p>
      <w:pPr>
        <w:pStyle w:val="Heading3"/>
      </w:pPr>
      <w:r>
        <w:t xml:space="preserve">4.5.3 다면적 피처 중요도 분석 (합의 순위)</w:t>
      </w:r>
    </w:p>
    <w:p>
      <w:pPr>
        <w:pStyle w:val="FirstParagraph"/>
      </w:pPr>
      <w:r>
        <w:t xml:space="preserve">단일 방법의 편향을 방지하기 위해 7개 방법론(Ridge 정규화 계수, Permutation, XGBoost Gain, SHAP, Mutual Info, Spearman, RFE)의 중요도를 평균하여 표 12의 합의 순위를 산출하였다.</w:t>
      </w:r>
    </w:p>
    <w:p>
      <w:pPr>
        <w:pStyle w:val="BodyText"/>
      </w:pPr>
      <w:r>
        <w:rPr>
          <w:b/>
          <w:bCs/>
        </w:rPr>
        <w:t xml:space="preserve">표 12. 피처 중요도 합의 순위 (7개 방법 평균)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Rank</w:t>
            </w:r>
          </w:p>
        </w:tc>
        <w:tc>
          <w:tcPr/>
          <w:p>
            <w:pPr>
              <w:pStyle w:val="Compact"/>
              <w:jc w:val="left"/>
            </w:pPr>
            <w:r>
              <w:t xml:space="preserve">Feature</w:t>
            </w:r>
          </w:p>
        </w:tc>
        <w:tc>
          <w:tcPr/>
          <w:p>
            <w:pPr>
              <w:pStyle w:val="Compact"/>
              <w:jc w:val="left"/>
            </w:pPr>
            <w:r>
              <w:t xml:space="preserve">Group</w:t>
            </w:r>
          </w:p>
        </w:tc>
        <w:tc>
          <w:tcPr/>
          <w:p>
            <w:pPr>
              <w:pStyle w:val="Compact"/>
              <w:jc w:val="center"/>
            </w:pPr>
            <w:r>
              <w:t xml:space="preserve">Mean Rank</w:t>
            </w:r>
          </w:p>
        </w:tc>
      </w:tr>
      <w:tr>
        <w:tc>
          <w:tcPr/>
          <w:p>
            <w:pPr>
              <w:pStyle w:val="Compact"/>
              <w:jc w:val="center"/>
            </w:pPr>
            <w:r>
              <w:t xml:space="preserve">1</w:t>
            </w:r>
          </w:p>
        </w:tc>
        <w:tc>
          <w:tcPr/>
          <w:p>
            <w:pPr>
              <w:pStyle w:val="Compact"/>
              <w:jc w:val="left"/>
            </w:pPr>
            <w:r>
              <w:t xml:space="preserve">RogersSatchell_22</w:t>
            </w:r>
          </w:p>
        </w:tc>
        <w:tc>
          <w:tcPr/>
          <w:p>
            <w:pPr>
              <w:pStyle w:val="Compact"/>
              <w:jc w:val="left"/>
            </w:pPr>
            <w:r>
              <w:t xml:space="preserve">HF Proxy</w:t>
            </w:r>
          </w:p>
        </w:tc>
        <w:tc>
          <w:tcPr/>
          <w:p>
            <w:pPr>
              <w:pStyle w:val="Compact"/>
              <w:jc w:val="center"/>
            </w:pPr>
            <w:r>
              <w:t xml:space="preserve">2.6</w:t>
            </w:r>
          </w:p>
        </w:tc>
      </w:tr>
      <w:tr>
        <w:tc>
          <w:tcPr/>
          <w:p>
            <w:pPr>
              <w:pStyle w:val="Compact"/>
              <w:jc w:val="center"/>
            </w:pPr>
            <w:r>
              <w:t xml:space="preserve">2</w:t>
            </w:r>
          </w:p>
        </w:tc>
        <w:tc>
          <w:tcPr/>
          <w:p>
            <w:pPr>
              <w:pStyle w:val="Compact"/>
              <w:jc w:val="left"/>
            </w:pPr>
            <w:r>
              <w:t xml:space="preserve">Garch_Weekly</w:t>
            </w:r>
          </w:p>
        </w:tc>
        <w:tc>
          <w:tcPr/>
          <w:p>
            <w:pPr>
              <w:pStyle w:val="Compact"/>
              <w:jc w:val="left"/>
            </w:pPr>
            <w:r>
              <w:t xml:space="preserve">GARCH</w:t>
            </w:r>
          </w:p>
        </w:tc>
        <w:tc>
          <w:tcPr/>
          <w:p>
            <w:pPr>
              <w:pStyle w:val="Compact"/>
              <w:jc w:val="center"/>
            </w:pPr>
            <w:r>
              <w:t xml:space="preserve">4.4</w:t>
            </w:r>
          </w:p>
        </w:tc>
      </w:tr>
      <w:tr>
        <w:tc>
          <w:tcPr/>
          <w:p>
            <w:pPr>
              <w:pStyle w:val="Compact"/>
              <w:jc w:val="center"/>
            </w:pPr>
            <w:r>
              <w:t xml:space="preserve">3</w:t>
            </w:r>
          </w:p>
        </w:tc>
        <w:tc>
          <w:tcPr/>
          <w:p>
            <w:pPr>
              <w:pStyle w:val="Compact"/>
              <w:jc w:val="left"/>
            </w:pPr>
            <w:r>
              <w:t xml:space="preserve">Parkinson_22</w:t>
            </w:r>
          </w:p>
        </w:tc>
        <w:tc>
          <w:tcPr/>
          <w:p>
            <w:pPr>
              <w:pStyle w:val="Compact"/>
              <w:jc w:val="left"/>
            </w:pPr>
            <w:r>
              <w:t xml:space="preserve">HF Proxy</w:t>
            </w:r>
          </w:p>
        </w:tc>
        <w:tc>
          <w:tcPr/>
          <w:p>
            <w:pPr>
              <w:pStyle w:val="Compact"/>
              <w:jc w:val="center"/>
            </w:pPr>
            <w:r>
              <w:t xml:space="preserve">5.1</w:t>
            </w:r>
          </w:p>
        </w:tc>
      </w:tr>
      <w:tr>
        <w:tc>
          <w:tcPr/>
          <w:p>
            <w:pPr>
              <w:pStyle w:val="Compact"/>
              <w:jc w:val="center"/>
            </w:pPr>
            <w:r>
              <w:t xml:space="preserve">4</w:t>
            </w:r>
          </w:p>
        </w:tc>
        <w:tc>
          <w:tcPr/>
          <w:p>
            <w:pPr>
              <w:pStyle w:val="Compact"/>
              <w:jc w:val="left"/>
            </w:pPr>
            <w:r>
              <w:t xml:space="preserve">GarmanKlass_22</w:t>
            </w:r>
          </w:p>
        </w:tc>
        <w:tc>
          <w:tcPr/>
          <w:p>
            <w:pPr>
              <w:pStyle w:val="Compact"/>
              <w:jc w:val="left"/>
            </w:pPr>
            <w:r>
              <w:t xml:space="preserve">HF Proxy</w:t>
            </w:r>
          </w:p>
        </w:tc>
        <w:tc>
          <w:tcPr/>
          <w:p>
            <w:pPr>
              <w:pStyle w:val="Compact"/>
              <w:jc w:val="center"/>
            </w:pPr>
            <w:r>
              <w:t xml:space="preserve">5.3</w:t>
            </w:r>
          </w:p>
        </w:tc>
      </w:tr>
      <w:tr>
        <w:tc>
          <w:tcPr/>
          <w:p>
            <w:pPr>
              <w:pStyle w:val="Compact"/>
              <w:jc w:val="center"/>
            </w:pPr>
            <w:r>
              <w:t xml:space="preserve">5</w:t>
            </w:r>
          </w:p>
        </w:tc>
        <w:tc>
          <w:tcPr/>
          <w:p>
            <w:pPr>
              <w:pStyle w:val="Compact"/>
              <w:jc w:val="left"/>
            </w:pPr>
            <w:r>
              <w:t xml:space="preserve">Garch_Daily</w:t>
            </w:r>
          </w:p>
        </w:tc>
        <w:tc>
          <w:tcPr/>
          <w:p>
            <w:pPr>
              <w:pStyle w:val="Compact"/>
              <w:jc w:val="left"/>
            </w:pPr>
            <w:r>
              <w:t xml:space="preserve">GARCH</w:t>
            </w:r>
          </w:p>
        </w:tc>
        <w:tc>
          <w:tcPr/>
          <w:p>
            <w:pPr>
              <w:pStyle w:val="Compact"/>
              <w:jc w:val="center"/>
            </w:pPr>
            <w:r>
              <w:t xml:space="preserve">6.7</w:t>
            </w:r>
          </w:p>
        </w:tc>
      </w:tr>
      <w:tr>
        <w:tc>
          <w:tcPr/>
          <w:p>
            <w:pPr>
              <w:pStyle w:val="Compact"/>
              <w:jc w:val="center"/>
            </w:pPr>
            <w:r>
              <w:t xml:space="preserve">6</w:t>
            </w:r>
          </w:p>
        </w:tc>
        <w:tc>
          <w:tcPr/>
          <w:p>
            <w:pPr>
              <w:pStyle w:val="Compact"/>
              <w:jc w:val="left"/>
            </w:pPr>
            <w:r>
              <w:t xml:space="preserve">LogRV_lag22</w:t>
            </w:r>
          </w:p>
        </w:tc>
        <w:tc>
          <w:tcPr/>
          <w:p>
            <w:pPr>
              <w:pStyle w:val="Compact"/>
              <w:jc w:val="left"/>
            </w:pPr>
            <w:r>
              <w:t xml:space="preserve">HAR</w:t>
            </w:r>
          </w:p>
        </w:tc>
        <w:tc>
          <w:tcPr/>
          <w:p>
            <w:pPr>
              <w:pStyle w:val="Compact"/>
              <w:jc w:val="center"/>
            </w:pPr>
            <w:r>
              <w:t xml:space="preserve">7.6</w:t>
            </w:r>
          </w:p>
        </w:tc>
      </w:tr>
      <w:tr>
        <w:tc>
          <w:tcPr/>
          <w:p>
            <w:pPr>
              <w:pStyle w:val="Compact"/>
              <w:jc w:val="center"/>
            </w:pPr>
            <w:r>
              <w:t xml:space="preserve">7</w:t>
            </w:r>
          </w:p>
        </w:tc>
        <w:tc>
          <w:tcPr/>
          <w:p>
            <w:pPr>
              <w:pStyle w:val="Compact"/>
              <w:jc w:val="left"/>
            </w:pPr>
            <w:r>
              <w:t xml:space="preserve">LogRV_lag1</w:t>
            </w:r>
          </w:p>
        </w:tc>
        <w:tc>
          <w:tcPr/>
          <w:p>
            <w:pPr>
              <w:pStyle w:val="Compact"/>
              <w:jc w:val="left"/>
            </w:pPr>
            <w:r>
              <w:t xml:space="preserve">HAR</w:t>
            </w:r>
          </w:p>
        </w:tc>
        <w:tc>
          <w:tcPr/>
          <w:p>
            <w:pPr>
              <w:pStyle w:val="Compact"/>
              <w:jc w:val="center"/>
            </w:pPr>
            <w:r>
              <w:t xml:space="preserve">9.1</w:t>
            </w:r>
          </w:p>
        </w:tc>
      </w:tr>
      <w:tr>
        <w:tc>
          <w:tcPr/>
          <w:p>
            <w:pPr>
              <w:pStyle w:val="Compact"/>
              <w:jc w:val="center"/>
            </w:pPr>
            <w:r>
              <w:t xml:space="preserve">8</w:t>
            </w:r>
          </w:p>
        </w:tc>
        <w:tc>
          <w:tcPr/>
          <w:p>
            <w:pPr>
              <w:pStyle w:val="Compact"/>
              <w:jc w:val="left"/>
            </w:pPr>
            <w:r>
              <w:t xml:space="preserve">Parkinson_5</w:t>
            </w:r>
          </w:p>
        </w:tc>
        <w:tc>
          <w:tcPr/>
          <w:p>
            <w:pPr>
              <w:pStyle w:val="Compact"/>
              <w:jc w:val="left"/>
            </w:pPr>
            <w:r>
              <w:t xml:space="preserve">HF Proxy</w:t>
            </w:r>
          </w:p>
        </w:tc>
        <w:tc>
          <w:tcPr/>
          <w:p>
            <w:pPr>
              <w:pStyle w:val="Compact"/>
              <w:jc w:val="center"/>
            </w:pPr>
            <w:r>
              <w:t xml:space="preserve">9.1</w:t>
            </w:r>
          </w:p>
        </w:tc>
      </w:tr>
      <w:tr>
        <w:tc>
          <w:tcPr/>
          <w:p>
            <w:pPr>
              <w:pStyle w:val="Compact"/>
              <w:jc w:val="center"/>
            </w:pPr>
            <w:r>
              <w:t xml:space="preserve">9</w:t>
            </w:r>
          </w:p>
        </w:tc>
        <w:tc>
          <w:tcPr/>
          <w:p>
            <w:pPr>
              <w:pStyle w:val="Compact"/>
              <w:jc w:val="left"/>
            </w:pPr>
            <w:r>
              <w:t xml:space="preserve">IV_VRP_ma22</w:t>
            </w:r>
          </w:p>
        </w:tc>
        <w:tc>
          <w:tcPr/>
          <w:p>
            <w:pPr>
              <w:pStyle w:val="Compact"/>
              <w:jc w:val="left"/>
            </w:pPr>
            <w:r>
              <w:t xml:space="preserve">IV Surface</w:t>
            </w:r>
          </w:p>
        </w:tc>
        <w:tc>
          <w:tcPr/>
          <w:p>
            <w:pPr>
              <w:pStyle w:val="Compact"/>
              <w:jc w:val="center"/>
            </w:pPr>
            <w:r>
              <w:t xml:space="preserve">11.7</w:t>
            </w:r>
          </w:p>
        </w:tc>
      </w:tr>
      <w:tr>
        <w:tc>
          <w:tcPr/>
          <w:p>
            <w:pPr>
              <w:pStyle w:val="Compact"/>
              <w:jc w:val="center"/>
            </w:pPr>
            <w:r>
              <w:t xml:space="preserve">10</w:t>
            </w:r>
          </w:p>
        </w:tc>
        <w:tc>
          <w:tcPr/>
          <w:p>
            <w:pPr>
              <w:pStyle w:val="Compact"/>
              <w:jc w:val="left"/>
            </w:pPr>
            <w:r>
              <w:t xml:space="preserve">IV_VIX</w:t>
            </w:r>
          </w:p>
        </w:tc>
        <w:tc>
          <w:tcPr/>
          <w:p>
            <w:pPr>
              <w:pStyle w:val="Compact"/>
              <w:jc w:val="left"/>
            </w:pPr>
            <w:r>
              <w:t xml:space="preserve">IV Surface</w:t>
            </w:r>
          </w:p>
        </w:tc>
        <w:tc>
          <w:tcPr/>
          <w:p>
            <w:pPr>
              <w:pStyle w:val="Compact"/>
              <w:jc w:val="center"/>
            </w:pPr>
            <w:r>
              <w:t xml:space="preserve">11.9</w:t>
            </w:r>
          </w:p>
        </w:tc>
      </w:tr>
    </w:tbl>
    <w:p>
      <w:pPr>
        <w:pStyle w:val="BodyText"/>
      </w:pPr>
      <w:r>
        <w:t xml:space="preserve">HF Proxy(range 기반) 피처가 상위 4위 중 3개를 차지하며, GARCH 피처가 그 다음으로 높은 순위를 기록하였다. IV Surface 피처는 상대적으로 낮은 순위이지만, 4.6절의 레짐 분석에서 High VIX 구간의 추가 기여가 두드러지는 조건부 중요성을 보인다.</w:t>
      </w:r>
    </w:p>
    <w:bookmarkEnd w:id="32"/>
    <w:bookmarkEnd w:id="33"/>
    <w:bookmarkStart w:id="34" w:name="레짐고변동성-분석-high-vix-구간에서의-개선"/>
    <w:p>
      <w:pPr>
        <w:pStyle w:val="Heading2"/>
      </w:pPr>
      <w:r>
        <w:t xml:space="preserve">4.6 레짐(고변동성) 분석: High VIX 구간에서의 개선</w:t>
      </w:r>
    </w:p>
    <w:p>
      <w:pPr>
        <w:pStyle w:val="FirstParagraph"/>
      </w:pPr>
      <w:r>
        <w:t xml:space="preserve">VIX 분위수 기반 레짐 분석 결과, HAR-3 대비 WEns의 개선 폭은 VIX 레짐에 따라 뚜렷이 달라졌다. Low VIX(하위 50%): R^2 0.739 → 0.781(+0.042), Mid VIX(50~90%): 0.698 → 0.722(+0.024)에 그친 반면, High VIX(상위 10%) 구간에서는 0.602 → 0.765(+0.163)으로 개선 폭이 가장 컸다.</w:t>
      </w:r>
    </w:p>
    <w:p>
      <w:pPr>
        <w:pStyle w:val="BodyText"/>
      </w:pPr>
      <w:r>
        <w:t xml:space="preserve">이는 (i) IV Surface(기간구조, VRP 통계) 피처가 극단적 불확실성에서 추가 정보를 제공하고, (ii) HF proxy(range 계열)가 위기 시 확대되는 일중 변동을 포착하기 때문으로 해석할 수 있다.</w:t>
      </w:r>
    </w:p>
    <w:p>
      <w:pPr>
        <w:pStyle w:val="BodyText"/>
      </w:pPr>
      <w:r>
        <w:t xml:space="preserve">이와 함께, 자산 클래스 및 모델 비교 기간(서브샘플)에 따른 이질성 분석 결과는 모형 개선의 양면성을 보여준다. HAR-3 대비 WEns의 성능의 대폭 향상은 주로 주식(Equity) 패널에서 R^2 +0.163 개선으로 이끌었으나 원자재(Commodity)에서는 개선이 매우 둔화(-0.055)되는 양상을 띠었다. 또한, 2010-2014 기간에는 성능 향상이 뚜렷하나 2020년 코로나 이후 국면에서는 단일 피처 모델 간 성능 우위 차이가 줄어드는 경향이 관찰되었다. 이는 모델이 특정 시황에 과적합되지 않도록 향후 자산 군집 별 또는 레짐 별 적응형 최적화(regularization) 적용의 당위성을 제공한다.</w:t>
      </w:r>
    </w:p>
    <w:p>
      <w:pPr>
        <w:pStyle w:val="BodyText"/>
      </w:pPr>
      <w:r>
        <w:t xml:space="preserve">표 13은 HAR-3 대비 WEns의 자산군별 성능 개선폭을 시각화한 것이다.</w:t>
      </w:r>
    </w:p>
    <w:p>
      <w:pPr>
        <w:pStyle w:val="BodyText"/>
      </w:pPr>
      <w:r>
        <w:rPr>
          <w:b/>
          <w:bCs/>
        </w:rPr>
        <w:t xml:space="preserve">표 13. 자산군별 HAR-3 vs WEns 성능 개선 비교 (22d 풀링 R^2)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w:t>
            </w:r>
          </w:p>
        </w:tc>
        <w:tc>
          <w:tcPr/>
          <w:p>
            <w:pPr>
              <w:pStyle w:val="Compact"/>
              <w:jc w:val="left"/>
            </w:pPr>
            <w:r>
              <w:t xml:space="preserve">Class</w:t>
            </w:r>
          </w:p>
        </w:tc>
        <w:tc>
          <w:tcPr/>
          <w:p>
            <w:pPr>
              <w:pStyle w:val="Compact"/>
              <w:jc w:val="center"/>
            </w:pPr>
            <w:r>
              <w:t xml:space="preserve">HAR-3 R^2</w:t>
            </w:r>
          </w:p>
        </w:tc>
        <w:tc>
          <w:tcPr/>
          <w:p>
            <w:pPr>
              <w:pStyle w:val="Compact"/>
              <w:jc w:val="center"/>
            </w:pPr>
            <w:r>
              <w:t xml:space="preserve">WEns R^2</w:t>
            </w:r>
          </w:p>
        </w:tc>
        <w:tc>
          <w:tcPr/>
          <w:p>
            <w:pPr>
              <w:pStyle w:val="Compact"/>
              <w:jc w:val="center"/>
            </w:pPr>
            <w:r>
              <w:t xml:space="preserve">Delta</w:t>
            </w:r>
          </w:p>
        </w:tc>
      </w:tr>
      <w:tr>
        <w:tc>
          <w:tcPr/>
          <w:p>
            <w:pPr>
              <w:pStyle w:val="Compact"/>
              <w:jc w:val="left"/>
            </w:pPr>
            <w:r>
              <w:t xml:space="preserve">SPY</w:t>
            </w:r>
          </w:p>
        </w:tc>
        <w:tc>
          <w:tcPr/>
          <w:p>
            <w:pPr>
              <w:pStyle w:val="Compact"/>
              <w:jc w:val="left"/>
            </w:pPr>
            <w:r>
              <w:t xml:space="preserve">Equity</w:t>
            </w:r>
          </w:p>
        </w:tc>
        <w:tc>
          <w:tcPr/>
          <w:p>
            <w:pPr>
              <w:pStyle w:val="Compact"/>
              <w:jc w:val="center"/>
            </w:pPr>
            <w:r>
              <w:t xml:space="preserve">0.136</w:t>
            </w:r>
          </w:p>
        </w:tc>
        <w:tc>
          <w:tcPr/>
          <w:p>
            <w:pPr>
              <w:pStyle w:val="Compact"/>
              <w:jc w:val="center"/>
            </w:pPr>
            <w:r>
              <w:t xml:space="preserve">0.299</w:t>
            </w:r>
          </w:p>
        </w:tc>
        <w:tc>
          <w:tcPr/>
          <w:p>
            <w:pPr>
              <w:pStyle w:val="Compact"/>
              <w:jc w:val="center"/>
            </w:pPr>
            <w:r>
              <w:t xml:space="preserve">+0.163</w:t>
            </w:r>
          </w:p>
        </w:tc>
      </w:tr>
      <w:tr>
        <w:tc>
          <w:tcPr/>
          <w:p>
            <w:pPr>
              <w:pStyle w:val="Compact"/>
              <w:jc w:val="left"/>
            </w:pPr>
            <w:r>
              <w:t xml:space="preserve">QQQ</w:t>
            </w:r>
          </w:p>
        </w:tc>
        <w:tc>
          <w:tcPr/>
          <w:p>
            <w:pPr>
              <w:pStyle w:val="Compact"/>
              <w:jc w:val="left"/>
            </w:pPr>
            <w:r>
              <w:t xml:space="preserve">Equity</w:t>
            </w:r>
          </w:p>
        </w:tc>
        <w:tc>
          <w:tcPr/>
          <w:p>
            <w:pPr>
              <w:pStyle w:val="Compact"/>
              <w:jc w:val="center"/>
            </w:pPr>
            <w:r>
              <w:t xml:space="preserve">0.091</w:t>
            </w:r>
          </w:p>
        </w:tc>
        <w:tc>
          <w:tcPr/>
          <w:p>
            <w:pPr>
              <w:pStyle w:val="Compact"/>
              <w:jc w:val="center"/>
            </w:pPr>
            <w:r>
              <w:t xml:space="preserve">0.262</w:t>
            </w:r>
          </w:p>
        </w:tc>
        <w:tc>
          <w:tcPr/>
          <w:p>
            <w:pPr>
              <w:pStyle w:val="Compact"/>
              <w:jc w:val="center"/>
            </w:pPr>
            <w:r>
              <w:t xml:space="preserve">+0.171</w:t>
            </w:r>
          </w:p>
        </w:tc>
      </w:tr>
      <w:tr>
        <w:tc>
          <w:tcPr/>
          <w:p>
            <w:pPr>
              <w:pStyle w:val="Compact"/>
              <w:jc w:val="left"/>
            </w:pPr>
            <w:r>
              <w:t xml:space="preserve">IWM</w:t>
            </w:r>
          </w:p>
        </w:tc>
        <w:tc>
          <w:tcPr/>
          <w:p>
            <w:pPr>
              <w:pStyle w:val="Compact"/>
              <w:jc w:val="left"/>
            </w:pPr>
            <w:r>
              <w:t xml:space="preserve">Equity</w:t>
            </w:r>
          </w:p>
        </w:tc>
        <w:tc>
          <w:tcPr/>
          <w:p>
            <w:pPr>
              <w:pStyle w:val="Compact"/>
              <w:jc w:val="center"/>
            </w:pPr>
            <w:r>
              <w:t xml:space="preserve">0.088</w:t>
            </w:r>
          </w:p>
        </w:tc>
        <w:tc>
          <w:tcPr/>
          <w:p>
            <w:pPr>
              <w:pStyle w:val="Compact"/>
              <w:jc w:val="center"/>
            </w:pPr>
            <w:r>
              <w:t xml:space="preserve">0.215</w:t>
            </w:r>
          </w:p>
        </w:tc>
        <w:tc>
          <w:tcPr/>
          <w:p>
            <w:pPr>
              <w:pStyle w:val="Compact"/>
              <w:jc w:val="center"/>
            </w:pPr>
            <w:r>
              <w:t xml:space="preserve">+0.127</w:t>
            </w:r>
          </w:p>
        </w:tc>
      </w:tr>
      <w:tr>
        <w:tc>
          <w:tcPr/>
          <w:p>
            <w:pPr>
              <w:pStyle w:val="Compact"/>
              <w:jc w:val="left"/>
            </w:pPr>
            <w:r>
              <w:t xml:space="preserve">EFA</w:t>
            </w:r>
          </w:p>
        </w:tc>
        <w:tc>
          <w:tcPr/>
          <w:p>
            <w:pPr>
              <w:pStyle w:val="Compact"/>
              <w:jc w:val="left"/>
            </w:pPr>
            <w:r>
              <w:t xml:space="preserve">Equity</w:t>
            </w:r>
          </w:p>
        </w:tc>
        <w:tc>
          <w:tcPr/>
          <w:p>
            <w:pPr>
              <w:pStyle w:val="Compact"/>
              <w:jc w:val="center"/>
            </w:pPr>
            <w:r>
              <w:t xml:space="preserve">0.032</w:t>
            </w:r>
          </w:p>
        </w:tc>
        <w:tc>
          <w:tcPr/>
          <w:p>
            <w:pPr>
              <w:pStyle w:val="Compact"/>
              <w:jc w:val="center"/>
            </w:pPr>
            <w:r>
              <w:t xml:space="preserve">0.139</w:t>
            </w:r>
          </w:p>
        </w:tc>
        <w:tc>
          <w:tcPr/>
          <w:p>
            <w:pPr>
              <w:pStyle w:val="Compact"/>
              <w:jc w:val="center"/>
            </w:pPr>
            <w:r>
              <w:t xml:space="preserve">+0.107</w:t>
            </w:r>
          </w:p>
        </w:tc>
      </w:tr>
      <w:tr>
        <w:tc>
          <w:tcPr/>
          <w:p>
            <w:pPr>
              <w:pStyle w:val="Compact"/>
              <w:jc w:val="left"/>
            </w:pPr>
            <w:r>
              <w:t xml:space="preserve">EEM</w:t>
            </w:r>
          </w:p>
        </w:tc>
        <w:tc>
          <w:tcPr/>
          <w:p>
            <w:pPr>
              <w:pStyle w:val="Compact"/>
              <w:jc w:val="left"/>
            </w:pPr>
            <w:r>
              <w:t xml:space="preserve">Equity</w:t>
            </w:r>
          </w:p>
        </w:tc>
        <w:tc>
          <w:tcPr/>
          <w:p>
            <w:pPr>
              <w:pStyle w:val="Compact"/>
              <w:jc w:val="center"/>
            </w:pPr>
            <w:r>
              <w:t xml:space="preserve">-0.015</w:t>
            </w:r>
          </w:p>
        </w:tc>
        <w:tc>
          <w:tcPr/>
          <w:p>
            <w:pPr>
              <w:pStyle w:val="Compact"/>
              <w:jc w:val="center"/>
            </w:pPr>
            <w:r>
              <w:t xml:space="preserve">0.059</w:t>
            </w:r>
          </w:p>
        </w:tc>
        <w:tc>
          <w:tcPr/>
          <w:p>
            <w:pPr>
              <w:pStyle w:val="Compact"/>
              <w:jc w:val="center"/>
            </w:pPr>
            <w:r>
              <w:t xml:space="preserve">+0.074</w:t>
            </w:r>
          </w:p>
        </w:tc>
      </w:tr>
      <w:tr>
        <w:tc>
          <w:tcPr/>
          <w:p>
            <w:pPr>
              <w:pStyle w:val="Compact"/>
              <w:jc w:val="left"/>
            </w:pPr>
            <w:r>
              <w:t xml:space="preserve">TLT</w:t>
            </w:r>
          </w:p>
        </w:tc>
        <w:tc>
          <w:tcPr/>
          <w:p>
            <w:pPr>
              <w:pStyle w:val="Compact"/>
              <w:jc w:val="left"/>
            </w:pPr>
            <w:r>
              <w:t xml:space="preserve">Bond</w:t>
            </w:r>
          </w:p>
        </w:tc>
        <w:tc>
          <w:tcPr/>
          <w:p>
            <w:pPr>
              <w:pStyle w:val="Compact"/>
              <w:jc w:val="center"/>
            </w:pPr>
            <w:r>
              <w:t xml:space="preserve">0.015</w:t>
            </w:r>
          </w:p>
        </w:tc>
        <w:tc>
          <w:tcPr/>
          <w:p>
            <w:pPr>
              <w:pStyle w:val="Compact"/>
              <w:jc w:val="center"/>
            </w:pPr>
            <w:r>
              <w:t xml:space="preserve">-0.003</w:t>
            </w:r>
          </w:p>
        </w:tc>
        <w:tc>
          <w:tcPr/>
          <w:p>
            <w:pPr>
              <w:pStyle w:val="Compact"/>
              <w:jc w:val="center"/>
            </w:pPr>
            <w:r>
              <w:t xml:space="preserve">-0.018</w:t>
            </w:r>
          </w:p>
        </w:tc>
      </w:tr>
      <w:tr>
        <w:tc>
          <w:tcPr/>
          <w:p>
            <w:pPr>
              <w:pStyle w:val="Compact"/>
              <w:jc w:val="left"/>
            </w:pPr>
            <w:r>
              <w:t xml:space="preserve">IEF</w:t>
            </w:r>
          </w:p>
        </w:tc>
        <w:tc>
          <w:tcPr/>
          <w:p>
            <w:pPr>
              <w:pStyle w:val="Compact"/>
              <w:jc w:val="left"/>
            </w:pPr>
            <w:r>
              <w:t xml:space="preserve">Bond</w:t>
            </w:r>
          </w:p>
        </w:tc>
        <w:tc>
          <w:tcPr/>
          <w:p>
            <w:pPr>
              <w:pStyle w:val="Compact"/>
              <w:jc w:val="center"/>
            </w:pPr>
            <w:r>
              <w:t xml:space="preserve">0.022</w:t>
            </w:r>
          </w:p>
        </w:tc>
        <w:tc>
          <w:tcPr/>
          <w:p>
            <w:pPr>
              <w:pStyle w:val="Compact"/>
              <w:jc w:val="center"/>
            </w:pPr>
            <w:r>
              <w:t xml:space="preserve">0.030</w:t>
            </w:r>
          </w:p>
        </w:tc>
        <w:tc>
          <w:tcPr/>
          <w:p>
            <w:pPr>
              <w:pStyle w:val="Compact"/>
              <w:jc w:val="center"/>
            </w:pPr>
            <w:r>
              <w:t xml:space="preserve">+0.008</w:t>
            </w:r>
          </w:p>
        </w:tc>
      </w:tr>
      <w:tr>
        <w:tc>
          <w:tcPr/>
          <w:p>
            <w:pPr>
              <w:pStyle w:val="Compact"/>
              <w:jc w:val="left"/>
            </w:pPr>
            <w:r>
              <w:t xml:space="preserve">AGG</w:t>
            </w:r>
          </w:p>
        </w:tc>
        <w:tc>
          <w:tcPr/>
          <w:p>
            <w:pPr>
              <w:pStyle w:val="Compact"/>
              <w:jc w:val="left"/>
            </w:pPr>
            <w:r>
              <w:t xml:space="preserve">Bond</w:t>
            </w:r>
          </w:p>
        </w:tc>
        <w:tc>
          <w:tcPr/>
          <w:p>
            <w:pPr>
              <w:pStyle w:val="Compact"/>
              <w:jc w:val="center"/>
            </w:pPr>
            <w:r>
              <w:t xml:space="preserve">0.010</w:t>
            </w:r>
          </w:p>
        </w:tc>
        <w:tc>
          <w:tcPr/>
          <w:p>
            <w:pPr>
              <w:pStyle w:val="Compact"/>
              <w:jc w:val="center"/>
            </w:pPr>
            <w:r>
              <w:t xml:space="preserve">0.019</w:t>
            </w:r>
          </w:p>
        </w:tc>
        <w:tc>
          <w:tcPr/>
          <w:p>
            <w:pPr>
              <w:pStyle w:val="Compact"/>
              <w:jc w:val="center"/>
            </w:pPr>
            <w:r>
              <w:t xml:space="preserve">+0.009</w:t>
            </w:r>
          </w:p>
        </w:tc>
      </w:tr>
      <w:tr>
        <w:tc>
          <w:tcPr/>
          <w:p>
            <w:pPr>
              <w:pStyle w:val="Compact"/>
              <w:jc w:val="left"/>
            </w:pPr>
            <w:r>
              <w:t xml:space="preserve">GLD</w:t>
            </w:r>
          </w:p>
        </w:tc>
        <w:tc>
          <w:tcPr/>
          <w:p>
            <w:pPr>
              <w:pStyle w:val="Compact"/>
              <w:jc w:val="left"/>
            </w:pPr>
            <w:r>
              <w:t xml:space="preserve">Commodity</w:t>
            </w:r>
          </w:p>
        </w:tc>
        <w:tc>
          <w:tcPr/>
          <w:p>
            <w:pPr>
              <w:pStyle w:val="Compact"/>
              <w:jc w:val="center"/>
            </w:pPr>
            <w:r>
              <w:t xml:space="preserve">0.075</w:t>
            </w:r>
          </w:p>
        </w:tc>
        <w:tc>
          <w:tcPr/>
          <w:p>
            <w:pPr>
              <w:pStyle w:val="Compact"/>
              <w:jc w:val="center"/>
            </w:pPr>
            <w:r>
              <w:t xml:space="preserve">0.105</w:t>
            </w:r>
          </w:p>
        </w:tc>
        <w:tc>
          <w:tcPr/>
          <w:p>
            <w:pPr>
              <w:pStyle w:val="Compact"/>
              <w:jc w:val="center"/>
            </w:pPr>
            <w:r>
              <w:t xml:space="preserve">+0.030</w:t>
            </w:r>
          </w:p>
        </w:tc>
      </w:tr>
      <w:tr>
        <w:tc>
          <w:tcPr/>
          <w:p>
            <w:pPr>
              <w:pStyle w:val="Compact"/>
              <w:jc w:val="left"/>
            </w:pPr>
            <w:r>
              <w:t xml:space="preserve">SLV</w:t>
            </w:r>
          </w:p>
        </w:tc>
        <w:tc>
          <w:tcPr/>
          <w:p>
            <w:pPr>
              <w:pStyle w:val="Compact"/>
              <w:jc w:val="left"/>
            </w:pPr>
            <w:r>
              <w:t xml:space="preserve">Commodity</w:t>
            </w:r>
          </w:p>
        </w:tc>
        <w:tc>
          <w:tcPr/>
          <w:p>
            <w:pPr>
              <w:pStyle w:val="Compact"/>
              <w:jc w:val="center"/>
            </w:pPr>
            <w:r>
              <w:t xml:space="preserve">0.174</w:t>
            </w:r>
          </w:p>
        </w:tc>
        <w:tc>
          <w:tcPr/>
          <w:p>
            <w:pPr>
              <w:pStyle w:val="Compact"/>
              <w:jc w:val="center"/>
            </w:pPr>
            <w:r>
              <w:t xml:space="preserve">0.119</w:t>
            </w:r>
          </w:p>
        </w:tc>
        <w:tc>
          <w:tcPr/>
          <w:p>
            <w:pPr>
              <w:pStyle w:val="Compact"/>
              <w:jc w:val="center"/>
            </w:pPr>
            <w:r>
              <w:t xml:space="preserve">-0.055</w:t>
            </w:r>
          </w:p>
        </w:tc>
      </w:tr>
      <w:tr>
        <w:tc>
          <w:tcPr/>
          <w:p>
            <w:pPr>
              <w:pStyle w:val="Compact"/>
              <w:jc w:val="left"/>
            </w:pPr>
            <w:r>
              <w:t xml:space="preserve">USO</w:t>
            </w:r>
          </w:p>
        </w:tc>
        <w:tc>
          <w:tcPr/>
          <w:p>
            <w:pPr>
              <w:pStyle w:val="Compact"/>
              <w:jc w:val="left"/>
            </w:pPr>
            <w:r>
              <w:t xml:space="preserve">Commodity</w:t>
            </w:r>
          </w:p>
        </w:tc>
        <w:tc>
          <w:tcPr/>
          <w:p>
            <w:pPr>
              <w:pStyle w:val="Compact"/>
              <w:jc w:val="center"/>
            </w:pPr>
            <w:r>
              <w:t xml:space="preserve">-0.035</w:t>
            </w:r>
          </w:p>
        </w:tc>
        <w:tc>
          <w:tcPr/>
          <w:p>
            <w:pPr>
              <w:pStyle w:val="Compact"/>
              <w:jc w:val="center"/>
            </w:pPr>
            <w:r>
              <w:t xml:space="preserve">-0.081</w:t>
            </w:r>
          </w:p>
        </w:tc>
        <w:tc>
          <w:tcPr/>
          <w:p>
            <w:pPr>
              <w:pStyle w:val="Compact"/>
              <w:jc w:val="center"/>
            </w:pPr>
            <w:r>
              <w:t xml:space="preserve">-0.046</w:t>
            </w:r>
          </w:p>
        </w:tc>
      </w:tr>
    </w:tbl>
    <w:bookmarkEnd w:id="34"/>
    <w:bookmarkStart w:id="35" w:name="통계적-유의성-dieboldmarianodm-검정"/>
    <w:p>
      <w:pPr>
        <w:pStyle w:val="Heading2"/>
      </w:pPr>
      <w:r>
        <w:t xml:space="preserve">4.7 통계적 유의성: Diebold–Mariano(DM) 검정</w:t>
      </w:r>
    </w:p>
    <w:p>
      <w:pPr>
        <w:pStyle w:val="FirstParagraph"/>
      </w:pPr>
      <w:r>
        <w:t xml:space="preserve">22거래일 지평에서는 Newey–West HAC(bandwidth=22)를 적용한 통계적 검정 결과, WEns 가중 앙상블은 HAR-3 대비 Diebold–Mariano 통계량 -8.80 (p &lt;&lt; 0.001)을 기록하며 극히 유의미하게 우수하였다.</w:t>
      </w:r>
    </w:p>
    <w:p>
      <w:pPr>
        <w:pStyle w:val="BodyText"/>
      </w:pPr>
      <w:r>
        <w:t xml:space="preserve">또한 지평별로 HAC bandwidth를 h로 두고 DM 검정을 확장한 결과, 축소 피처(9개) 기반 비교에서는 예측 오차의 분산 축소 효과가 크지 않아 비교적 유의하지 않았으나, 다수 피처(37) 결합 앙상블은 매우 높은 신뢰도(1% 수준)로 기본 HAR 모형의 한계를 넘어섰다.</w:t>
      </w:r>
    </w:p>
    <w:p>
      <w:pPr>
        <w:pStyle w:val="BodyText"/>
      </w:pPr>
      <w:r>
        <w:t xml:space="preserve">Newey–West HAC 검정(bandwidth=h)에서 WEns vs HAR-3의 DM 통계량은 22d -8.802(p &lt; 0.001), 60d -7.481(p &lt; 0.001)이었으며, 블록 부트스트랩(B=5,000)에서도 각각 -8.756, -7.593(모두 p &lt; 0.001)으로 두 방법 모두 동일한 결론을 지지하였다.</w:t>
      </w:r>
    </w:p>
    <w:bookmarkEnd w:id="35"/>
    <w:bookmarkStart w:id="36" w:name="강건성-검증-요약"/>
    <w:p>
      <w:pPr>
        <w:pStyle w:val="Heading2"/>
      </w:pPr>
      <w:r>
        <w:t xml:space="preserve">4.8 강건성 검증 요약</w:t>
      </w:r>
    </w:p>
    <w:p>
      <w:pPr>
        <w:pStyle w:val="FirstParagraph"/>
      </w:pPr>
      <w:r>
        <w:t xml:space="preserve">표 11는 WEns 앙상블에 대해 수행한 6종 강건성 테스트의 결과를 종합적으로 정리한 것이다. 모든 항목에서 PASS 판정을 받았다.</w:t>
      </w:r>
    </w:p>
    <w:p>
      <w:pPr>
        <w:pStyle w:val="BodyText"/>
      </w:pPr>
      <w:r>
        <w:rPr>
          <w:b/>
          <w:bCs/>
        </w:rPr>
        <w:t xml:space="preserve">표 11. 6종 강건성 테스트 종합표 (22d)</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left"/>
            </w:pPr>
            <w:r>
              <w:t xml:space="preserve">Validation</w:t>
            </w:r>
          </w:p>
        </w:tc>
        <w:tc>
          <w:tcPr/>
          <w:p>
            <w:pPr>
              <w:pStyle w:val="Compact"/>
              <w:jc w:val="left"/>
            </w:pPr>
            <w:r>
              <w:t xml:space="preserve">Result</w:t>
            </w:r>
          </w:p>
        </w:tc>
        <w:tc>
          <w:tcPr/>
          <w:p>
            <w:pPr>
              <w:pStyle w:val="Compact"/>
              <w:jc w:val="center"/>
            </w:pPr>
            <w:r>
              <w:t xml:space="preserve">Verdict</w:t>
            </w:r>
          </w:p>
        </w:tc>
      </w:tr>
      <w:tr>
        <w:tc>
          <w:tcPr/>
          <w:p>
            <w:pPr>
              <w:pStyle w:val="Compact"/>
              <w:jc w:val="left"/>
            </w:pPr>
            <w:r>
              <w:t xml:space="preserve">Multi-split stability</w:t>
            </w:r>
          </w:p>
        </w:tc>
        <w:tc>
          <w:tcPr/>
          <w:p>
            <w:pPr>
              <w:pStyle w:val="Compact"/>
              <w:jc w:val="left"/>
            </w:pPr>
            <w:r>
              <w:t xml:space="preserve">R^2 = 0.793 ± 0.010 (5 splits)</w:t>
            </w:r>
          </w:p>
        </w:tc>
        <w:tc>
          <w:tcPr/>
          <w:p>
            <w:pPr>
              <w:pStyle w:val="Compact"/>
              <w:jc w:val="center"/>
            </w:pPr>
            <w:r>
              <w:rPr>
                <w:b/>
                <w:bCs/>
              </w:rPr>
              <w:t xml:space="preserve">Confirmed</w:t>
            </w:r>
          </w:p>
        </w:tc>
      </w:tr>
      <w:tr>
        <w:tc>
          <w:tcPr/>
          <w:p>
            <w:pPr>
              <w:pStyle w:val="Compact"/>
              <w:jc w:val="left"/>
            </w:pPr>
            <w:r>
              <w:t xml:space="preserve">Alpha sensitivity</w:t>
            </w:r>
          </w:p>
        </w:tc>
        <w:tc>
          <w:tcPr/>
          <w:p>
            <w:pPr>
              <w:pStyle w:val="Compact"/>
              <w:jc w:val="left"/>
            </w:pPr>
            <w:r>
              <w:t xml:space="preserve">R^2 = 0.793~0.802 (alpha ∈ [0.001, 5000])</w:t>
            </w:r>
          </w:p>
        </w:tc>
        <w:tc>
          <w:tcPr/>
          <w:p>
            <w:pPr>
              <w:pStyle w:val="Compact"/>
              <w:jc w:val="center"/>
            </w:pPr>
            <w:r>
              <w:rPr>
                <w:b/>
                <w:bCs/>
              </w:rPr>
              <w:t xml:space="preserve">Confirmed</w:t>
            </w:r>
          </w:p>
        </w:tc>
      </w:tr>
      <w:tr>
        <w:tc>
          <w:tcPr/>
          <w:p>
            <w:pPr>
              <w:pStyle w:val="Compact"/>
              <w:jc w:val="left"/>
            </w:pPr>
            <w:r>
              <w:t xml:space="preserve">5-Fold TS CV</w:t>
            </w:r>
          </w:p>
        </w:tc>
        <w:tc>
          <w:tcPr/>
          <w:p>
            <w:pPr>
              <w:pStyle w:val="Compact"/>
              <w:jc w:val="left"/>
            </w:pPr>
            <w:r>
              <w:t xml:space="preserve">R^2 = 0.765 ± 0.046 (5-fold TimeSeriesSplit)</w:t>
            </w:r>
          </w:p>
        </w:tc>
        <w:tc>
          <w:tcPr/>
          <w:p>
            <w:pPr>
              <w:pStyle w:val="Compact"/>
              <w:jc w:val="center"/>
            </w:pPr>
            <w:r>
              <w:rPr>
                <w:b/>
                <w:bCs/>
              </w:rPr>
              <w:t xml:space="preserve">Confirmed</w:t>
            </w:r>
          </w:p>
        </w:tc>
      </w:tr>
      <w:tr>
        <w:tc>
          <w:tcPr/>
          <w:p>
            <w:pPr>
              <w:pStyle w:val="Compact"/>
              <w:jc w:val="left"/>
            </w:pPr>
            <w:r>
              <w:t xml:space="preserve">Data leakage test</w:t>
            </w:r>
          </w:p>
        </w:tc>
        <w:tc>
          <w:tcPr/>
          <w:p>
            <w:pPr>
              <w:pStyle w:val="Compact"/>
              <w:jc w:val="left"/>
            </w:pPr>
            <w:r>
              <w:t xml:space="preserve">Shuffled R^2=-0.002 (no TS structure→no prediction)</w:t>
            </w:r>
          </w:p>
        </w:tc>
        <w:tc>
          <w:tcPr/>
          <w:p>
            <w:pPr>
              <w:pStyle w:val="Compact"/>
              <w:jc w:val="center"/>
            </w:pPr>
            <w:r>
              <w:rPr>
                <w:b/>
                <w:bCs/>
              </w:rPr>
              <w:t xml:space="preserve">Confirmed</w:t>
            </w:r>
          </w:p>
        </w:tc>
      </w:tr>
      <w:tr>
        <w:tc>
          <w:tcPr/>
          <w:p>
            <w:pPr>
              <w:pStyle w:val="Compact"/>
              <w:jc w:val="left"/>
            </w:pPr>
            <w:r>
              <w:t xml:space="preserve">Permutation Importance</w:t>
            </w:r>
          </w:p>
        </w:tc>
        <w:tc>
          <w:tcPr/>
          <w:p>
            <w:pPr>
              <w:pStyle w:val="Compact"/>
              <w:jc w:val="left"/>
            </w:pPr>
            <w:r>
              <w:t xml:space="preserve">Rogers-Satchell #1 (0.731), HF Proxy dominant</w:t>
            </w:r>
          </w:p>
        </w:tc>
        <w:tc>
          <w:tcPr/>
          <w:p>
            <w:pPr>
              <w:pStyle w:val="Compact"/>
              <w:jc w:val="center"/>
            </w:pPr>
            <w:r>
              <w:rPr>
                <w:b/>
                <w:bCs/>
              </w:rPr>
              <w:t xml:space="preserve">Confirmed</w:t>
            </w:r>
          </w:p>
        </w:tc>
      </w:tr>
      <w:tr>
        <w:tc>
          <w:tcPr/>
          <w:p>
            <w:pPr>
              <w:pStyle w:val="Compact"/>
              <w:jc w:val="left"/>
            </w:pPr>
            <w:r>
              <w:t xml:space="preserve">DM Test (Newey–West HAC)</w:t>
            </w:r>
          </w:p>
        </w:tc>
        <w:tc>
          <w:tcPr/>
          <w:p>
            <w:pPr>
              <w:pStyle w:val="Compact"/>
              <w:jc w:val="left"/>
            </w:pPr>
            <w:r>
              <w:t xml:space="preserve">All comparisons p &lt; 0.001</w:t>
            </w:r>
          </w:p>
        </w:tc>
        <w:tc>
          <w:tcPr/>
          <w:p>
            <w:pPr>
              <w:pStyle w:val="Compact"/>
              <w:jc w:val="center"/>
            </w:pPr>
            <w:r>
              <w:rPr>
                <w:b/>
                <w:bCs/>
              </w:rPr>
              <w:t xml:space="preserve">Confirmed</w:t>
            </w:r>
          </w:p>
        </w:tc>
      </w:tr>
    </w:tbl>
    <w:p>
      <w:pPr>
        <w:pStyle w:val="BodyText"/>
      </w:pPr>
      <w:r>
        <w:t xml:space="preserve">추가로 Commodity IV 대체(GVZ/OVX) 실험에서 GLD +2.6%p, USO +0.8%p 개선이 있으나 전체 성능 변화는 -0.8%p로 제한적이어, 단일 VIX proxy 사용의 타당성이 확인되었다. 블록 부트스트랩 DM 검정(block size=h, B=5,000)에서도 HAC 기반 DM 결과와 일치하여 유의성이 재확인되었다.</w:t>
      </w:r>
    </w:p>
    <w:p>
      <w:pPr>
        <w:pStyle w:val="BodyText"/>
      </w:pPr>
      <w:r>
        <w:t xml:space="preserve">잔차 진단에서 비정규성(Jarque-Bera p &lt; 0.001), 자기상관(Ljung-Box p &lt; 0.001), ARCH 효과(p &lt; 0.001)가 관측되며, 이는 변동성 시계열의 일반적 특성으로 해석할 수 있다. 본 연구는 HAC 기반 검정과 블록 부트스트랩을 통해 이러한 특성이 통계적 비교에 미치는 영향을 완화하였다.</w:t>
      </w:r>
    </w:p>
    <w:bookmarkEnd w:id="36"/>
    <w:bookmarkStart w:id="37" w:name="연구-질문rq에-대한-답변"/>
    <w:p>
      <w:pPr>
        <w:pStyle w:val="Heading2"/>
      </w:pPr>
      <w:r>
        <w:t xml:space="preserve">4.9 연구 질문(RQ)에 대한 답변</w:t>
      </w:r>
    </w:p>
    <w:p>
      <w:pPr>
        <w:pStyle w:val="FirstParagraph"/>
      </w:pPr>
      <w:r>
        <w:t xml:space="preserve">본 장의 실험 결과를 종합하여, 서론에서 제기한 네 가지 연구 질문에 답한다.</w:t>
      </w:r>
    </w:p>
    <w:p>
      <w:pPr>
        <w:pStyle w:val="BodyText"/>
      </w:pPr>
      <w:r>
        <w:rPr>
          <w:b/>
          <w:bCs/>
        </w:rPr>
        <w:t xml:space="preserve">RQ1 (공개 데이터 기반 VRP 예측 가능성).</w:t>
      </w:r>
      <w:r>
        <w:t xml:space="preserve"> </w:t>
      </w:r>
      <w:r>
        <w:t xml:space="preserve">11개 ETF(주식·채권·원자재) 패널에 대해 공개 OHLCV와 VIX 기간구조만을 이용한 VRP 예측이 가능함을 확인하였다. 22d 지평에서 풀링 R^2 0.803을 기록하였으며, HAR 모델 대비 유의미한 우위를 보였다.</w:t>
      </w:r>
    </w:p>
    <w:p>
      <w:pPr>
        <w:pStyle w:val="BodyText"/>
      </w:pPr>
      <w:r>
        <w:rPr>
          <w:b/>
          <w:bCs/>
        </w:rPr>
        <w:t xml:space="preserve">RQ2 (지평별 성능·피처 변화).</w:t>
      </w:r>
      <w:r>
        <w:t xml:space="preserve"> </w:t>
      </w:r>
      <w:r>
        <w:t xml:space="preserve">단기에서는 HAR+Range(8피처) 기반 다중 피처 결합이, 중기에서는 소수의 range 피처가 핵심 역할을 하며, 극단적 변동성 구간에서는 IV Surface 정보의 기여가 상승한다.</w:t>
      </w:r>
    </w:p>
    <w:p>
      <w:pPr>
        <w:pStyle w:val="BodyText"/>
      </w:pPr>
      <w:r>
        <w:rPr>
          <w:b/>
          <w:bCs/>
        </w:rPr>
        <w:t xml:space="preserve">RQ3 (모델 구조별 상대 성능).</w:t>
      </w:r>
      <w:r>
        <w:t xml:space="preserve"> </w:t>
      </w:r>
      <w:r>
        <w:t xml:space="preserve">예측 지평에 따라 최적 모델 구조가 달라져, 1~22d 구간은 정규화 선형 앙상블, 60~90d 구간은 시계열 신경망, 180~252d 구간은 트리 모델이 가장 유리하게 작용하였다.</w:t>
      </w:r>
    </w:p>
    <w:p>
      <w:pPr>
        <w:pStyle w:val="BodyText"/>
      </w:pPr>
      <w:r>
        <w:rPr>
          <w:b/>
          <w:bCs/>
        </w:rPr>
        <w:t xml:space="preserve">RQ4 (예측의 경제적 실효성).</w:t>
      </w:r>
      <w:r>
        <w:t xml:space="preserve"> </w:t>
      </w:r>
      <w:r>
        <w:t xml:space="preserve">SPY 대상 VRP 신호 타이밍 전략 백테스트에서 거래비용(1bp)을 공제한 후에도 Buy &amp; Hold 대비 위험 조정 수익률이 개선되어 경제적 실효성 가능성을 시사하였다(5.3절).</w:t>
      </w:r>
    </w:p>
    <w:bookmarkEnd w:id="37"/>
    <w:bookmarkEnd w:id="38"/>
    <w:bookmarkStart w:id="42" w:name="결론-및-향후-과제"/>
    <w:p>
      <w:pPr>
        <w:pStyle w:val="Heading1"/>
      </w:pPr>
      <w:r>
        <w:t xml:space="preserve">5. 결론 및 향후 과제</w:t>
      </w:r>
    </w:p>
    <w:bookmarkStart w:id="39" w:name="연구-요약"/>
    <w:p>
      <w:pPr>
        <w:pStyle w:val="Heading2"/>
      </w:pPr>
      <w:r>
        <w:t xml:space="preserve">5.1 연구 요약</w:t>
      </w:r>
    </w:p>
    <w:p>
      <w:pPr>
        <w:pStyle w:val="FirstParagraph"/>
      </w:pPr>
      <w:r>
        <w:t xml:space="preserve">본 연구는 공개적으로 이용 가능한 OHLCV 데이터와 변동성 지표만을 이용하여 주식, 채권, 원자재를 포괄하는 다중 자산 VRP 예측 프레임워크를 제안하였다. 2010년 1월 4일부터 2024년 12월 31일까지의 11개 ETF 자료를 바탕으로, 미래 실현분산을 먼저 예측한 후 이를 내재분산 프록시와 결합하는 2단계 구조를 설계하였다. 이 구조는 피처와 타깃에 동일한 IV 정보가 중복 투입되는 문제를 줄이고, RV 예측과 VRP 산출의 역할을 분리함으로써 해석 가능성을 높인다.</w:t>
      </w:r>
    </w:p>
    <w:bookmarkEnd w:id="39"/>
    <w:bookmarkStart w:id="40" w:name="핵심-결과"/>
    <w:p>
      <w:pPr>
        <w:pStyle w:val="Heading2"/>
      </w:pPr>
      <w:r>
        <w:t xml:space="preserve">5.2 핵심 결과</w:t>
      </w:r>
    </w:p>
    <w:p>
      <w:pPr>
        <w:pStyle w:val="FirstParagraph"/>
      </w:pPr>
      <w:r>
        <w:t xml:space="preserve">실증 결과, 예측 지평에 따라 상대적으로 유리한 모형 구조가 달라지는 경향이 확인되었다. 단기 지평에서는 정규화 선형 모형이, 중기 지평에서는 시계열 신경망 모형이, 장기 지평에서는 트리 기반 모형이 상대적으로 안정적인 성능을 나타냈다. 특히 22거래일 지평에서 제안한 weighted ensemble은 Ridge와 XGBoost의 장점을 결합하여 우수한 성능을 보였으며, 70:30 가중치 역시 추가 실험을 통해 안정 구간 내의 보수적 선택으로 확인되었다. 또한 전방 채움 제거, 만기 불일치 점검, 자산특화 변동성 지표 적용 등 강건성 검증을 통해 핵심 결론이 특정 처리 방식에 과도하게 의존하지 않음을 확인하였다.</w:t>
      </w:r>
    </w:p>
    <w:bookmarkEnd w:id="40"/>
    <w:bookmarkStart w:id="41" w:name="경제적-함의-및-연구-의의"/>
    <w:p>
      <w:pPr>
        <w:pStyle w:val="Heading2"/>
      </w:pPr>
      <w:r>
        <w:t xml:space="preserve">5.3 경제적 함의 및 연구 의의</w:t>
      </w:r>
    </w:p>
    <w:p>
      <w:pPr>
        <w:pStyle w:val="FirstParagraph"/>
      </w:pPr>
      <w:r>
        <w:t xml:space="preserve">경제적 활용 측면에서는 SPY를 대상으로 한 단순 타이밍 전략에서 Buy-and-Hold 대비 샤프 비율이 0.705에서 0.804로, 연환산 수익률이 12.37%에서 19.44%로 개선되는 결과가 관찰되었다. 다만 이는 탐색적 결과이며, 통계적으로 강한 유의성을 확보한 결론으로 일반화하기보다는 실무적 가능성을 보여주는 보조 증거로 해석할 필요가 있다. 그럼에도 본 연구는 공개 데이터 기반으로 재현 가능한 cross-asset VRP 예측 체계를 제시하고, 다중 예측 지평에서 모형 구조의 상대적 적합성이 달라질 수 있음을 실증적으로 보여주었다는 점에서 의의를 가진다.</w:t>
      </w:r>
    </w:p>
    <w:bookmarkEnd w:id="41"/>
    <w:bookmarkEnd w:id="42"/>
    <w:bookmarkStart w:id="43" w:name="references"/>
    <w:p>
      <w:pPr>
        <w:pStyle w:val="Heading1"/>
      </w:pPr>
      <w:r>
        <w:t xml:space="preserve">References</w:t>
      </w:r>
    </w:p>
    <w:p>
      <w:pPr>
        <w:pStyle w:val="FirstParagraph"/>
      </w:pPr>
      <w:r>
        <w:t xml:space="preserve">[1] S. Gu, B. Kelly, and D. Xiu, "Empirical asset pricing via machine learning", The Review of Financial Studies, Vol. 33, No. 5, pp. 2223-2273, May 2020.</w:t>
      </w:r>
    </w:p>
    <w:p>
      <w:pPr>
        <w:pStyle w:val="BodyText"/>
      </w:pPr>
      <w:r>
        <w:t xml:space="preserve">[2] F. Corsi, "A simple approximate long-memory model of realized volatility", Journal of Financial Econometrics, Vol. 7, No. 2, pp. 174-196, Mar. 2009.</w:t>
      </w:r>
    </w:p>
    <w:p>
      <w:pPr>
        <w:pStyle w:val="BodyText"/>
      </w:pPr>
      <w:r>
        <w:t xml:space="preserve">[3] F. Audrino and S. Knaus, "Lassoing the HAR model: A model selection perspective on realized volatility dynamics", Journal of Financial Econometrics, Vol. 14, No. 2, pp. 392-427, 2016.</w:t>
      </w:r>
    </w:p>
    <w:p>
      <w:pPr>
        <w:pStyle w:val="BodyText"/>
      </w:pPr>
      <w:r>
        <w:t xml:space="preserve">[4] K. Christensen, M. Siggaard, and B. Veliyev, "Volatility forecasting with machine learning and intraday commonality", Journal of Financial Econometrics, Vol. 22, No. 1, pp. 1-35, Jan. 2024.</w:t>
      </w:r>
    </w:p>
    <w:p>
      <w:pPr>
        <w:pStyle w:val="BodyText"/>
      </w:pPr>
      <w:r>
        <w:t xml:space="preserve">[5] P. Carr and L. Wu, "Variance risk premia", The Review of Financial Studies, Vol. 22, No. 3, pp. 1311-1341, Mar. 2009.</w:t>
      </w:r>
    </w:p>
    <w:p>
      <w:pPr>
        <w:pStyle w:val="BodyText"/>
      </w:pPr>
      <w:r>
        <w:t xml:space="preserve">[6] G. Bekaert and M. Hoerova, "The VIX, the variance premium and stock market volatility", ECB Working Paper, No. 1675, 2014.</w:t>
      </w:r>
    </w:p>
    <w:p>
      <w:pPr>
        <w:pStyle w:val="BodyText"/>
      </w:pPr>
      <w:r>
        <w:t xml:space="preserve">[7] T. Bollerslev, G. Tauchen, and H. Zhou, "Expected stock returns and variance risk premia", The Review of Financial Studies, Vol. 22, No. 11, pp. 4463-4492, Nov. 2009.</w:t>
      </w:r>
    </w:p>
    <w:p>
      <w:pPr>
        <w:pStyle w:val="BodyText"/>
      </w:pPr>
      <w:r>
        <w:t xml:space="preserve">[8] I. Drechsler and A. Yaron, "What’s vol got to do with it", The Review of Financial Studies, Vol. 24, No. 1, pp. 1-45, Jan. 2011.</w:t>
      </w:r>
    </w:p>
    <w:p>
      <w:pPr>
        <w:pStyle w:val="BodyText"/>
      </w:pPr>
      <w:r>
        <w:t xml:space="preserve">[9] B. Zhang, Y. Chen, and Y. Lu, "Nonparametric estimation of variance risk premiums", Journal of Financial Economics, Vol. 142, No. 1, pp. 312-328, Oct. 2021.</w:t>
      </w:r>
    </w:p>
    <w:p>
      <w:pPr>
        <w:pStyle w:val="BodyText"/>
      </w:pPr>
      <w:r>
        <w:t xml:space="preserve">[10] M. Hattori, I. Shim, and Y. Sugihara, "The US variance risk premium and cross-market spillovers", Bank for International Settlements Working Paper, No. 713, Apr. 2018.</w:t>
      </w:r>
    </w:p>
    <w:p>
      <w:pPr>
        <w:pStyle w:val="BodyText"/>
      </w:pPr>
      <w:r>
        <w:t xml:space="preserve">[11] J. R. Ornelas et al., "Volatility risk premia and future commodity returns", Bank for International Settlements Working Paper, No. 619, 2018.</w:t>
      </w:r>
    </w:p>
    <w:p>
      <w:pPr>
        <w:pStyle w:val="BodyText"/>
      </w:pPr>
      <w:r>
        <w:t xml:space="preserve">[12] R. F. Engle, "Autoregressive conditional heteroscedasticity with estimates of the variance of United Kingdom inflation", Econometrica, Vol. 50, No. 4, pp. 987-1007, 1982.</w:t>
      </w:r>
    </w:p>
    <w:p>
      <w:pPr>
        <w:pStyle w:val="BodyText"/>
      </w:pPr>
      <w:r>
        <w:t xml:space="preserve">[13] T. Bollerslev, "Generalized autoregressive conditional heteroskedasticity", Journal of Econometrics, Vol. 31, No. 3, pp. 307-327, 1986.</w:t>
      </w:r>
    </w:p>
    <w:p>
      <w:pPr>
        <w:pStyle w:val="BodyText"/>
      </w:pPr>
      <w:r>
        <w:t xml:space="preserve">[14] P. Carr, L. Wu, and Z. Zhang, "Using machine learning to predict realized variance", arXiv preprint, 2019.</w:t>
      </w:r>
    </w:p>
    <w:p>
      <w:pPr>
        <w:pStyle w:val="BodyText"/>
      </w:pPr>
      <w:r>
        <w:t xml:space="preserve">[15] T. Dierckx, M. Davis, and W. Schoutens, "Machine learning for the FX variance risk premium", Quantitative Finance, Vol. 22, No. 1, pp. 129-143, Jan. 2022.</w:t>
      </w:r>
    </w:p>
    <w:p>
      <w:pPr>
        <w:pStyle w:val="BodyText"/>
      </w:pPr>
      <w:r>
        <w:t xml:space="preserve">[16] S. Heston and V. Todorov, "Exploring the variance risk premium across assets", AEA Conference Paper, 2024.</w:t>
      </w:r>
    </w:p>
    <w:p>
      <w:pPr>
        <w:pStyle w:val="BodyText"/>
      </w:pPr>
      <w:r>
        <w:t xml:space="preserve">[17] M. López de Prado, "Advances in financial machine learning", Wiley, 2018.</w:t>
      </w:r>
    </w:p>
    <w:bookmarkEnd w:id="43"/>
    <w:bookmarkStart w:id="47" w:name="appendix-부록"/>
    <w:p>
      <w:pPr>
        <w:pStyle w:val="Heading1"/>
      </w:pPr>
      <w:r>
        <w:t xml:space="preserve">Appendix (부록)</w:t>
      </w:r>
    </w:p>
    <w:bookmarkStart w:id="44" w:name="a.-피처-구성-및-방법론-상세"/>
    <w:p>
      <w:pPr>
        <w:pStyle w:val="Heading2"/>
      </w:pPr>
      <w:r>
        <w:t xml:space="preserve">A. 피처 구성 및 방법론 상세</w:t>
      </w:r>
    </w:p>
    <w:p>
      <w:pPr>
        <w:pStyle w:val="FirstParagraph"/>
      </w:pPr>
      <w:r>
        <w:rPr>
          <w:b/>
          <w:bCs/>
        </w:rPr>
        <w:t xml:space="preserve">표 A-1. 37개 피처 상세 목록 (WEns Ridge 기준)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jc w:val="left"/>
            </w:pPr>
            <w:r>
              <w:t xml:space="preserve">Group</w:t>
            </w:r>
          </w:p>
        </w:tc>
        <w:tc>
          <w:tcPr/>
          <w:p>
            <w:pPr>
              <w:pStyle w:val="Compact"/>
              <w:jc w:val="left"/>
            </w:pPr>
            <w:r>
              <w:t xml:space="preserve">Variable</w:t>
            </w:r>
          </w:p>
        </w:tc>
        <w:tc>
          <w:tcPr/>
          <w:p>
            <w:pPr>
              <w:pStyle w:val="Compact"/>
              <w:jc w:val="left"/>
            </w:pPr>
            <w:r>
              <w:t xml:space="preserve">Calculation &amp; Description</w:t>
            </w:r>
          </w:p>
        </w:tc>
      </w:tr>
      <w:tr>
        <w:tc>
          <w:tcPr/>
          <w:p>
            <w:pPr>
              <w:pStyle w:val="Compact"/>
              <w:jc w:val="center"/>
            </w:pPr>
            <w:r>
              <w:t xml:space="preserve">1</w:t>
            </w:r>
          </w:p>
        </w:tc>
        <w:tc>
          <w:tcPr/>
          <w:p>
            <w:pPr>
              <w:pStyle w:val="Compact"/>
              <w:jc w:val="left"/>
            </w:pPr>
            <w:r>
              <w:t xml:space="preserve">HAR</w:t>
            </w:r>
          </w:p>
        </w:tc>
        <w:tc>
          <w:tcPr/>
          <w:p>
            <w:pPr>
              <w:pStyle w:val="Compact"/>
              <w:jc w:val="left"/>
            </w:pPr>
            <w:r>
              <w:rPr>
                <w:rStyle w:val="VerbatimChar"/>
              </w:rPr>
              <w:t xml:space="preserve">LogRV_lag1</w:t>
            </w:r>
          </w:p>
        </w:tc>
        <w:tc>
          <w:tcPr/>
          <w:p>
            <w:pPr>
              <w:pStyle w:val="Compact"/>
              <w:jc w:val="left"/>
            </w:pPr>
            <w:r>
              <w:t xml:space="preserve">Prev-day Log-RV: log(RV_t-1)</w:t>
            </w:r>
          </w:p>
        </w:tc>
      </w:tr>
      <w:tr>
        <w:tc>
          <w:tcPr/>
          <w:p>
            <w:pPr>
              <w:pStyle w:val="Compact"/>
              <w:jc w:val="center"/>
            </w:pPr>
            <w:r>
              <w:t xml:space="preserve">2</w:t>
            </w:r>
          </w:p>
        </w:tc>
        <w:tc>
          <w:tcPr/>
          <w:p>
            <w:pPr>
              <w:pStyle w:val="Compact"/>
              <w:jc w:val="left"/>
            </w:pPr>
            <w:r>
              <w:t xml:space="preserve">HAR</w:t>
            </w:r>
          </w:p>
        </w:tc>
        <w:tc>
          <w:tcPr/>
          <w:p>
            <w:pPr>
              <w:pStyle w:val="Compact"/>
              <w:jc w:val="left"/>
            </w:pPr>
            <w:r>
              <w:rPr>
                <w:rStyle w:val="VerbatimChar"/>
              </w:rPr>
              <w:t xml:space="preserve">LogRV_lag5</w:t>
            </w:r>
          </w:p>
        </w:tc>
        <w:tc>
          <w:tcPr/>
          <w:p>
            <w:pPr>
              <w:pStyle w:val="Compact"/>
              <w:jc w:val="left"/>
            </w:pPr>
            <w:r>
              <w:t xml:space="preserve">5d lag Log-RV: log(RV_t-5)</w:t>
            </w:r>
          </w:p>
        </w:tc>
      </w:tr>
      <w:tr>
        <w:tc>
          <w:tcPr/>
          <w:p>
            <w:pPr>
              <w:pStyle w:val="Compact"/>
              <w:jc w:val="center"/>
            </w:pPr>
            <w:r>
              <w:t xml:space="preserve">3</w:t>
            </w:r>
          </w:p>
        </w:tc>
        <w:tc>
          <w:tcPr/>
          <w:p>
            <w:pPr>
              <w:pStyle w:val="Compact"/>
              <w:jc w:val="left"/>
            </w:pPr>
            <w:r>
              <w:t xml:space="preserve">HAR</w:t>
            </w:r>
          </w:p>
        </w:tc>
        <w:tc>
          <w:tcPr/>
          <w:p>
            <w:pPr>
              <w:pStyle w:val="Compact"/>
              <w:jc w:val="left"/>
            </w:pPr>
            <w:r>
              <w:rPr>
                <w:rStyle w:val="VerbatimChar"/>
              </w:rPr>
              <w:t xml:space="preserve">LogRV_lag10</w:t>
            </w:r>
          </w:p>
        </w:tc>
        <w:tc>
          <w:tcPr/>
          <w:p>
            <w:pPr>
              <w:pStyle w:val="Compact"/>
              <w:jc w:val="left"/>
            </w:pPr>
            <w:r>
              <w:t xml:space="preserve">10d lag Log-RV: log(RV_t-10)</w:t>
            </w:r>
          </w:p>
        </w:tc>
      </w:tr>
      <w:tr>
        <w:tc>
          <w:tcPr/>
          <w:p>
            <w:pPr>
              <w:pStyle w:val="Compact"/>
              <w:jc w:val="center"/>
            </w:pPr>
            <w:r>
              <w:t xml:space="preserve">4</w:t>
            </w:r>
          </w:p>
        </w:tc>
        <w:tc>
          <w:tcPr/>
          <w:p>
            <w:pPr>
              <w:pStyle w:val="Compact"/>
              <w:jc w:val="left"/>
            </w:pPr>
            <w:r>
              <w:t xml:space="preserve">HAR</w:t>
            </w:r>
          </w:p>
        </w:tc>
        <w:tc>
          <w:tcPr/>
          <w:p>
            <w:pPr>
              <w:pStyle w:val="Compact"/>
              <w:jc w:val="left"/>
            </w:pPr>
            <w:r>
              <w:rPr>
                <w:rStyle w:val="VerbatimChar"/>
              </w:rPr>
              <w:t xml:space="preserve">LogRV_lag22</w:t>
            </w:r>
          </w:p>
        </w:tc>
        <w:tc>
          <w:tcPr/>
          <w:p>
            <w:pPr>
              <w:pStyle w:val="Compact"/>
              <w:jc w:val="left"/>
            </w:pPr>
            <w:r>
              <w:t xml:space="preserve">22d lag Log-RV: log(RV_t-22)</w:t>
            </w:r>
          </w:p>
        </w:tc>
      </w:tr>
      <w:tr>
        <w:tc>
          <w:tcPr/>
          <w:p>
            <w:pPr>
              <w:pStyle w:val="Compact"/>
              <w:jc w:val="center"/>
            </w:pPr>
            <w:r>
              <w:t xml:space="preserve">5</w:t>
            </w:r>
          </w:p>
        </w:tc>
        <w:tc>
          <w:tcPr/>
          <w:p>
            <w:pPr>
              <w:pStyle w:val="Compact"/>
              <w:jc w:val="left"/>
            </w:pPr>
            <w:r>
              <w:t xml:space="preserve">GARCH</w:t>
            </w:r>
          </w:p>
        </w:tc>
        <w:tc>
          <w:tcPr/>
          <w:p>
            <w:pPr>
              <w:pStyle w:val="Compact"/>
              <w:jc w:val="left"/>
            </w:pPr>
            <w:r>
              <w:rPr>
                <w:rStyle w:val="VerbatimChar"/>
              </w:rPr>
              <w:t xml:space="preserve">Garch_Daily</w:t>
            </w:r>
          </w:p>
        </w:tc>
        <w:tc>
          <w:tcPr/>
          <w:p>
            <w:pPr>
              <w:pStyle w:val="Compact"/>
              <w:jc w:val="left"/>
            </w:pPr>
            <w:r>
              <w:t xml:space="preserve">Daily GARCH(1,1) vol (rolling fit)</w:t>
            </w:r>
          </w:p>
        </w:tc>
      </w:tr>
      <w:tr>
        <w:tc>
          <w:tcPr/>
          <w:p>
            <w:pPr>
              <w:pStyle w:val="Compact"/>
              <w:jc w:val="center"/>
            </w:pPr>
            <w:r>
              <w:t xml:space="preserve">6</w:t>
            </w:r>
          </w:p>
        </w:tc>
        <w:tc>
          <w:tcPr/>
          <w:p>
            <w:pPr>
              <w:pStyle w:val="Compact"/>
              <w:jc w:val="left"/>
            </w:pPr>
            <w:r>
              <w:t xml:space="preserve">GARCH</w:t>
            </w:r>
          </w:p>
        </w:tc>
        <w:tc>
          <w:tcPr/>
          <w:p>
            <w:pPr>
              <w:pStyle w:val="Compact"/>
              <w:jc w:val="left"/>
            </w:pPr>
            <w:r>
              <w:rPr>
                <w:rStyle w:val="VerbatimChar"/>
              </w:rPr>
              <w:t xml:space="preserve">Garch_Weekly</w:t>
            </w:r>
          </w:p>
        </w:tc>
        <w:tc>
          <w:tcPr/>
          <w:p>
            <w:pPr>
              <w:pStyle w:val="Compact"/>
              <w:jc w:val="left"/>
            </w:pPr>
            <w:r>
              <w:t xml:space="preserve">Weekly GARCH vol (weekly returns)</w:t>
            </w:r>
          </w:p>
        </w:tc>
      </w:tr>
      <w:tr>
        <w:tc>
          <w:tcPr/>
          <w:p>
            <w:pPr>
              <w:pStyle w:val="Compact"/>
              <w:jc w:val="center"/>
            </w:pPr>
            <w:r>
              <w:t xml:space="preserve">7</w:t>
            </w:r>
          </w:p>
        </w:tc>
        <w:tc>
          <w:tcPr/>
          <w:p>
            <w:pPr>
              <w:pStyle w:val="Compact"/>
              <w:jc w:val="left"/>
            </w:pPr>
            <w:r>
              <w:t xml:space="preserve">HAR</w:t>
            </w:r>
          </w:p>
        </w:tc>
        <w:tc>
          <w:tcPr/>
          <w:p>
            <w:pPr>
              <w:pStyle w:val="Compact"/>
              <w:jc w:val="left"/>
            </w:pPr>
            <w:r>
              <w:rPr>
                <w:rStyle w:val="VerbatimChar"/>
              </w:rPr>
              <w:t xml:space="preserve">LogRV_Std5</w:t>
            </w:r>
          </w:p>
        </w:tc>
        <w:tc>
          <w:tcPr/>
          <w:p>
            <w:pPr>
              <w:pStyle w:val="Compact"/>
              <w:jc w:val="left"/>
            </w:pPr>
            <w:r>
              <w:t xml:space="preserve">5d Vol-of-Vol: std(log RV, 5d)</w:t>
            </w:r>
          </w:p>
        </w:tc>
      </w:tr>
      <w:tr>
        <w:tc>
          <w:tcPr/>
          <w:p>
            <w:pPr>
              <w:pStyle w:val="Compact"/>
              <w:jc w:val="center"/>
            </w:pPr>
            <w:r>
              <w:t xml:space="preserve">8</w:t>
            </w:r>
          </w:p>
        </w:tc>
        <w:tc>
          <w:tcPr/>
          <w:p>
            <w:pPr>
              <w:pStyle w:val="Compact"/>
              <w:jc w:val="left"/>
            </w:pPr>
            <w:r>
              <w:t xml:space="preserve">HAR</w:t>
            </w:r>
          </w:p>
        </w:tc>
        <w:tc>
          <w:tcPr/>
          <w:p>
            <w:pPr>
              <w:pStyle w:val="Compact"/>
              <w:jc w:val="left"/>
            </w:pPr>
            <w:r>
              <w:rPr>
                <w:rStyle w:val="VerbatimChar"/>
              </w:rPr>
              <w:t xml:space="preserve">LogRV_Std22</w:t>
            </w:r>
          </w:p>
        </w:tc>
        <w:tc>
          <w:tcPr/>
          <w:p>
            <w:pPr>
              <w:pStyle w:val="Compact"/>
              <w:jc w:val="left"/>
            </w:pPr>
            <w:r>
              <w:t xml:space="preserve">22d Vol-of-Vol: std(log RV, 22d)</w:t>
            </w:r>
          </w:p>
        </w:tc>
      </w:tr>
      <w:tr>
        <w:tc>
          <w:tcPr/>
          <w:p>
            <w:pPr>
              <w:pStyle w:val="Compact"/>
              <w:jc w:val="center"/>
            </w:pPr>
            <w:r>
              <w:t xml:space="preserve">9</w:t>
            </w:r>
          </w:p>
        </w:tc>
        <w:tc>
          <w:tcPr/>
          <w:p>
            <w:pPr>
              <w:pStyle w:val="Compact"/>
              <w:jc w:val="left"/>
            </w:pPr>
            <w:r>
              <w:t xml:space="preserve">HAR</w:t>
            </w:r>
          </w:p>
        </w:tc>
        <w:tc>
          <w:tcPr/>
          <w:p>
            <w:pPr>
              <w:pStyle w:val="Compact"/>
              <w:jc w:val="left"/>
            </w:pPr>
            <w:r>
              <w:rPr>
                <w:rStyle w:val="VerbatimChar"/>
              </w:rPr>
              <w:t xml:space="preserve">RV_Mom5</w:t>
            </w:r>
          </w:p>
        </w:tc>
        <w:tc>
          <w:tcPr/>
          <w:p>
            <w:pPr>
              <w:pStyle w:val="Compact"/>
              <w:jc w:val="left"/>
            </w:pPr>
            <w:r>
              <w:t xml:space="preserve">5d vol momentum</w:t>
            </w:r>
          </w:p>
        </w:tc>
      </w:tr>
      <w:tr>
        <w:tc>
          <w:tcPr/>
          <w:p>
            <w:pPr>
              <w:pStyle w:val="Compact"/>
              <w:jc w:val="center"/>
            </w:pPr>
            <w:r>
              <w:t xml:space="preserve">10</w:t>
            </w:r>
          </w:p>
        </w:tc>
        <w:tc>
          <w:tcPr/>
          <w:p>
            <w:pPr>
              <w:pStyle w:val="Compact"/>
              <w:jc w:val="left"/>
            </w:pPr>
            <w:r>
              <w:t xml:space="preserve">HAR</w:t>
            </w:r>
          </w:p>
        </w:tc>
        <w:tc>
          <w:tcPr/>
          <w:p>
            <w:pPr>
              <w:pStyle w:val="Compact"/>
              <w:jc w:val="left"/>
            </w:pPr>
            <w:r>
              <w:rPr>
                <w:rStyle w:val="VerbatimChar"/>
              </w:rPr>
              <w:t xml:space="preserve">RV_Mom22</w:t>
            </w:r>
          </w:p>
        </w:tc>
        <w:tc>
          <w:tcPr/>
          <w:p>
            <w:pPr>
              <w:pStyle w:val="Compact"/>
              <w:jc w:val="left"/>
            </w:pPr>
            <w:r>
              <w:t xml:space="preserve">22d vol momentum</w:t>
            </w:r>
          </w:p>
        </w:tc>
      </w:tr>
      <w:tr>
        <w:tc>
          <w:tcPr/>
          <w:p>
            <w:pPr>
              <w:pStyle w:val="Compact"/>
              <w:jc w:val="center"/>
            </w:pPr>
            <w:r>
              <w:t xml:space="preserve">11</w:t>
            </w:r>
          </w:p>
        </w:tc>
        <w:tc>
          <w:tcPr/>
          <w:p>
            <w:pPr>
              <w:pStyle w:val="Compact"/>
              <w:jc w:val="left"/>
            </w:pPr>
            <w:r>
              <w:t xml:space="preserve">Cross</w:t>
            </w:r>
          </w:p>
        </w:tc>
        <w:tc>
          <w:tcPr/>
          <w:p>
            <w:pPr>
              <w:pStyle w:val="Compact"/>
              <w:jc w:val="left"/>
            </w:pPr>
            <w:r>
              <w:rPr>
                <w:rStyle w:val="VerbatimChar"/>
              </w:rPr>
              <w:t xml:space="preserve">SPY_LogRV</w:t>
            </w:r>
          </w:p>
        </w:tc>
        <w:tc>
          <w:tcPr/>
          <w:p>
            <w:pPr>
              <w:pStyle w:val="Compact"/>
              <w:jc w:val="left"/>
            </w:pPr>
            <w:r>
              <w:t xml:space="preserve">SPY Log-RV (market ref)</w:t>
            </w:r>
          </w:p>
        </w:tc>
      </w:tr>
      <w:tr>
        <w:tc>
          <w:tcPr/>
          <w:p>
            <w:pPr>
              <w:pStyle w:val="Compact"/>
              <w:jc w:val="center"/>
            </w:pPr>
            <w:r>
              <w:t xml:space="preserve">12</w:t>
            </w:r>
          </w:p>
        </w:tc>
        <w:tc>
          <w:tcPr/>
          <w:p>
            <w:pPr>
              <w:pStyle w:val="Compact"/>
              <w:jc w:val="left"/>
            </w:pPr>
            <w:r>
              <w:t xml:space="preserve">HAR</w:t>
            </w:r>
          </w:p>
        </w:tc>
        <w:tc>
          <w:tcPr/>
          <w:p>
            <w:pPr>
              <w:pStyle w:val="Compact"/>
              <w:jc w:val="left"/>
            </w:pPr>
            <w:r>
              <w:rPr>
                <w:rStyle w:val="VerbatimChar"/>
              </w:rPr>
              <w:t xml:space="preserve">Ret_lag1</w:t>
            </w:r>
          </w:p>
        </w:tc>
        <w:tc>
          <w:tcPr/>
          <w:p>
            <w:pPr>
              <w:pStyle w:val="Compact"/>
              <w:jc w:val="left"/>
            </w:pPr>
            <w:r>
              <w:t xml:space="preserve">Prev-day log return</w:t>
            </w:r>
          </w:p>
        </w:tc>
      </w:tr>
      <w:tr>
        <w:tc>
          <w:tcPr/>
          <w:p>
            <w:pPr>
              <w:pStyle w:val="Compact"/>
              <w:jc w:val="center"/>
            </w:pPr>
            <w:r>
              <w:t xml:space="preserve">13</w:t>
            </w:r>
          </w:p>
        </w:tc>
        <w:tc>
          <w:tcPr/>
          <w:p>
            <w:pPr>
              <w:pStyle w:val="Compact"/>
              <w:jc w:val="left"/>
            </w:pPr>
            <w:r>
              <w:t xml:space="preserve">HAR</w:t>
            </w:r>
          </w:p>
        </w:tc>
        <w:tc>
          <w:tcPr/>
          <w:p>
            <w:pPr>
              <w:pStyle w:val="Compact"/>
              <w:jc w:val="left"/>
            </w:pPr>
            <w:r>
              <w:rPr>
                <w:rStyle w:val="VerbatimChar"/>
              </w:rPr>
              <w:t xml:space="preserve">Ret_abs_lag1</w:t>
            </w:r>
          </w:p>
        </w:tc>
        <w:tc>
          <w:tcPr/>
          <w:p>
            <w:pPr>
              <w:pStyle w:val="Compact"/>
              <w:jc w:val="left"/>
            </w:pPr>
            <w:r>
              <w:t xml:space="preserve">Prev-day abs return</w:t>
            </w:r>
          </w:p>
        </w:tc>
      </w:tr>
      <w:tr>
        <w:tc>
          <w:tcPr/>
          <w:p>
            <w:pPr>
              <w:pStyle w:val="Compact"/>
              <w:jc w:val="center"/>
            </w:pPr>
            <w:r>
              <w:t xml:space="preserve">14</w:t>
            </w:r>
          </w:p>
        </w:tc>
        <w:tc>
          <w:tcPr/>
          <w:p>
            <w:pPr>
              <w:pStyle w:val="Compact"/>
              <w:jc w:val="left"/>
            </w:pPr>
            <w:r>
              <w:t xml:space="preserve">Cross</w:t>
            </w:r>
          </w:p>
        </w:tc>
        <w:tc>
          <w:tcPr/>
          <w:p>
            <w:pPr>
              <w:pStyle w:val="Compact"/>
              <w:jc w:val="left"/>
            </w:pPr>
            <w:r>
              <w:rPr>
                <w:rStyle w:val="VerbatimChar"/>
              </w:rPr>
              <w:t xml:space="preserve">Corr_SPY</w:t>
            </w:r>
          </w:p>
        </w:tc>
        <w:tc>
          <w:tcPr/>
          <w:p>
            <w:pPr>
              <w:pStyle w:val="Compact"/>
              <w:jc w:val="left"/>
            </w:pPr>
            <w:r>
              <w:t xml:space="preserve">SPY corr (22d rolling)</w:t>
            </w:r>
          </w:p>
        </w:tc>
      </w:tr>
      <w:tr>
        <w:tc>
          <w:tcPr/>
          <w:p>
            <w:pPr>
              <w:pStyle w:val="Compact"/>
              <w:jc w:val="center"/>
            </w:pPr>
            <w:r>
              <w:t xml:space="preserve">15</w:t>
            </w:r>
          </w:p>
        </w:tc>
        <w:tc>
          <w:tcPr/>
          <w:p>
            <w:pPr>
              <w:pStyle w:val="Compact"/>
              <w:jc w:val="left"/>
            </w:pPr>
            <w:r>
              <w:t xml:space="preserve">HF</w:t>
            </w:r>
          </w:p>
        </w:tc>
        <w:tc>
          <w:tcPr/>
          <w:p>
            <w:pPr>
              <w:pStyle w:val="Compact"/>
              <w:jc w:val="left"/>
            </w:pPr>
            <w:r>
              <w:rPr>
                <w:rStyle w:val="VerbatimChar"/>
              </w:rPr>
              <w:t xml:space="preserve">Parkinson_5</w:t>
            </w:r>
          </w:p>
        </w:tc>
        <w:tc>
          <w:tcPr/>
          <w:p>
            <w:pPr>
              <w:pStyle w:val="Compact"/>
              <w:jc w:val="left"/>
            </w:pPr>
            <w:r>
              <w:t xml:space="preserve">5d Parkinson vol</w:t>
            </w:r>
          </w:p>
        </w:tc>
      </w:tr>
      <w:tr>
        <w:tc>
          <w:tcPr/>
          <w:p>
            <w:pPr>
              <w:pStyle w:val="Compact"/>
              <w:jc w:val="center"/>
            </w:pPr>
            <w:r>
              <w:t xml:space="preserve">16</w:t>
            </w:r>
          </w:p>
        </w:tc>
        <w:tc>
          <w:tcPr/>
          <w:p>
            <w:pPr>
              <w:pStyle w:val="Compact"/>
              <w:jc w:val="left"/>
            </w:pPr>
            <w:r>
              <w:t xml:space="preserve">HF</w:t>
            </w:r>
          </w:p>
        </w:tc>
        <w:tc>
          <w:tcPr/>
          <w:p>
            <w:pPr>
              <w:pStyle w:val="Compact"/>
              <w:jc w:val="left"/>
            </w:pPr>
            <w:r>
              <w:rPr>
                <w:rStyle w:val="VerbatimChar"/>
              </w:rPr>
              <w:t xml:space="preserve">Parkinson_22</w:t>
            </w:r>
          </w:p>
        </w:tc>
        <w:tc>
          <w:tcPr/>
          <w:p>
            <w:pPr>
              <w:pStyle w:val="Compact"/>
              <w:jc w:val="left"/>
            </w:pPr>
            <w:r>
              <w:t xml:space="preserve">22d Parkinson vol</w:t>
            </w:r>
          </w:p>
        </w:tc>
      </w:tr>
      <w:tr>
        <w:tc>
          <w:tcPr/>
          <w:p>
            <w:pPr>
              <w:pStyle w:val="Compact"/>
              <w:jc w:val="center"/>
            </w:pPr>
            <w:r>
              <w:t xml:space="preserve">17</w:t>
            </w:r>
          </w:p>
        </w:tc>
        <w:tc>
          <w:tcPr/>
          <w:p>
            <w:pPr>
              <w:pStyle w:val="Compact"/>
              <w:jc w:val="left"/>
            </w:pPr>
            <w:r>
              <w:t xml:space="preserve">HF</w:t>
            </w:r>
          </w:p>
        </w:tc>
        <w:tc>
          <w:tcPr/>
          <w:p>
            <w:pPr>
              <w:pStyle w:val="Compact"/>
              <w:jc w:val="left"/>
            </w:pPr>
            <w:r>
              <w:rPr>
                <w:rStyle w:val="VerbatimChar"/>
              </w:rPr>
              <w:t xml:space="preserve">GarmanKlass_22</w:t>
            </w:r>
          </w:p>
        </w:tc>
        <w:tc>
          <w:tcPr/>
          <w:p>
            <w:pPr>
              <w:pStyle w:val="Compact"/>
              <w:jc w:val="left"/>
            </w:pPr>
            <w:r>
              <w:t xml:space="preserve">22d Garman-Klass vol</w:t>
            </w:r>
          </w:p>
        </w:tc>
      </w:tr>
      <w:tr>
        <w:tc>
          <w:tcPr/>
          <w:p>
            <w:pPr>
              <w:pStyle w:val="Compact"/>
              <w:jc w:val="center"/>
            </w:pPr>
            <w:r>
              <w:t xml:space="preserve">18</w:t>
            </w:r>
          </w:p>
        </w:tc>
        <w:tc>
          <w:tcPr/>
          <w:p>
            <w:pPr>
              <w:pStyle w:val="Compact"/>
              <w:jc w:val="left"/>
            </w:pPr>
            <w:r>
              <w:t xml:space="preserve">HF</w:t>
            </w:r>
          </w:p>
        </w:tc>
        <w:tc>
          <w:tcPr/>
          <w:p>
            <w:pPr>
              <w:pStyle w:val="Compact"/>
              <w:jc w:val="left"/>
            </w:pPr>
            <w:r>
              <w:rPr>
                <w:rStyle w:val="VerbatimChar"/>
              </w:rPr>
              <w:t xml:space="preserve">RogersSatchell_22</w:t>
            </w:r>
          </w:p>
        </w:tc>
        <w:tc>
          <w:tcPr/>
          <w:p>
            <w:pPr>
              <w:pStyle w:val="Compact"/>
              <w:jc w:val="left"/>
            </w:pPr>
            <w:r>
              <w:t xml:space="preserve">22d Rogers-Satchell vol</w:t>
            </w:r>
          </w:p>
        </w:tc>
      </w:tr>
      <w:tr>
        <w:tc>
          <w:tcPr/>
          <w:p>
            <w:pPr>
              <w:pStyle w:val="Compact"/>
              <w:jc w:val="center"/>
            </w:pPr>
            <w:r>
              <w:t xml:space="preserve">19</w:t>
            </w:r>
          </w:p>
        </w:tc>
        <w:tc>
          <w:tcPr/>
          <w:p>
            <w:pPr>
              <w:pStyle w:val="Compact"/>
              <w:jc w:val="left"/>
            </w:pPr>
            <w:r>
              <w:t xml:space="preserve">HF</w:t>
            </w:r>
          </w:p>
        </w:tc>
        <w:tc>
          <w:tcPr/>
          <w:p>
            <w:pPr>
              <w:pStyle w:val="Compact"/>
              <w:jc w:val="left"/>
            </w:pPr>
            <w:r>
              <w:rPr>
                <w:rStyle w:val="VerbatimChar"/>
              </w:rPr>
              <w:t xml:space="preserve">Range_Close_Ratio</w:t>
            </w:r>
          </w:p>
        </w:tc>
        <w:tc>
          <w:tcPr/>
          <w:p>
            <w:pPr>
              <w:pStyle w:val="Compact"/>
              <w:jc w:val="left"/>
            </w:pPr>
            <w:r>
              <w:t xml:space="preserve">Range-close ratio</w:t>
            </w:r>
          </w:p>
        </w:tc>
      </w:tr>
      <w:tr>
        <w:tc>
          <w:tcPr/>
          <w:p>
            <w:pPr>
              <w:pStyle w:val="Compact"/>
              <w:jc w:val="center"/>
            </w:pPr>
            <w:r>
              <w:t xml:space="preserve">20</w:t>
            </w:r>
          </w:p>
        </w:tc>
        <w:tc>
          <w:tcPr/>
          <w:p>
            <w:pPr>
              <w:pStyle w:val="Compact"/>
              <w:jc w:val="left"/>
            </w:pPr>
            <w:r>
              <w:t xml:space="preserve">HF</w:t>
            </w:r>
          </w:p>
        </w:tc>
        <w:tc>
          <w:tcPr/>
          <w:p>
            <w:pPr>
              <w:pStyle w:val="Compact"/>
              <w:jc w:val="left"/>
            </w:pPr>
            <w:r>
              <w:rPr>
                <w:rStyle w:val="VerbatimChar"/>
              </w:rPr>
              <w:t xml:space="preserve">Overnight_Vol</w:t>
            </w:r>
          </w:p>
        </w:tc>
        <w:tc>
          <w:tcPr/>
          <w:p>
            <w:pPr>
              <w:pStyle w:val="Compact"/>
              <w:jc w:val="left"/>
            </w:pPr>
            <w:r>
              <w:t xml:space="preserve">Overnight vol</w:t>
            </w:r>
          </w:p>
        </w:tc>
      </w:tr>
      <w:tr>
        <w:tc>
          <w:tcPr/>
          <w:p>
            <w:pPr>
              <w:pStyle w:val="Compact"/>
              <w:jc w:val="center"/>
            </w:pPr>
            <w:r>
              <w:t xml:space="preserve">21</w:t>
            </w:r>
          </w:p>
        </w:tc>
        <w:tc>
          <w:tcPr/>
          <w:p>
            <w:pPr>
              <w:pStyle w:val="Compact"/>
              <w:jc w:val="left"/>
            </w:pPr>
            <w:r>
              <w:t xml:space="preserve">HF</w:t>
            </w:r>
          </w:p>
        </w:tc>
        <w:tc>
          <w:tcPr/>
          <w:p>
            <w:pPr>
              <w:pStyle w:val="Compact"/>
              <w:jc w:val="left"/>
            </w:pPr>
            <w:r>
              <w:rPr>
                <w:rStyle w:val="VerbatimChar"/>
              </w:rPr>
              <w:t xml:space="preserve">Overnight_Ret</w:t>
            </w:r>
          </w:p>
        </w:tc>
        <w:tc>
          <w:tcPr/>
          <w:p>
            <w:pPr>
              <w:pStyle w:val="Compact"/>
              <w:jc w:val="left"/>
            </w:pPr>
            <w:r>
              <w:t xml:space="preserve">Overnight return</w:t>
            </w:r>
          </w:p>
        </w:tc>
      </w:tr>
      <w:tr>
        <w:tc>
          <w:tcPr/>
          <w:p>
            <w:pPr>
              <w:pStyle w:val="Compact"/>
              <w:jc w:val="center"/>
            </w:pPr>
            <w:r>
              <w:t xml:space="preserve">22</w:t>
            </w:r>
          </w:p>
        </w:tc>
        <w:tc>
          <w:tcPr/>
          <w:p>
            <w:pPr>
              <w:pStyle w:val="Compact"/>
              <w:jc w:val="left"/>
            </w:pPr>
            <w:r>
              <w:t xml:space="preserve">IV</w:t>
            </w:r>
          </w:p>
        </w:tc>
        <w:tc>
          <w:tcPr/>
          <w:p>
            <w:pPr>
              <w:pStyle w:val="Compact"/>
              <w:jc w:val="left"/>
            </w:pPr>
            <w:r>
              <w:rPr>
                <w:rStyle w:val="VerbatimChar"/>
              </w:rPr>
              <w:t xml:space="preserve">IV_VIX</w:t>
            </w:r>
          </w:p>
        </w:tc>
        <w:tc>
          <w:tcPr/>
          <w:p>
            <w:pPr>
              <w:pStyle w:val="Compact"/>
              <w:jc w:val="left"/>
            </w:pPr>
            <w:r>
              <w:t xml:space="preserve">VIX level: log(VIX)</w:t>
            </w:r>
          </w:p>
        </w:tc>
      </w:tr>
      <w:tr>
        <w:tc>
          <w:tcPr/>
          <w:p>
            <w:pPr>
              <w:pStyle w:val="Compact"/>
              <w:jc w:val="center"/>
            </w:pPr>
            <w:r>
              <w:t xml:space="preserve">23</w:t>
            </w:r>
          </w:p>
        </w:tc>
        <w:tc>
          <w:tcPr/>
          <w:p>
            <w:pPr>
              <w:pStyle w:val="Compact"/>
              <w:jc w:val="left"/>
            </w:pPr>
            <w:r>
              <w:t xml:space="preserve">IV</w:t>
            </w:r>
          </w:p>
        </w:tc>
        <w:tc>
          <w:tcPr/>
          <w:p>
            <w:pPr>
              <w:pStyle w:val="Compact"/>
              <w:jc w:val="left"/>
            </w:pPr>
            <w:r>
              <w:rPr>
                <w:rStyle w:val="VerbatimChar"/>
              </w:rPr>
              <w:t xml:space="preserve">IV_VIX_chg</w:t>
            </w:r>
          </w:p>
        </w:tc>
        <w:tc>
          <w:tcPr/>
          <w:p>
            <w:pPr>
              <w:pStyle w:val="Compact"/>
              <w:jc w:val="left"/>
            </w:pPr>
            <w:r>
              <w:t xml:space="preserve">VIX daily change</w:t>
            </w:r>
          </w:p>
        </w:tc>
      </w:tr>
      <w:tr>
        <w:tc>
          <w:tcPr/>
          <w:p>
            <w:pPr>
              <w:pStyle w:val="Compact"/>
              <w:jc w:val="center"/>
            </w:pPr>
            <w:r>
              <w:t xml:space="preserve">24</w:t>
            </w:r>
          </w:p>
        </w:tc>
        <w:tc>
          <w:tcPr/>
          <w:p>
            <w:pPr>
              <w:pStyle w:val="Compact"/>
              <w:jc w:val="left"/>
            </w:pPr>
            <w:r>
              <w:t xml:space="preserve">IV</w:t>
            </w:r>
          </w:p>
        </w:tc>
        <w:tc>
          <w:tcPr/>
          <w:p>
            <w:pPr>
              <w:pStyle w:val="Compact"/>
              <w:jc w:val="left"/>
            </w:pPr>
            <w:r>
              <w:rPr>
                <w:rStyle w:val="VerbatimChar"/>
              </w:rPr>
              <w:t xml:space="preserve">IV_VIX_ma5</w:t>
            </w:r>
          </w:p>
        </w:tc>
        <w:tc>
          <w:tcPr/>
          <w:p>
            <w:pPr>
              <w:pStyle w:val="Compact"/>
              <w:jc w:val="left"/>
            </w:pPr>
            <w:r>
              <w:t xml:space="preserve">VIX 5d MA</w:t>
            </w:r>
          </w:p>
        </w:tc>
      </w:tr>
      <w:tr>
        <w:tc>
          <w:tcPr/>
          <w:p>
            <w:pPr>
              <w:pStyle w:val="Compact"/>
              <w:jc w:val="center"/>
            </w:pPr>
            <w:r>
              <w:t xml:space="preserve">25</w:t>
            </w:r>
          </w:p>
        </w:tc>
        <w:tc>
          <w:tcPr/>
          <w:p>
            <w:pPr>
              <w:pStyle w:val="Compact"/>
              <w:jc w:val="left"/>
            </w:pPr>
            <w:r>
              <w:t xml:space="preserve">IV</w:t>
            </w:r>
          </w:p>
        </w:tc>
        <w:tc>
          <w:tcPr/>
          <w:p>
            <w:pPr>
              <w:pStyle w:val="Compact"/>
              <w:jc w:val="left"/>
            </w:pPr>
            <w:r>
              <w:rPr>
                <w:rStyle w:val="VerbatimChar"/>
              </w:rPr>
              <w:t xml:space="preserve">IV_VIX_std5</w:t>
            </w:r>
          </w:p>
        </w:tc>
        <w:tc>
          <w:tcPr/>
          <w:p>
            <w:pPr>
              <w:pStyle w:val="Compact"/>
              <w:jc w:val="left"/>
            </w:pPr>
            <w:r>
              <w:t xml:space="preserve">VIX 5d std (VVIX proxy)</w:t>
            </w:r>
          </w:p>
        </w:tc>
      </w:tr>
      <w:tr>
        <w:tc>
          <w:tcPr/>
          <w:p>
            <w:pPr>
              <w:pStyle w:val="Compact"/>
              <w:jc w:val="center"/>
            </w:pPr>
            <w:r>
              <w:t xml:space="preserve">26</w:t>
            </w:r>
          </w:p>
        </w:tc>
        <w:tc>
          <w:tcPr/>
          <w:p>
            <w:pPr>
              <w:pStyle w:val="Compact"/>
              <w:jc w:val="left"/>
            </w:pPr>
            <w:r>
              <w:t xml:space="preserve">IV</w:t>
            </w:r>
          </w:p>
        </w:tc>
        <w:tc>
          <w:tcPr/>
          <w:p>
            <w:pPr>
              <w:pStyle w:val="Compact"/>
              <w:jc w:val="left"/>
            </w:pPr>
            <w:r>
              <w:rPr>
                <w:rStyle w:val="VerbatimChar"/>
              </w:rPr>
              <w:t xml:space="preserve">IV_VIX3M</w:t>
            </w:r>
          </w:p>
        </w:tc>
        <w:tc>
          <w:tcPr/>
          <w:p>
            <w:pPr>
              <w:pStyle w:val="Compact"/>
              <w:jc w:val="left"/>
            </w:pPr>
            <w:r>
              <w:t xml:space="preserve">VIX3M level: log(VIX3M)</w:t>
            </w:r>
          </w:p>
        </w:tc>
      </w:tr>
      <w:tr>
        <w:tc>
          <w:tcPr/>
          <w:p>
            <w:pPr>
              <w:pStyle w:val="Compact"/>
              <w:jc w:val="center"/>
            </w:pPr>
            <w:r>
              <w:t xml:space="preserve">27</w:t>
            </w:r>
          </w:p>
        </w:tc>
        <w:tc>
          <w:tcPr/>
          <w:p>
            <w:pPr>
              <w:pStyle w:val="Compact"/>
              <w:jc w:val="left"/>
            </w:pPr>
            <w:r>
              <w:t xml:space="preserve">IV</w:t>
            </w:r>
          </w:p>
        </w:tc>
        <w:tc>
          <w:tcPr/>
          <w:p>
            <w:pPr>
              <w:pStyle w:val="Compact"/>
              <w:jc w:val="left"/>
            </w:pPr>
            <w:r>
              <w:rPr>
                <w:rStyle w:val="VerbatimChar"/>
              </w:rPr>
              <w:t xml:space="preserve">IV_VIX_TermSlope</w:t>
            </w:r>
          </w:p>
        </w:tc>
        <w:tc>
          <w:tcPr/>
          <w:p>
            <w:pPr>
              <w:pStyle w:val="Compact"/>
              <w:jc w:val="left"/>
            </w:pPr>
            <w:r>
              <w:t xml:space="preserve">VIX term slope</w:t>
            </w:r>
          </w:p>
        </w:tc>
      </w:tr>
      <w:tr>
        <w:tc>
          <w:tcPr/>
          <w:p>
            <w:pPr>
              <w:pStyle w:val="Compact"/>
              <w:jc w:val="center"/>
            </w:pPr>
            <w:r>
              <w:t xml:space="preserve">28</w:t>
            </w:r>
          </w:p>
        </w:tc>
        <w:tc>
          <w:tcPr/>
          <w:p>
            <w:pPr>
              <w:pStyle w:val="Compact"/>
              <w:jc w:val="left"/>
            </w:pPr>
            <w:r>
              <w:t xml:space="preserve">IV</w:t>
            </w:r>
          </w:p>
        </w:tc>
        <w:tc>
          <w:tcPr/>
          <w:p>
            <w:pPr>
              <w:pStyle w:val="Compact"/>
              <w:jc w:val="left"/>
            </w:pPr>
            <w:r>
              <w:rPr>
                <w:rStyle w:val="VerbatimChar"/>
              </w:rPr>
              <w:t xml:space="preserve">IV_VIX9D</w:t>
            </w:r>
          </w:p>
        </w:tc>
        <w:tc>
          <w:tcPr/>
          <w:p>
            <w:pPr>
              <w:pStyle w:val="Compact"/>
              <w:jc w:val="left"/>
            </w:pPr>
            <w:r>
              <w:t xml:space="preserve">VIX9D level: log(VIX9D)</w:t>
            </w:r>
          </w:p>
        </w:tc>
      </w:tr>
      <w:tr>
        <w:tc>
          <w:tcPr/>
          <w:p>
            <w:pPr>
              <w:pStyle w:val="Compact"/>
              <w:jc w:val="center"/>
            </w:pPr>
            <w:r>
              <w:t xml:space="preserve">29</w:t>
            </w:r>
          </w:p>
        </w:tc>
        <w:tc>
          <w:tcPr/>
          <w:p>
            <w:pPr>
              <w:pStyle w:val="Compact"/>
              <w:jc w:val="left"/>
            </w:pPr>
            <w:r>
              <w:t xml:space="preserve">IV</w:t>
            </w:r>
          </w:p>
        </w:tc>
        <w:tc>
          <w:tcPr/>
          <w:p>
            <w:pPr>
              <w:pStyle w:val="Compact"/>
              <w:jc w:val="left"/>
            </w:pPr>
            <w:r>
              <w:rPr>
                <w:rStyle w:val="VerbatimChar"/>
              </w:rPr>
              <w:t xml:space="preserve">IV_VIX_ShortSlope</w:t>
            </w:r>
          </w:p>
        </w:tc>
        <w:tc>
          <w:tcPr/>
          <w:p>
            <w:pPr>
              <w:pStyle w:val="Compact"/>
              <w:jc w:val="left"/>
            </w:pPr>
            <w:r>
              <w:t xml:space="preserve">VIX9D slope</w:t>
            </w:r>
          </w:p>
        </w:tc>
      </w:tr>
      <w:tr>
        <w:tc>
          <w:tcPr/>
          <w:p>
            <w:pPr>
              <w:pStyle w:val="Compact"/>
              <w:jc w:val="center"/>
            </w:pPr>
            <w:r>
              <w:t xml:space="preserve">30</w:t>
            </w:r>
          </w:p>
        </w:tc>
        <w:tc>
          <w:tcPr/>
          <w:p>
            <w:pPr>
              <w:pStyle w:val="Compact"/>
              <w:jc w:val="left"/>
            </w:pPr>
            <w:r>
              <w:t xml:space="preserve">IV</w:t>
            </w:r>
          </w:p>
        </w:tc>
        <w:tc>
          <w:tcPr/>
          <w:p>
            <w:pPr>
              <w:pStyle w:val="Compact"/>
              <w:jc w:val="left"/>
            </w:pPr>
            <w:r>
              <w:rPr>
                <w:rStyle w:val="VerbatimChar"/>
              </w:rPr>
              <w:t xml:space="preserve">IV_VRP</w:t>
            </w:r>
          </w:p>
        </w:tc>
        <w:tc>
          <w:tcPr/>
          <w:p>
            <w:pPr>
              <w:pStyle w:val="Compact"/>
              <w:jc w:val="left"/>
            </w:pPr>
            <w:r>
              <w:t xml:space="preserve">VRP proxy: VIX^2/100 - RV_SPY</w:t>
            </w:r>
          </w:p>
        </w:tc>
      </w:tr>
      <w:tr>
        <w:tc>
          <w:tcPr/>
          <w:p>
            <w:pPr>
              <w:pStyle w:val="Compact"/>
              <w:jc w:val="center"/>
            </w:pPr>
            <w:r>
              <w:t xml:space="preserve">31</w:t>
            </w:r>
          </w:p>
        </w:tc>
        <w:tc>
          <w:tcPr/>
          <w:p>
            <w:pPr>
              <w:pStyle w:val="Compact"/>
              <w:jc w:val="left"/>
            </w:pPr>
            <w:r>
              <w:t xml:space="preserve">IV</w:t>
            </w:r>
          </w:p>
        </w:tc>
        <w:tc>
          <w:tcPr/>
          <w:p>
            <w:pPr>
              <w:pStyle w:val="Compact"/>
              <w:jc w:val="left"/>
            </w:pPr>
            <w:r>
              <w:rPr>
                <w:rStyle w:val="VerbatimChar"/>
              </w:rPr>
              <w:t xml:space="preserve">IV_VRP_ma22</w:t>
            </w:r>
          </w:p>
        </w:tc>
        <w:tc>
          <w:tcPr/>
          <w:p>
            <w:pPr>
              <w:pStyle w:val="Compact"/>
              <w:jc w:val="left"/>
            </w:pPr>
            <w:r>
              <w:t xml:space="preserve">VRP 22d MA</w:t>
            </w:r>
          </w:p>
        </w:tc>
      </w:tr>
      <w:tr>
        <w:tc>
          <w:tcPr/>
          <w:p>
            <w:pPr>
              <w:pStyle w:val="Compact"/>
              <w:jc w:val="center"/>
            </w:pPr>
            <w:r>
              <w:t xml:space="preserve">32</w:t>
            </w:r>
          </w:p>
        </w:tc>
        <w:tc>
          <w:tcPr/>
          <w:p>
            <w:pPr>
              <w:pStyle w:val="Compact"/>
              <w:jc w:val="left"/>
            </w:pPr>
            <w:r>
              <w:t xml:space="preserve">Alt</w:t>
            </w:r>
          </w:p>
        </w:tc>
        <w:tc>
          <w:tcPr/>
          <w:p>
            <w:pPr>
              <w:pStyle w:val="Compact"/>
              <w:jc w:val="left"/>
            </w:pPr>
            <w:r>
              <w:rPr>
                <w:rStyle w:val="VerbatimChar"/>
              </w:rPr>
              <w:t xml:space="preserve">AltVol_Amihud</w:t>
            </w:r>
          </w:p>
        </w:tc>
        <w:tc>
          <w:tcPr/>
          <w:p>
            <w:pPr>
              <w:pStyle w:val="Compact"/>
              <w:jc w:val="left"/>
            </w:pPr>
            <w:r>
              <w:t xml:space="preserve">Amihud illiquidity (22d)</w:t>
            </w:r>
          </w:p>
        </w:tc>
      </w:tr>
      <w:tr>
        <w:tc>
          <w:tcPr/>
          <w:p>
            <w:pPr>
              <w:pStyle w:val="Compact"/>
              <w:jc w:val="center"/>
            </w:pPr>
            <w:r>
              <w:t xml:space="preserve">33</w:t>
            </w:r>
          </w:p>
        </w:tc>
        <w:tc>
          <w:tcPr/>
          <w:p>
            <w:pPr>
              <w:pStyle w:val="Compact"/>
              <w:jc w:val="left"/>
            </w:pPr>
            <w:r>
              <w:t xml:space="preserve">Alt</w:t>
            </w:r>
          </w:p>
        </w:tc>
        <w:tc>
          <w:tcPr/>
          <w:p>
            <w:pPr>
              <w:pStyle w:val="Compact"/>
              <w:jc w:val="left"/>
            </w:pPr>
            <w:r>
              <w:rPr>
                <w:rStyle w:val="VerbatimChar"/>
              </w:rPr>
              <w:t xml:space="preserve">AltVol_Vol_Ratio</w:t>
            </w:r>
          </w:p>
        </w:tc>
        <w:tc>
          <w:tcPr/>
          <w:p>
            <w:pPr>
              <w:pStyle w:val="Compact"/>
              <w:jc w:val="left"/>
            </w:pPr>
            <w:r>
              <w:t xml:space="preserve">Volume ratio (short/long)</w:t>
            </w:r>
          </w:p>
        </w:tc>
      </w:tr>
      <w:tr>
        <w:tc>
          <w:tcPr/>
          <w:p>
            <w:pPr>
              <w:pStyle w:val="Compact"/>
              <w:jc w:val="center"/>
            </w:pPr>
            <w:r>
              <w:t xml:space="preserve">34</w:t>
            </w:r>
          </w:p>
        </w:tc>
        <w:tc>
          <w:tcPr/>
          <w:p>
            <w:pPr>
              <w:pStyle w:val="Compact"/>
              <w:jc w:val="left"/>
            </w:pPr>
            <w:r>
              <w:t xml:space="preserve">Alt</w:t>
            </w:r>
          </w:p>
        </w:tc>
        <w:tc>
          <w:tcPr/>
          <w:p>
            <w:pPr>
              <w:pStyle w:val="Compact"/>
              <w:jc w:val="left"/>
            </w:pPr>
            <w:r>
              <w:rPr>
                <w:rStyle w:val="VerbatimChar"/>
              </w:rPr>
              <w:t xml:space="preserve">AltVol_PV_Corr</w:t>
            </w:r>
          </w:p>
        </w:tc>
        <w:tc>
          <w:tcPr/>
          <w:p>
            <w:pPr>
              <w:pStyle w:val="Compact"/>
              <w:jc w:val="left"/>
            </w:pPr>
            <w:r>
              <w:t xml:space="preserve">Price-volume corr</w:t>
            </w:r>
          </w:p>
        </w:tc>
      </w:tr>
      <w:tr>
        <w:tc>
          <w:tcPr/>
          <w:p>
            <w:pPr>
              <w:pStyle w:val="Compact"/>
              <w:jc w:val="center"/>
            </w:pPr>
            <w:r>
              <w:t xml:space="preserve">35</w:t>
            </w:r>
          </w:p>
        </w:tc>
        <w:tc>
          <w:tcPr/>
          <w:p>
            <w:pPr>
              <w:pStyle w:val="Compact"/>
              <w:jc w:val="left"/>
            </w:pPr>
            <w:r>
              <w:t xml:space="preserve">Alt</w:t>
            </w:r>
          </w:p>
        </w:tc>
        <w:tc>
          <w:tcPr/>
          <w:p>
            <w:pPr>
              <w:pStyle w:val="Compact"/>
              <w:jc w:val="left"/>
            </w:pPr>
            <w:r>
              <w:rPr>
                <w:rStyle w:val="VerbatimChar"/>
              </w:rPr>
              <w:t xml:space="preserve">AltVol_Vol_Surprise</w:t>
            </w:r>
          </w:p>
        </w:tc>
        <w:tc>
          <w:tcPr/>
          <w:p>
            <w:pPr>
              <w:pStyle w:val="Compact"/>
              <w:jc w:val="left"/>
            </w:pPr>
            <w:r>
              <w:t xml:space="preserve">Volume surprise (Z-score)</w:t>
            </w:r>
          </w:p>
        </w:tc>
      </w:tr>
      <w:tr>
        <w:tc>
          <w:tcPr/>
          <w:p>
            <w:pPr>
              <w:pStyle w:val="Compact"/>
              <w:jc w:val="center"/>
            </w:pPr>
            <w:r>
              <w:t xml:space="preserve">36</w:t>
            </w:r>
          </w:p>
        </w:tc>
        <w:tc>
          <w:tcPr/>
          <w:p>
            <w:pPr>
              <w:pStyle w:val="Compact"/>
              <w:jc w:val="left"/>
            </w:pPr>
            <w:r>
              <w:t xml:space="preserve">Alt</w:t>
            </w:r>
          </w:p>
        </w:tc>
        <w:tc>
          <w:tcPr/>
          <w:p>
            <w:pPr>
              <w:pStyle w:val="Compact"/>
              <w:jc w:val="left"/>
            </w:pPr>
            <w:r>
              <w:rPr>
                <w:rStyle w:val="VerbatimChar"/>
              </w:rPr>
              <w:t xml:space="preserve">AltVol_Order_Imbalance</w:t>
            </w:r>
          </w:p>
        </w:tc>
        <w:tc>
          <w:tcPr/>
          <w:p>
            <w:pPr>
              <w:pStyle w:val="Compact"/>
              <w:jc w:val="left"/>
            </w:pPr>
            <w:r>
              <w:t xml:space="preserve">Signed volume imbalance</w:t>
            </w:r>
          </w:p>
        </w:tc>
      </w:tr>
      <w:tr>
        <w:tc>
          <w:tcPr/>
          <w:p>
            <w:pPr>
              <w:pStyle w:val="Compact"/>
              <w:jc w:val="center"/>
            </w:pPr>
            <w:r>
              <w:t xml:space="preserve">37</w:t>
            </w:r>
          </w:p>
        </w:tc>
        <w:tc>
          <w:tcPr/>
          <w:p>
            <w:pPr>
              <w:pStyle w:val="Compact"/>
              <w:jc w:val="left"/>
            </w:pPr>
            <w:r>
              <w:t xml:space="preserve">Alt</w:t>
            </w:r>
          </w:p>
        </w:tc>
        <w:tc>
          <w:tcPr/>
          <w:p>
            <w:pPr>
              <w:pStyle w:val="Compact"/>
              <w:jc w:val="left"/>
            </w:pPr>
            <w:r>
              <w:rPr>
                <w:rStyle w:val="VerbatimChar"/>
              </w:rPr>
              <w:t xml:space="preserve">AltVol_Kyle_Lambda</w:t>
            </w:r>
          </w:p>
        </w:tc>
        <w:tc>
          <w:tcPr/>
          <w:p>
            <w:pPr>
              <w:pStyle w:val="Compact"/>
              <w:jc w:val="left"/>
            </w:pPr>
            <w:r>
              <w:t xml:space="preserve">Kyle Lambda (price impact)</w:t>
            </w:r>
          </w:p>
        </w:tc>
      </w:tr>
    </w:tbl>
    <w:p>
      <w:pPr>
        <w:pStyle w:val="BodyText"/>
      </w:pPr>
      <w:r>
        <w:rPr>
          <w:b/>
          <w:bCs/>
        </w:rPr>
        <w:t xml:space="preserve">표 A-2. 정규화 계열 알고리즘의 선형-비선형 특성 구조 비교표</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t xml:space="preserve">Method</w:t>
            </w:r>
          </w:p>
        </w:tc>
        <w:tc>
          <w:tcPr/>
          <w:p>
            <w:pPr>
              <w:pStyle w:val="Compact"/>
              <w:jc w:val="left"/>
            </w:pPr>
            <w:r>
              <w:t xml:space="preserve">Penalty</w:t>
            </w:r>
          </w:p>
        </w:tc>
        <w:tc>
          <w:tcPr/>
          <w:p>
            <w:pPr>
              <w:pStyle w:val="Compact"/>
              <w:jc w:val="center"/>
            </w:pPr>
            <w:r>
              <w:t xml:space="preserve">Feat Select</w:t>
            </w:r>
          </w:p>
        </w:tc>
        <w:tc>
          <w:tcPr/>
          <w:p>
            <w:pPr>
              <w:pStyle w:val="Compact"/>
              <w:jc w:val="left"/>
            </w:pPr>
            <w:r>
              <w:t xml:space="preserve">Multicollinearity</w:t>
            </w:r>
          </w:p>
        </w:tc>
        <w:tc>
          <w:tcPr/>
          <w:p>
            <w:pPr>
              <w:pStyle w:val="Compact"/>
              <w:jc w:val="left"/>
            </w:pPr>
            <w:r>
              <w:t xml:space="preserve">Overfitting Control</w:t>
            </w:r>
          </w:p>
        </w:tc>
      </w:tr>
      <w:tr>
        <w:tc>
          <w:tcPr/>
          <w:p>
            <w:pPr>
              <w:pStyle w:val="Compact"/>
              <w:jc w:val="left"/>
            </w:pPr>
            <w:r>
              <w:rPr>
                <w:b/>
                <w:bCs/>
              </w:rPr>
              <w:t xml:space="preserve">L1 (LASSO)</w:t>
            </w:r>
          </w:p>
        </w:tc>
        <w:tc>
          <w:tcPr/>
          <w:p>
            <w:pPr>
              <w:pStyle w:val="Compact"/>
              <w:jc w:val="left"/>
            </w:pPr>
            <w:r>
              <w:t xml:space="preserve">lambda |beta|_1</w:t>
            </w:r>
          </w:p>
        </w:tc>
        <w:tc>
          <w:tcPr/>
          <w:p>
            <w:pPr>
              <w:pStyle w:val="Compact"/>
              <w:jc w:val="center"/>
            </w:pPr>
            <w:r>
              <w:t xml:space="preserve">O</w:t>
            </w:r>
          </w:p>
        </w:tc>
        <w:tc>
          <w:tcPr/>
          <w:p>
            <w:pPr>
              <w:pStyle w:val="Compact"/>
              <w:jc w:val="left"/>
            </w:pPr>
            <w:r>
              <w:t xml:space="preserve">Selects one among correlated feat (Sparsity)</w:t>
            </w:r>
          </w:p>
        </w:tc>
        <w:tc>
          <w:tcPr/>
          <w:p>
            <w:pPr>
              <w:pStyle w:val="Compact"/>
              <w:jc w:val="left"/>
            </w:pPr>
            <w:r>
              <w:t xml:space="preserve">Shrinks minor coefs to exact zero</w:t>
            </w:r>
          </w:p>
        </w:tc>
      </w:tr>
      <w:tr>
        <w:tc>
          <w:tcPr/>
          <w:p>
            <w:pPr>
              <w:pStyle w:val="Compact"/>
              <w:jc w:val="left"/>
            </w:pPr>
            <w:r>
              <w:rPr>
                <w:b/>
                <w:bCs/>
              </w:rPr>
              <w:t xml:space="preserve">L2 (Ridge)</w:t>
            </w:r>
          </w:p>
        </w:tc>
        <w:tc>
          <w:tcPr/>
          <w:p>
            <w:pPr>
              <w:pStyle w:val="Compact"/>
              <w:jc w:val="left"/>
            </w:pPr>
            <w:r>
              <w:t xml:space="preserve">alpha |beta|_2^2</w:t>
            </w:r>
          </w:p>
        </w:tc>
        <w:tc>
          <w:tcPr/>
          <w:p>
            <w:pPr>
              <w:pStyle w:val="Compact"/>
              <w:jc w:val="center"/>
            </w:pPr>
            <w:r>
              <w:t xml:space="preserve">X</w:t>
            </w:r>
          </w:p>
        </w:tc>
        <w:tc>
          <w:tcPr/>
          <w:p>
            <w:pPr>
              <w:pStyle w:val="Compact"/>
              <w:jc w:val="left"/>
            </w:pPr>
            <w:r>
              <w:t xml:space="preserve">Retains all correlated feat, shrinks variance</w:t>
            </w:r>
          </w:p>
        </w:tc>
        <w:tc>
          <w:tcPr/>
          <w:p>
            <w:pPr>
              <w:pStyle w:val="Compact"/>
              <w:jc w:val="left"/>
            </w:pPr>
            <w:r>
              <w:t xml:space="preserve">Improves condition number of X^TX</w:t>
            </w:r>
          </w:p>
        </w:tc>
      </w:tr>
      <w:tr>
        <w:tc>
          <w:tcPr/>
          <w:p>
            <w:pPr>
              <w:pStyle w:val="Compact"/>
              <w:jc w:val="left"/>
            </w:pPr>
            <w:r>
              <w:rPr>
                <w:b/>
                <w:bCs/>
              </w:rPr>
              <w:t xml:space="preserve">ElasticNet</w:t>
            </w:r>
          </w:p>
        </w:tc>
        <w:tc>
          <w:tcPr/>
          <w:p>
            <w:pPr>
              <w:pStyle w:val="Compact"/>
              <w:jc w:val="left"/>
            </w:pPr>
            <w:r>
              <w:t xml:space="preserve">rho L1 + (1-rho) L2</w:t>
            </w:r>
          </w:p>
        </w:tc>
        <w:tc>
          <w:tcPr/>
          <w:p>
            <w:pPr>
              <w:pStyle w:val="Compact"/>
              <w:jc w:val="center"/>
            </w:pPr>
            <w:r>
              <w:t xml:space="preserve">Yes</w:t>
            </w:r>
          </w:p>
        </w:tc>
        <w:tc>
          <w:tcPr/>
          <w:p>
            <w:pPr>
              <w:pStyle w:val="Compact"/>
              <w:jc w:val="left"/>
            </w:pPr>
            <w:r>
              <w:t xml:space="preserve">L1+L2 mix (group selection/retention)</w:t>
            </w:r>
          </w:p>
        </w:tc>
        <w:tc>
          <w:tcPr/>
          <w:p>
            <w:pPr>
              <w:pStyle w:val="Compact"/>
              <w:jc w:val="left"/>
            </w:pPr>
            <w:r>
              <w:t xml:space="preserve">Hyperparameter-based feat selection</w:t>
            </w:r>
          </w:p>
        </w:tc>
      </w:tr>
      <w:tr>
        <w:tc>
          <w:tcPr/>
          <w:p>
            <w:pPr>
              <w:pStyle w:val="Compact"/>
              <w:jc w:val="left"/>
            </w:pPr>
            <w:r>
              <w:rPr>
                <w:b/>
                <w:bCs/>
              </w:rPr>
              <w:t xml:space="preserve">Dropout(DL)</w:t>
            </w:r>
          </w:p>
        </w:tc>
        <w:tc>
          <w:tcPr/>
          <w:p>
            <w:pPr>
              <w:pStyle w:val="Compact"/>
              <w:jc w:val="left"/>
            </w:pPr>
            <w:r>
              <w:t xml:space="preserve">Structural node dropout</w:t>
            </w:r>
          </w:p>
        </w:tc>
        <w:tc>
          <w:tcPr/>
          <w:p>
            <w:pPr>
              <w:pStyle w:val="Compact"/>
              <w:jc w:val="center"/>
            </w:pPr>
            <w:r>
              <w:t xml:space="preserve">No</w:t>
            </w:r>
          </w:p>
        </w:tc>
        <w:tc>
          <w:tcPr/>
          <w:p>
            <w:pPr>
              <w:pStyle w:val="Compact"/>
              <w:jc w:val="left"/>
            </w:pPr>
            <w:r>
              <w:t xml:space="preserve">Differs from linear</w:t>
            </w:r>
          </w:p>
        </w:tc>
        <w:tc>
          <w:tcPr/>
          <w:p>
            <w:pPr>
              <w:pStyle w:val="Compact"/>
              <w:jc w:val="left"/>
            </w:pPr>
            <w:r>
              <w:t xml:space="preserve">Random node removal during training</w:t>
            </w:r>
          </w:p>
        </w:tc>
      </w:tr>
    </w:tbl>
    <w:p>
      <w:pPr>
        <w:pStyle w:val="BlockText"/>
      </w:pPr>
      <w:r>
        <w:rPr>
          <w:b/>
          <w:bCs/>
        </w:rPr>
        <w:t xml:space="preserve">Ridge 수학적 구조</w:t>
      </w:r>
      <w:r>
        <w:t xml:space="preserve">: WEns의 핵심 모델인 Ridge 회귀의 해석적 해(closed-form)는 beta_hat_Ridge = ( X^T X + alpha I )^-1 X^T y 로 계산되어, X 행렬의 상관성이 높을 때 분산을 획기적으로 낮출 수 있으며 37개 변수 모두를 보존하는 특성을 갖는다.</w:t>
      </w:r>
    </w:p>
    <w:bookmarkEnd w:id="44"/>
    <w:bookmarkStart w:id="45" w:name="b.-성능-분포-보충-근거"/>
    <w:p>
      <w:pPr>
        <w:pStyle w:val="Heading2"/>
      </w:pPr>
      <w:r>
        <w:t xml:space="preserve">B. 성능 분포 보충 근거</w:t>
      </w:r>
    </w:p>
    <w:p>
      <w:pPr>
        <w:pStyle w:val="FirstParagraph"/>
      </w:pPr>
      <w:r>
        <w:rPr>
          <w:b/>
          <w:bCs/>
        </w:rPr>
        <w:t xml:space="preserve">표 A-3. Range 기반 추정량의 이론적 효율성 비교</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left"/>
            </w:pPr>
            <w:r>
              <w:t xml:space="preserve">Estimator</w:t>
            </w:r>
          </w:p>
        </w:tc>
        <w:tc>
          <w:tcPr/>
          <w:p>
            <w:pPr>
              <w:pStyle w:val="Compact"/>
              <w:jc w:val="left"/>
            </w:pPr>
            <w:r>
              <w:t xml:space="preserve">Formula</w:t>
            </w:r>
          </w:p>
        </w:tc>
        <w:tc>
          <w:tcPr/>
          <w:p>
            <w:pPr>
              <w:pStyle w:val="Compact"/>
              <w:jc w:val="center"/>
            </w:pPr>
            <w:r>
              <w:t xml:space="preserve">Efficiency</w:t>
            </w:r>
          </w:p>
        </w:tc>
        <w:tc>
          <w:tcPr/>
          <w:p>
            <w:pPr>
              <w:pStyle w:val="Compact"/>
              <w:jc w:val="left"/>
            </w:pPr>
            <w:r>
              <w:t xml:space="preserve">Application</w:t>
            </w:r>
          </w:p>
        </w:tc>
      </w:tr>
      <w:tr>
        <w:tc>
          <w:tcPr/>
          <w:p>
            <w:pPr>
              <w:pStyle w:val="Compact"/>
              <w:jc w:val="left"/>
            </w:pPr>
            <w:r>
              <w:t xml:space="preserve">Close-to-Close</w:t>
            </w:r>
          </w:p>
        </w:tc>
        <w:tc>
          <w:tcPr/>
          <w:p>
            <w:pPr>
              <w:pStyle w:val="Compact"/>
              <w:jc w:val="left"/>
            </w:pPr>
            <w:r>
              <w:t xml:space="preserve">(C-O)^2</w:t>
            </w:r>
          </w:p>
        </w:tc>
        <w:tc>
          <w:tcPr/>
          <w:p>
            <w:pPr>
              <w:pStyle w:val="Compact"/>
              <w:jc w:val="center"/>
            </w:pPr>
            <w:r>
              <w:t xml:space="preserve">1.0x (Baseline)</w:t>
            </w:r>
          </w:p>
        </w:tc>
        <w:tc>
          <w:tcPr/>
          <w:p>
            <w:pPr>
              <w:pStyle w:val="Compact"/>
              <w:jc w:val="left"/>
            </w:pPr>
            <w:r>
              <w:t xml:space="preserve">Not used (baseline RV)</w:t>
            </w:r>
          </w:p>
        </w:tc>
      </w:tr>
      <w:tr>
        <w:tc>
          <w:tcPr/>
          <w:p>
            <w:pPr>
              <w:pStyle w:val="Compact"/>
              <w:jc w:val="left"/>
            </w:pPr>
            <w:r>
              <w:t xml:space="preserve">Parkinson</w:t>
            </w:r>
          </w:p>
        </w:tc>
        <w:tc>
          <w:tcPr/>
          <w:p>
            <w:pPr>
              <w:pStyle w:val="Compact"/>
              <w:jc w:val="left"/>
            </w:pPr>
            <w:r>
              <w:t xml:space="preserve">∝ (H-L)^2</w:t>
            </w:r>
          </w:p>
        </w:tc>
        <w:tc>
          <w:tcPr/>
          <w:p>
            <w:pPr>
              <w:pStyle w:val="Compact"/>
              <w:jc w:val="center"/>
            </w:pPr>
            <w:r>
              <w:t xml:space="preserve">5.0x</w:t>
            </w:r>
          </w:p>
        </w:tc>
        <w:tc>
          <w:tcPr/>
          <w:p>
            <w:pPr>
              <w:pStyle w:val="Compact"/>
              <w:jc w:val="left"/>
            </w:pPr>
            <w:r>
              <w:t xml:space="preserve">5d, 22d feat</w:t>
            </w:r>
          </w:p>
        </w:tc>
      </w:tr>
      <w:tr>
        <w:tc>
          <w:tcPr/>
          <w:p>
            <w:pPr>
              <w:pStyle w:val="Compact"/>
              <w:jc w:val="left"/>
            </w:pPr>
            <w:r>
              <w:t xml:space="preserve">Rogers-Satchell</w:t>
            </w:r>
          </w:p>
        </w:tc>
        <w:tc>
          <w:tcPr/>
          <w:p>
            <w:pPr>
              <w:pStyle w:val="Compact"/>
              <w:jc w:val="left"/>
            </w:pPr>
            <w:r>
              <w:t xml:space="preserve">(H-C)(H-O)+(L-C)(L-O)</w:t>
            </w:r>
          </w:p>
        </w:tc>
        <w:tc>
          <w:tcPr/>
          <w:p>
            <w:pPr>
              <w:pStyle w:val="Compact"/>
              <w:jc w:val="center"/>
            </w:pPr>
            <w:r>
              <w:t xml:space="preserve">5.0x (Drift-robust)</w:t>
            </w:r>
          </w:p>
        </w:tc>
        <w:tc>
          <w:tcPr/>
          <w:p>
            <w:pPr>
              <w:pStyle w:val="Compact"/>
              <w:jc w:val="left"/>
            </w:pPr>
            <w:r>
              <w:rPr>
                <w:b/>
                <w:bCs/>
              </w:rPr>
              <w:t xml:space="preserve">BiLSTM-A top feat</w:t>
            </w:r>
          </w:p>
        </w:tc>
      </w:tr>
      <w:tr>
        <w:tc>
          <w:tcPr/>
          <w:p>
            <w:pPr>
              <w:pStyle w:val="Compact"/>
              <w:jc w:val="left"/>
            </w:pPr>
            <w:r>
              <w:t xml:space="preserve">Garman-Klass</w:t>
            </w:r>
          </w:p>
        </w:tc>
        <w:tc>
          <w:tcPr/>
          <w:p>
            <w:pPr>
              <w:pStyle w:val="Compact"/>
              <w:jc w:val="left"/>
            </w:pPr>
            <w:r>
              <w:t xml:space="preserve">0.5(H-L)^2 - (C-O)^2</w:t>
            </w:r>
          </w:p>
        </w:tc>
        <w:tc>
          <w:tcPr/>
          <w:p>
            <w:pPr>
              <w:pStyle w:val="Compact"/>
              <w:jc w:val="center"/>
            </w:pPr>
            <w:r>
              <w:t xml:space="preserve">7.4x</w:t>
            </w:r>
          </w:p>
        </w:tc>
        <w:tc>
          <w:tcPr/>
          <w:p>
            <w:pPr>
              <w:pStyle w:val="Compact"/>
              <w:jc w:val="left"/>
            </w:pPr>
            <w:r>
              <w:t xml:space="preserve">BiLSTM-A feat, WEns #2</w:t>
            </w:r>
          </w:p>
        </w:tc>
      </w:tr>
    </w:tbl>
    <w:p>
      <w:pPr>
        <w:pStyle w:val="BlockText"/>
      </w:pPr>
      <w:r>
        <w:rPr>
          <w:b/>
          <w:bCs/>
        </w:rPr>
        <w:t xml:space="preserve">참고</w:t>
      </w:r>
      <w:r>
        <w:t xml:space="preserve">: BiLSTM-A는 소수의 range 피처만으로도 경쟁력 있는 성능을 보였으며, 피처 수를 크게 늘리지 않고도 중기 지평에서 유의미한 예측력을 확보할 수 있음을 시사한다. 피처 수별 성능 분포는 표 7의 동일 조건 비교를 참조한다.</w:t>
      </w:r>
    </w:p>
    <w:p>
      <w:pPr>
        <w:pStyle w:val="FirstParagraph"/>
      </w:pPr>
      <w:r>
        <w:rPr>
          <w:b/>
          <w:bCs/>
        </w:rPr>
        <w:t xml:space="preserve">표 A-4. 모델 복잡도(파라미터 수) vs 22d 예측 성능 (R^2)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center"/>
            </w:pPr>
            <w:r>
              <w:t xml:space="preserve">~Params</w:t>
            </w:r>
          </w:p>
        </w:tc>
        <w:tc>
          <w:tcPr/>
          <w:p>
            <w:pPr>
              <w:pStyle w:val="Compact"/>
              <w:jc w:val="center"/>
            </w:pPr>
            <w:r>
              <w:t xml:space="preserve">Pooled R^2</w:t>
            </w:r>
          </w:p>
        </w:tc>
      </w:tr>
      <w:tr>
        <w:tc>
          <w:tcPr/>
          <w:p>
            <w:pPr>
              <w:pStyle w:val="Compact"/>
              <w:jc w:val="left"/>
            </w:pPr>
            <w:r>
              <w:t xml:space="preserve">GARCH</w:t>
            </w:r>
          </w:p>
        </w:tc>
        <w:tc>
          <w:tcPr/>
          <w:p>
            <w:pPr>
              <w:pStyle w:val="Compact"/>
              <w:jc w:val="center"/>
            </w:pPr>
            <w:r>
              <w:t xml:space="preserve">~5</w:t>
            </w:r>
          </w:p>
        </w:tc>
        <w:tc>
          <w:tcPr/>
          <w:p>
            <w:pPr>
              <w:pStyle w:val="Compact"/>
              <w:jc w:val="center"/>
            </w:pPr>
            <w:r>
              <w:t xml:space="preserve">0.550</w:t>
            </w:r>
          </w:p>
        </w:tc>
      </w:tr>
      <w:tr>
        <w:tc>
          <w:tcPr/>
          <w:p>
            <w:pPr>
              <w:pStyle w:val="Compact"/>
              <w:jc w:val="left"/>
            </w:pPr>
            <w:r>
              <w:t xml:space="preserve">HAR-3</w:t>
            </w:r>
          </w:p>
        </w:tc>
        <w:tc>
          <w:tcPr/>
          <w:p>
            <w:pPr>
              <w:pStyle w:val="Compact"/>
              <w:jc w:val="center"/>
            </w:pPr>
            <w:r>
              <w:t xml:space="preserve">~4</w:t>
            </w:r>
          </w:p>
        </w:tc>
        <w:tc>
          <w:tcPr/>
          <w:p>
            <w:pPr>
              <w:pStyle w:val="Compact"/>
              <w:jc w:val="center"/>
            </w:pPr>
            <w:r>
              <w:t xml:space="preserve">0.761</w:t>
            </w:r>
          </w:p>
        </w:tc>
      </w:tr>
      <w:tr>
        <w:tc>
          <w:tcPr/>
          <w:p>
            <w:pPr>
              <w:pStyle w:val="Compact"/>
              <w:jc w:val="left"/>
            </w:pPr>
            <w:r>
              <w:t xml:space="preserve">Ridge (per-class)</w:t>
            </w:r>
          </w:p>
        </w:tc>
        <w:tc>
          <w:tcPr/>
          <w:p>
            <w:pPr>
              <w:pStyle w:val="Compact"/>
              <w:jc w:val="center"/>
            </w:pPr>
            <w:r>
              <w:t xml:space="preserve">~38</w:t>
            </w:r>
          </w:p>
        </w:tc>
        <w:tc>
          <w:tcPr/>
          <w:p>
            <w:pPr>
              <w:pStyle w:val="Compact"/>
              <w:jc w:val="center"/>
            </w:pPr>
            <w:r>
              <w:t xml:space="preserve">0.762</w:t>
            </w:r>
          </w:p>
        </w:tc>
      </w:tr>
      <w:tr>
        <w:tc>
          <w:tcPr/>
          <w:p>
            <w:pPr>
              <w:pStyle w:val="Compact"/>
              <w:jc w:val="left"/>
            </w:pPr>
            <w:r>
              <w:t xml:space="preserve">Random Forest</w:t>
            </w:r>
          </w:p>
        </w:tc>
        <w:tc>
          <w:tcPr/>
          <w:p>
            <w:pPr>
              <w:pStyle w:val="Compact"/>
              <w:jc w:val="center"/>
            </w:pPr>
            <w:r>
              <w:t xml:space="preserve">~1,000</w:t>
            </w:r>
          </w:p>
        </w:tc>
        <w:tc>
          <w:tcPr/>
          <w:p>
            <w:pPr>
              <w:pStyle w:val="Compact"/>
              <w:jc w:val="center"/>
            </w:pPr>
            <w:r>
              <w:t xml:space="preserve">0.770</w:t>
            </w:r>
          </w:p>
        </w:tc>
      </w:tr>
      <w:tr>
        <w:tc>
          <w:tcPr/>
          <w:p>
            <w:pPr>
              <w:pStyle w:val="Compact"/>
              <w:jc w:val="left"/>
            </w:pPr>
            <w:r>
              <w:t xml:space="preserve">BiLSTM-A</w:t>
            </w:r>
          </w:p>
        </w:tc>
        <w:tc>
          <w:tcPr/>
          <w:p>
            <w:pPr>
              <w:pStyle w:val="Compact"/>
              <w:jc w:val="center"/>
            </w:pPr>
            <w:r>
              <w:t xml:space="preserve">~9,000</w:t>
            </w:r>
          </w:p>
        </w:tc>
        <w:tc>
          <w:tcPr/>
          <w:p>
            <w:pPr>
              <w:pStyle w:val="Compact"/>
              <w:jc w:val="center"/>
            </w:pPr>
            <w:r>
              <w:t xml:space="preserve">0.780</w:t>
            </w:r>
          </w:p>
        </w:tc>
      </w:tr>
      <w:tr>
        <w:tc>
          <w:tcPr/>
          <w:p>
            <w:pPr>
              <w:pStyle w:val="Compact"/>
              <w:jc w:val="left"/>
            </w:pPr>
            <w:r>
              <w:t xml:space="preserve">Transformer</w:t>
            </w:r>
          </w:p>
        </w:tc>
        <w:tc>
          <w:tcPr/>
          <w:p>
            <w:pPr>
              <w:pStyle w:val="Compact"/>
              <w:jc w:val="center"/>
            </w:pPr>
            <w:r>
              <w:t xml:space="preserve">~85,000</w:t>
            </w:r>
          </w:p>
        </w:tc>
        <w:tc>
          <w:tcPr/>
          <w:p>
            <w:pPr>
              <w:pStyle w:val="Compact"/>
              <w:jc w:val="center"/>
            </w:pPr>
            <w:r>
              <w:t xml:space="preserve">0.534 (Overfitting)</w:t>
            </w:r>
          </w:p>
        </w:tc>
      </w:tr>
    </w:tbl>
    <w:p>
      <w:pPr>
        <w:pStyle w:val="BlockText"/>
      </w:pPr>
      <w:r>
        <w:rPr>
          <w:b/>
          <w:bCs/>
        </w:rPr>
        <w:t xml:space="preserve">종합</w:t>
      </w:r>
      <w:r>
        <w:t xml:space="preserve">: 변동성 예측 환경 특유의 고잡음 환경에서는 수만 개의 파라미터를 가진 거대 딥러닝 보다는 정교하게 설계된 10만 개 이하의 모델(BiLSTM-A)이나, 소수의 피처로 최적 규제를 건 선형 모델(Ridge, 38 파라미터) 구조가 안정적인 성능을 달성함을 시사한다.</w:t>
      </w:r>
    </w:p>
    <w:bookmarkEnd w:id="45"/>
    <w:bookmarkStart w:id="46" w:name="c.-기타-비교-모델-하이퍼파라미터-상세-설정"/>
    <w:p>
      <w:pPr>
        <w:pStyle w:val="Heading2"/>
      </w:pPr>
      <w:r>
        <w:t xml:space="preserve">C. 기타 비교 모델 하이퍼파라미터 상세 설정</w:t>
      </w:r>
    </w:p>
    <w:p>
      <w:pPr>
        <w:pStyle w:val="FirstParagraph"/>
      </w:pPr>
      <w:r>
        <w:t xml:space="preserve">본 연구의 성능 비교군으로 사용된 정규화 선형 모델(Lasso, Ridge), 커널 기반 모델(SVR), 신경망 모델(MLP)의 상세 설정은 표 A-5와 같다. 모든 파라미터는 학습 데이터셋에서의 시계열 교차검증을 통해 최적화되었거나, 과적합 방지를 위한 표준적인 규제 강도를 채택하였다.</w:t>
      </w:r>
    </w:p>
    <w:p>
      <w:pPr>
        <w:pStyle w:val="BodyText"/>
      </w:pPr>
      <w:r>
        <w:rPr>
          <w:b/>
          <w:bCs/>
        </w:rPr>
        <w:t xml:space="preserve">표 A-5. 기타 비교 모델 하이퍼파라미터 설정 요약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Hyperparameter</w:t>
            </w:r>
          </w:p>
        </w:tc>
        <w:tc>
          <w:tcPr/>
          <w:p>
            <w:pPr>
              <w:pStyle w:val="Compact"/>
              <w:jc w:val="center"/>
            </w:pPr>
            <w:r>
              <w:t xml:space="preserve">Value</w:t>
            </w:r>
          </w:p>
        </w:tc>
        <w:tc>
          <w:tcPr/>
          <w:p>
            <w:pPr>
              <w:pStyle w:val="Compact"/>
              <w:jc w:val="left"/>
            </w:pPr>
            <w:r>
              <w:t xml:space="preserve">Description</w:t>
            </w:r>
          </w:p>
        </w:tc>
      </w:tr>
      <w:tr>
        <w:tc>
          <w:tcPr/>
          <w:p>
            <w:pPr>
              <w:pStyle w:val="Compact"/>
              <w:jc w:val="left"/>
            </w:pPr>
            <w:r>
              <w:rPr>
                <w:b/>
                <w:bCs/>
              </w:rPr>
              <w:t xml:space="preserve">Ridge</w:t>
            </w:r>
          </w:p>
        </w:tc>
        <w:tc>
          <w:tcPr/>
          <w:p>
            <w:pPr>
              <w:pStyle w:val="Compact"/>
              <w:jc w:val="left"/>
            </w:pPr>
            <w:r>
              <w:rPr>
                <w:rStyle w:val="VerbatimChar"/>
              </w:rPr>
              <w:t xml:space="preserve">alpha</w:t>
            </w:r>
          </w:p>
        </w:tc>
        <w:tc>
          <w:tcPr/>
          <w:p>
            <w:pPr>
              <w:pStyle w:val="Compact"/>
              <w:jc w:val="center"/>
            </w:pPr>
            <w:r>
              <w:t xml:space="preserve">10.0</w:t>
            </w:r>
          </w:p>
        </w:tc>
        <w:tc>
          <w:tcPr/>
          <w:p>
            <w:pPr>
              <w:pStyle w:val="Compact"/>
              <w:jc w:val="left"/>
            </w:pPr>
            <w:r>
              <w:t xml:space="preserve">L2 regularization strength</w:t>
            </w:r>
          </w:p>
        </w:tc>
      </w:tr>
      <w:tr>
        <w:tc>
          <w:tcPr/>
          <w:p>
            <w:pPr>
              <w:pStyle w:val="Compact"/>
              <w:jc w:val="left"/>
            </w:pPr>
            <w:r>
              <w:rPr>
                <w:b/>
                <w:bCs/>
              </w:rPr>
              <w:t xml:space="preserve">Lasso</w:t>
            </w:r>
          </w:p>
        </w:tc>
        <w:tc>
          <w:tcPr/>
          <w:p>
            <w:pPr>
              <w:pStyle w:val="Compact"/>
              <w:jc w:val="left"/>
            </w:pPr>
            <w:r>
              <w:rPr>
                <w:rStyle w:val="VerbatimChar"/>
              </w:rPr>
              <w:t xml:space="preserve">alpha</w:t>
            </w:r>
          </w:p>
        </w:tc>
        <w:tc>
          <w:tcPr/>
          <w:p>
            <w:pPr>
              <w:pStyle w:val="Compact"/>
              <w:jc w:val="center"/>
            </w:pPr>
            <w:r>
              <w:t xml:space="preserve">0.01</w:t>
            </w:r>
          </w:p>
        </w:tc>
        <w:tc>
          <w:tcPr/>
          <w:p>
            <w:pPr>
              <w:pStyle w:val="Compact"/>
              <w:jc w:val="left"/>
            </w:pPr>
            <w:r>
              <w:t xml:space="preserve">L1 regularization strength</w:t>
            </w:r>
          </w:p>
        </w:tc>
      </w:tr>
      <w:tr>
        <w:tc>
          <w:tcPr/>
          <w:p>
            <w:pPr>
              <w:pStyle w:val="Compact"/>
              <w:jc w:val="left"/>
            </w:pPr>
            <w:r>
              <w:rPr>
                <w:b/>
                <w:bCs/>
              </w:rPr>
              <w:t xml:space="preserve">ElasticNet</w:t>
            </w:r>
          </w:p>
        </w:tc>
        <w:tc>
          <w:tcPr/>
          <w:p>
            <w:pPr>
              <w:pStyle w:val="Compact"/>
              <w:jc w:val="left"/>
            </w:pPr>
            <w:r>
              <w:rPr>
                <w:rStyle w:val="VerbatimChar"/>
              </w:rPr>
              <w:t xml:space="preserve">alpha</w:t>
            </w:r>
          </w:p>
        </w:tc>
        <w:tc>
          <w:tcPr/>
          <w:p>
            <w:pPr>
              <w:pStyle w:val="Compact"/>
              <w:jc w:val="center"/>
            </w:pPr>
            <w:r>
              <w:t xml:space="preserve">0.01</w:t>
            </w:r>
          </w:p>
        </w:tc>
        <w:tc>
          <w:tcPr/>
          <w:p>
            <w:pPr>
              <w:pStyle w:val="Compact"/>
              <w:jc w:val="left"/>
            </w:pPr>
            <w:r>
              <w:t xml:space="preserve">Total regularization strength</w:t>
            </w:r>
          </w:p>
        </w:tc>
      </w:tr>
      <w:tr>
        <w:tc>
          <w:tcPr/>
          <w:p>
            <w:pPr>
              <w:pStyle w:val="Compact"/>
            </w:pPr>
          </w:p>
        </w:tc>
        <w:tc>
          <w:tcPr/>
          <w:p>
            <w:pPr>
              <w:pStyle w:val="Compact"/>
              <w:jc w:val="left"/>
            </w:pPr>
            <w:r>
              <w:rPr>
                <w:rStyle w:val="VerbatimChar"/>
              </w:rPr>
              <w:t xml:space="preserve">l1_ratio</w:t>
            </w:r>
          </w:p>
        </w:tc>
        <w:tc>
          <w:tcPr/>
          <w:p>
            <w:pPr>
              <w:pStyle w:val="Compact"/>
              <w:jc w:val="center"/>
            </w:pPr>
            <w:r>
              <w:t xml:space="preserve">0.5</w:t>
            </w:r>
          </w:p>
        </w:tc>
        <w:tc>
          <w:tcPr/>
          <w:p>
            <w:pPr>
              <w:pStyle w:val="Compact"/>
              <w:jc w:val="left"/>
            </w:pPr>
            <w:r>
              <w:t xml:space="preserve">Mix of L1 (0.5) and L2 (0.5)</w:t>
            </w:r>
          </w:p>
        </w:tc>
      </w:tr>
      <w:tr>
        <w:tc>
          <w:tcPr/>
          <w:p>
            <w:pPr>
              <w:pStyle w:val="Compact"/>
              <w:jc w:val="left"/>
            </w:pPr>
            <w:r>
              <w:rPr>
                <w:b/>
                <w:bCs/>
              </w:rPr>
              <w:t xml:space="preserve">SVR</w:t>
            </w:r>
          </w:p>
        </w:tc>
        <w:tc>
          <w:tcPr/>
          <w:p>
            <w:pPr>
              <w:pStyle w:val="Compact"/>
              <w:jc w:val="left"/>
            </w:pPr>
            <w:r>
              <w:rPr>
                <w:rStyle w:val="VerbatimChar"/>
              </w:rPr>
              <w:t xml:space="preserve">kernel</w:t>
            </w:r>
          </w:p>
        </w:tc>
        <w:tc>
          <w:tcPr/>
          <w:p>
            <w:pPr>
              <w:pStyle w:val="Compact"/>
              <w:jc w:val="center"/>
            </w:pPr>
            <w:r>
              <w:t xml:space="preserve">‘rbf’</w:t>
            </w:r>
          </w:p>
        </w:tc>
        <w:tc>
          <w:tcPr/>
          <w:p>
            <w:pPr>
              <w:pStyle w:val="Compact"/>
              <w:jc w:val="left"/>
            </w:pPr>
            <w:r>
              <w:t xml:space="preserve">Radial Basis Function kernel</w:t>
            </w:r>
          </w:p>
        </w:tc>
      </w:tr>
      <w:tr>
        <w:tc>
          <w:tcPr/>
          <w:p>
            <w:pPr>
              <w:pStyle w:val="Compact"/>
            </w:pPr>
          </w:p>
        </w:tc>
        <w:tc>
          <w:tcPr/>
          <w:p>
            <w:pPr>
              <w:pStyle w:val="Compact"/>
              <w:jc w:val="left"/>
            </w:pPr>
            <w:r>
              <w:rPr>
                <w:rStyle w:val="VerbatimChar"/>
              </w:rPr>
              <w:t xml:space="preserve">C</w:t>
            </w:r>
          </w:p>
        </w:tc>
        <w:tc>
          <w:tcPr/>
          <w:p>
            <w:pPr>
              <w:pStyle w:val="Compact"/>
              <w:jc w:val="center"/>
            </w:pPr>
            <w:r>
              <w:t xml:space="preserve">10.0</w:t>
            </w:r>
          </w:p>
        </w:tc>
        <w:tc>
          <w:tcPr/>
          <w:p>
            <w:pPr>
              <w:pStyle w:val="Compact"/>
              <w:jc w:val="left"/>
            </w:pPr>
            <w:r>
              <w:t xml:space="preserve">Regularization parameter</w:t>
            </w:r>
          </w:p>
        </w:tc>
      </w:tr>
      <w:tr>
        <w:tc>
          <w:tcPr/>
          <w:p>
            <w:pPr>
              <w:pStyle w:val="Compact"/>
            </w:pPr>
          </w:p>
        </w:tc>
        <w:tc>
          <w:tcPr/>
          <w:p>
            <w:pPr>
              <w:pStyle w:val="Compact"/>
              <w:jc w:val="left"/>
            </w:pPr>
            <w:r>
              <w:rPr>
                <w:rStyle w:val="VerbatimChar"/>
              </w:rPr>
              <w:t xml:space="preserve">epsilon</w:t>
            </w:r>
          </w:p>
        </w:tc>
        <w:tc>
          <w:tcPr/>
          <w:p>
            <w:pPr>
              <w:pStyle w:val="Compact"/>
              <w:jc w:val="center"/>
            </w:pPr>
            <w:r>
              <w:t xml:space="preserve">0.1</w:t>
            </w:r>
          </w:p>
        </w:tc>
        <w:tc>
          <w:tcPr/>
          <w:p>
            <w:pPr>
              <w:pStyle w:val="Compact"/>
              <w:jc w:val="left"/>
            </w:pPr>
            <w:r>
              <w:t xml:space="preserve">Epsilon-tube width</w:t>
            </w:r>
          </w:p>
        </w:tc>
      </w:tr>
      <w:tr>
        <w:tc>
          <w:tcPr/>
          <w:p>
            <w:pPr>
              <w:pStyle w:val="Compact"/>
              <w:jc w:val="left"/>
            </w:pPr>
            <w:r>
              <w:rPr>
                <w:b/>
                <w:bCs/>
              </w:rPr>
              <w:t xml:space="preserve">MLP</w:t>
            </w:r>
          </w:p>
        </w:tc>
        <w:tc>
          <w:tcPr/>
          <w:p>
            <w:pPr>
              <w:pStyle w:val="Compact"/>
              <w:jc w:val="left"/>
            </w:pPr>
            <w:r>
              <w:rPr>
                <w:rStyle w:val="VerbatimChar"/>
              </w:rPr>
              <w:t xml:space="preserve">hidden_layer_sizes</w:t>
            </w:r>
          </w:p>
        </w:tc>
        <w:tc>
          <w:tcPr/>
          <w:p>
            <w:pPr>
              <w:pStyle w:val="Compact"/>
              <w:jc w:val="center"/>
            </w:pPr>
            <w:r>
              <w:t xml:space="preserve">(64, 32)</w:t>
            </w:r>
          </w:p>
        </w:tc>
        <w:tc>
          <w:tcPr/>
          <w:p>
            <w:pPr>
              <w:pStyle w:val="Compact"/>
              <w:jc w:val="left"/>
            </w:pPr>
            <w:r>
              <w:t xml:space="preserve">Two-layer architecture</w:t>
            </w:r>
          </w:p>
        </w:tc>
      </w:tr>
      <w:tr>
        <w:tc>
          <w:tcPr/>
          <w:p>
            <w:pPr>
              <w:pStyle w:val="Compact"/>
            </w:pPr>
          </w:p>
        </w:tc>
        <w:tc>
          <w:tcPr/>
          <w:p>
            <w:pPr>
              <w:pStyle w:val="Compact"/>
              <w:jc w:val="left"/>
            </w:pPr>
            <w:r>
              <w:rPr>
                <w:rStyle w:val="VerbatimChar"/>
              </w:rPr>
              <w:t xml:space="preserve">activation</w:t>
            </w:r>
          </w:p>
        </w:tc>
        <w:tc>
          <w:tcPr/>
          <w:p>
            <w:pPr>
              <w:pStyle w:val="Compact"/>
              <w:jc w:val="center"/>
            </w:pPr>
            <w:r>
              <w:t xml:space="preserve">‘relu’</w:t>
            </w:r>
          </w:p>
        </w:tc>
        <w:tc>
          <w:tcPr/>
          <w:p>
            <w:pPr>
              <w:pStyle w:val="Compact"/>
              <w:jc w:val="left"/>
            </w:pPr>
            <w:r>
              <w:t xml:space="preserve">Rectified Linear Unit</w:t>
            </w:r>
          </w:p>
        </w:tc>
      </w:tr>
      <w:tr>
        <w:tc>
          <w:tcPr/>
          <w:p>
            <w:pPr>
              <w:pStyle w:val="Compact"/>
            </w:pPr>
          </w:p>
        </w:tc>
        <w:tc>
          <w:tcPr/>
          <w:p>
            <w:pPr>
              <w:pStyle w:val="Compact"/>
              <w:jc w:val="left"/>
            </w:pPr>
            <w:r>
              <w:rPr>
                <w:rStyle w:val="VerbatimChar"/>
              </w:rPr>
              <w:t xml:space="preserve">early_stopping</w:t>
            </w:r>
          </w:p>
        </w:tc>
        <w:tc>
          <w:tcPr/>
          <w:p>
            <w:pPr>
              <w:pStyle w:val="Compact"/>
              <w:jc w:val="center"/>
            </w:pPr>
            <w:r>
              <w:t xml:space="preserve">True</w:t>
            </w:r>
          </w:p>
        </w:tc>
        <w:tc>
          <w:tcPr/>
          <w:p>
            <w:pPr>
              <w:pStyle w:val="Compact"/>
              <w:jc w:val="left"/>
            </w:pPr>
            <w:r>
              <w:t xml:space="preserve">Terminate if val-loss plateaus</w:t>
            </w:r>
          </w:p>
        </w:tc>
      </w:tr>
      <w:tr>
        <w:tc>
          <w:tcPr/>
          <w:p>
            <w:pPr>
              <w:pStyle w:val="Compact"/>
            </w:pPr>
          </w:p>
        </w:tc>
        <w:tc>
          <w:tcPr/>
          <w:p>
            <w:pPr>
              <w:pStyle w:val="Compact"/>
              <w:jc w:val="left"/>
            </w:pPr>
            <w:r>
              <w:rPr>
                <w:rStyle w:val="VerbatimChar"/>
              </w:rPr>
              <w:t xml:space="preserve">random_state</w:t>
            </w:r>
          </w:p>
        </w:tc>
        <w:tc>
          <w:tcPr/>
          <w:p>
            <w:pPr>
              <w:pStyle w:val="Compact"/>
              <w:jc w:val="center"/>
            </w:pPr>
            <w:r>
              <w:t xml:space="preserve">42</w:t>
            </w:r>
          </w:p>
        </w:tc>
        <w:tc>
          <w:tcPr/>
          <w:p>
            <w:pPr>
              <w:pStyle w:val="Compact"/>
              <w:jc w:val="left"/>
            </w:pPr>
            <w:r>
              <w:t xml:space="preserve">Deterministic initialization</w:t>
            </w:r>
          </w:p>
        </w:tc>
      </w:tr>
      <w:tr>
        <w:tc>
          <w:tcPr/>
          <w:p>
            <w:pPr>
              <w:pStyle w:val="Compact"/>
              <w:jc w:val="left"/>
            </w:pPr>
            <w:r>
              <w:rPr>
                <w:b/>
                <w:bCs/>
              </w:rPr>
              <w:t xml:space="preserve">Random Forest</w:t>
            </w:r>
          </w:p>
        </w:tc>
        <w:tc>
          <w:tcPr/>
          <w:p>
            <w:pPr>
              <w:pStyle w:val="Compact"/>
              <w:jc w:val="left"/>
            </w:pPr>
            <w:r>
              <w:rPr>
                <w:rStyle w:val="VerbatimChar"/>
              </w:rPr>
              <w:t xml:space="preserve">n_estimators</w:t>
            </w:r>
          </w:p>
        </w:tc>
        <w:tc>
          <w:tcPr/>
          <w:p>
            <w:pPr>
              <w:pStyle w:val="Compact"/>
              <w:jc w:val="center"/>
            </w:pPr>
            <w:r>
              <w:t xml:space="preserve">200</w:t>
            </w:r>
          </w:p>
        </w:tc>
        <w:tc>
          <w:tcPr/>
          <w:p>
            <w:pPr>
              <w:pStyle w:val="Compact"/>
              <w:jc w:val="left"/>
            </w:pPr>
            <w:r>
              <w:t xml:space="preserve">Number of trees</w:t>
            </w:r>
          </w:p>
        </w:tc>
      </w:tr>
      <w:tr>
        <w:tc>
          <w:tcPr/>
          <w:p>
            <w:pPr>
              <w:pStyle w:val="Compact"/>
            </w:pPr>
          </w:p>
        </w:tc>
        <w:tc>
          <w:tcPr/>
          <w:p>
            <w:pPr>
              <w:pStyle w:val="Compact"/>
              <w:jc w:val="left"/>
            </w:pPr>
            <w:r>
              <w:rPr>
                <w:rStyle w:val="VerbatimChar"/>
              </w:rPr>
              <w:t xml:space="preserve">min_samples_leaf</w:t>
            </w:r>
          </w:p>
        </w:tc>
        <w:tc>
          <w:tcPr/>
          <w:p>
            <w:pPr>
              <w:pStyle w:val="Compact"/>
              <w:jc w:val="center"/>
            </w:pPr>
            <w:r>
              <w:t xml:space="preserve">20</w:t>
            </w:r>
          </w:p>
        </w:tc>
        <w:tc>
          <w:tcPr/>
          <w:p>
            <w:pPr>
              <w:pStyle w:val="Compact"/>
              <w:jc w:val="left"/>
            </w:pPr>
            <w:r>
              <w:t xml:space="preserve">Minimum samples in leaf node</w:t>
            </w:r>
          </w:p>
        </w:tc>
      </w:tr>
      <w:tr>
        <w:tc>
          <w:tcPr/>
          <w:p>
            <w:pPr>
              <w:pStyle w:val="Compact"/>
              <w:jc w:val="left"/>
            </w:pPr>
            <w:r>
              <w:rPr>
                <w:b/>
                <w:bCs/>
              </w:rPr>
              <w:t xml:space="preserve">XGBoost</w:t>
            </w:r>
          </w:p>
        </w:tc>
        <w:tc>
          <w:tcPr/>
          <w:p>
            <w:pPr>
              <w:pStyle w:val="Compact"/>
              <w:jc w:val="left"/>
            </w:pPr>
            <w:r>
              <w:rPr>
                <w:rStyle w:val="VerbatimChar"/>
              </w:rPr>
              <w:t xml:space="preserve">n_estimators</w:t>
            </w:r>
          </w:p>
        </w:tc>
        <w:tc>
          <w:tcPr/>
          <w:p>
            <w:pPr>
              <w:pStyle w:val="Compact"/>
              <w:jc w:val="center"/>
            </w:pPr>
            <w:r>
              <w:t xml:space="preserve">300</w:t>
            </w:r>
          </w:p>
        </w:tc>
        <w:tc>
          <w:tcPr/>
          <w:p>
            <w:pPr>
              <w:pStyle w:val="Compact"/>
              <w:jc w:val="left"/>
            </w:pPr>
            <w:r>
              <w:t xml:space="preserve">Boosting rounds</w:t>
            </w:r>
          </w:p>
        </w:tc>
      </w:tr>
      <w:tr>
        <w:tc>
          <w:tcPr/>
          <w:p>
            <w:pPr>
              <w:pStyle w:val="Compact"/>
            </w:pPr>
          </w:p>
        </w:tc>
        <w:tc>
          <w:tcPr/>
          <w:p>
            <w:pPr>
              <w:pStyle w:val="Compact"/>
              <w:jc w:val="left"/>
            </w:pPr>
            <w:r>
              <w:rPr>
                <w:rStyle w:val="VerbatimChar"/>
              </w:rPr>
              <w:t xml:space="preserve">learning_rate</w:t>
            </w:r>
            <w:r>
              <w:t xml:space="preserve"> </w:t>
            </w:r>
            <w:r>
              <w:t xml:space="preserve">(</w:t>
            </w:r>
            <m:oMath>
              <m:r>
                <m:t>η</m:t>
              </m:r>
            </m:oMath>
            <w:r>
              <w:t xml:space="preserve">)</w:t>
            </w:r>
          </w:p>
        </w:tc>
        <w:tc>
          <w:tcPr/>
          <w:p>
            <w:pPr>
              <w:pStyle w:val="Compact"/>
              <w:jc w:val="center"/>
            </w:pPr>
            <w:r>
              <w:t xml:space="preserve">0.05</w:t>
            </w:r>
          </w:p>
        </w:tc>
        <w:tc>
          <w:tcPr/>
          <w:p>
            <w:pPr>
              <w:pStyle w:val="Compact"/>
              <w:jc w:val="left"/>
            </w:pPr>
            <w:r>
              <w:t xml:space="preserve">Learning rate</w:t>
            </w:r>
          </w:p>
        </w:tc>
      </w:tr>
      <w:tr>
        <w:tc>
          <w:tcPr/>
          <w:p>
            <w:pPr>
              <w:pStyle w:val="Compact"/>
            </w:pPr>
          </w:p>
        </w:tc>
        <w:tc>
          <w:tcPr/>
          <w:p>
            <w:pPr>
              <w:pStyle w:val="Compact"/>
              <w:jc w:val="left"/>
            </w:pPr>
            <w:r>
              <w:rPr>
                <w:rStyle w:val="VerbatimChar"/>
              </w:rPr>
              <w:t xml:space="preserve">reg_lambda</w:t>
            </w:r>
            <w:r>
              <w:t xml:space="preserve"> </w:t>
            </w:r>
            <w:r>
              <w:t xml:space="preserve">(</w:t>
            </w:r>
            <m:oMath>
              <m:sSub>
                <m:e>
                  <m:r>
                    <m:t>L</m:t>
                  </m:r>
                </m:e>
                <m:sub>
                  <m:r>
                    <m:t>2</m:t>
                  </m:r>
                </m:sub>
              </m:sSub>
            </m:oMath>
            <w:r>
              <w:t xml:space="preserve">)</w:t>
            </w:r>
          </w:p>
        </w:tc>
        <w:tc>
          <w:tcPr/>
          <w:p>
            <w:pPr>
              <w:pStyle w:val="Compact"/>
              <w:jc w:val="center"/>
            </w:pPr>
            <w:r>
              <w:t xml:space="preserve">1.0</w:t>
            </w:r>
          </w:p>
        </w:tc>
        <w:tc>
          <w:tcPr/>
          <w:p>
            <w:pPr>
              <w:pStyle w:val="Compact"/>
              <w:jc w:val="left"/>
            </w:pPr>
            <w:r>
              <w:t xml:space="preserve">L2 regularization</w:t>
            </w:r>
          </w:p>
        </w:tc>
      </w:tr>
      <w:tr>
        <w:tc>
          <w:tcPr/>
          <w:p>
            <w:pPr>
              <w:pStyle w:val="Compact"/>
              <w:jc w:val="left"/>
            </w:pPr>
            <w:r>
              <w:rPr>
                <w:b/>
                <w:bCs/>
              </w:rPr>
              <w:t xml:space="preserve">LightGBM</w:t>
            </w:r>
          </w:p>
        </w:tc>
        <w:tc>
          <w:tcPr/>
          <w:p>
            <w:pPr>
              <w:pStyle w:val="Compact"/>
              <w:jc w:val="left"/>
            </w:pPr>
            <w:r>
              <w:rPr>
                <w:rStyle w:val="VerbatimChar"/>
              </w:rPr>
              <w:t xml:space="preserve">n_estimators</w:t>
            </w:r>
          </w:p>
        </w:tc>
        <w:tc>
          <w:tcPr/>
          <w:p>
            <w:pPr>
              <w:pStyle w:val="Compact"/>
              <w:jc w:val="center"/>
            </w:pPr>
            <w:r>
              <w:t xml:space="preserve">300</w:t>
            </w:r>
          </w:p>
        </w:tc>
        <w:tc>
          <w:tcPr/>
          <w:p>
            <w:pPr>
              <w:pStyle w:val="Compact"/>
              <w:jc w:val="left"/>
            </w:pPr>
            <w:r>
              <w:t xml:space="preserve">Boosting rounds</w:t>
            </w:r>
          </w:p>
        </w:tc>
      </w:tr>
      <w:tr>
        <w:tc>
          <w:tcPr/>
          <w:p>
            <w:pPr>
              <w:pStyle w:val="Compact"/>
            </w:pPr>
          </w:p>
        </w:tc>
        <w:tc>
          <w:tcPr/>
          <w:p>
            <w:pPr>
              <w:pStyle w:val="Compact"/>
              <w:jc w:val="left"/>
            </w:pPr>
            <w:r>
              <w:rPr>
                <w:rStyle w:val="VerbatimChar"/>
              </w:rPr>
              <w:t xml:space="preserve">num_leaves</w:t>
            </w:r>
          </w:p>
        </w:tc>
        <w:tc>
          <w:tcPr/>
          <w:p>
            <w:pPr>
              <w:pStyle w:val="Compact"/>
              <w:jc w:val="center"/>
            </w:pPr>
            <w:r>
              <w:t xml:space="preserve">31</w:t>
            </w:r>
          </w:p>
        </w:tc>
        <w:tc>
          <w:tcPr/>
          <w:p>
            <w:pPr>
              <w:pStyle w:val="Compact"/>
              <w:jc w:val="left"/>
            </w:pPr>
            <w:r>
              <w:t xml:space="preserve">Max leaves in one tree</w:t>
            </w:r>
          </w:p>
        </w:tc>
      </w:tr>
    </w:tbl>
    <w:p>
      <w:pPr>
        <w:pStyle w:val="BodyText"/>
      </w:pPr>
      <w:r>
        <w:t xml:space="preserve">본 연구의 모든 비교 모델들의 최종 하이퍼파라미터는 학습 구간 내 5-fold TimeSeriesSplit(시계열 교차검증)을 통해 탐색 및 선택되었으며, 표 A-5는 그 최종 결과치를 요약한 것이다.</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2026-03-12T16:18:11Z</dcterms:created>
  <dcterms:modified xsi:type="dcterms:W3CDTF">2026-03-12T16:18:11Z</dcterms:modified>
</cp:coreProperties>
</file>

<file path=docProps/custom.xml><?xml version="1.0" encoding="utf-8"?>
<Properties xmlns="http://schemas.openxmlformats.org/officeDocument/2006/custom-properties" xmlns:vt="http://schemas.openxmlformats.org/officeDocument/2006/docPropsVTypes"/>
</file>