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Rule="auto" w:line="360"/>
        <w:jc w:val="center"/>
      </w:pPr>
      <w:r>
        <w:rPr>
          <w:rFonts w:ascii="Times New Roman" w:hAnsi="Times New Roman" w:eastAsia="신명조"/>
          <w:b/>
          <w:i w:val="0"/>
          <w:sz w:val="28"/>
        </w:rPr>
        <w:t>차   례</w:t>
      </w:r>
    </w:p>
    <w:p>
      <w:pPr>
        <w:spacing w:before="40" w:after="40" w:lineRule="auto" w:line="312"/>
        <w:ind w:left="0"/>
        <w:tabs>
          <w:tab w:val="right" w:pos="8220" w:leader="none"/>
        </w:tabs>
      </w:pPr>
      <w:r>
        <w:rPr>
          <w:rFonts w:ascii="Times New Roman" w:hAnsi="Times New Roman" w:eastAsia="신명조"/>
          <w:b/>
          <w:i w:val="0"/>
          <w:sz w:val="22"/>
        </w:rPr>
        <w:t>Ⅰ. 서론</w:t>
      </w:r>
      <w:r>
        <w:rPr>
          <w:rFonts w:ascii="Times New Roman" w:hAnsi="Times New Roman" w:eastAsia="신명조"/>
          <w:b/>
          <w:i w:val="0"/>
          <w:sz w:val="22"/>
        </w:rPr>
        <w:tab/>
      </w:r>
    </w:p>
    <w:p>
      <w:pPr>
        <w:spacing w:before="0" w:after="20" w:lineRule="auto" w:line="312"/>
        <w:ind w:left="397"/>
        <w:tabs>
          <w:tab w:val="right" w:pos="8220" w:leader="dot"/>
        </w:tabs>
      </w:pPr>
      <w:r>
        <w:rPr>
          <w:rFonts w:ascii="Times New Roman" w:hAnsi="Times New Roman" w:eastAsia="신명조"/>
          <w:b w:val="0"/>
          <w:i w:val="0"/>
          <w:sz w:val="21"/>
        </w:rPr>
        <w:t>1. 연구 배경</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2. 연구 목적 및 연구 질문</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3. 연구 범위 및 한계</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4. 연구 방법 및 분석 절차 개요</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5. 논문 구성</w:t>
      </w:r>
      <w:r>
        <w:rPr>
          <w:rFonts w:ascii="Times New Roman" w:hAnsi="Times New Roman" w:eastAsia="신명조"/>
          <w:b w:val="0"/>
          <w:i w:val="0"/>
          <w:sz w:val="21"/>
        </w:rPr>
        <w:tab/>
      </w:r>
    </w:p>
    <w:p>
      <w:pPr>
        <w:spacing w:before="40" w:after="40" w:lineRule="auto" w:line="312"/>
        <w:ind w:left="0"/>
        <w:tabs>
          <w:tab w:val="right" w:pos="8220" w:leader="none"/>
        </w:tabs>
      </w:pPr>
      <w:r>
        <w:rPr>
          <w:rFonts w:ascii="Times New Roman" w:hAnsi="Times New Roman" w:eastAsia="신명조"/>
          <w:b/>
          <w:i w:val="0"/>
          <w:sz w:val="22"/>
        </w:rPr>
        <w:t>Ⅱ. 이론적 배경 및 선행연구</w:t>
      </w:r>
      <w:r>
        <w:rPr>
          <w:rFonts w:ascii="Times New Roman" w:hAnsi="Times New Roman" w:eastAsia="신명조"/>
          <w:b/>
          <w:i w:val="0"/>
          <w:sz w:val="22"/>
        </w:rPr>
        <w:tab/>
      </w:r>
    </w:p>
    <w:p>
      <w:pPr>
        <w:spacing w:before="0" w:after="20" w:lineRule="auto" w:line="312"/>
        <w:ind w:left="397"/>
        <w:tabs>
          <w:tab w:val="right" w:pos="8220" w:leader="dot"/>
        </w:tabs>
      </w:pPr>
      <w:r>
        <w:rPr>
          <w:rFonts w:ascii="Times New Roman" w:hAnsi="Times New Roman" w:eastAsia="신명조"/>
          <w:b w:val="0"/>
          <w:i w:val="0"/>
          <w:sz w:val="21"/>
        </w:rPr>
        <w:t>1. 실현분산(Realized Variance, RV)</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고빈도 자료 기반 RV와 통합분산</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거래일 기준 다중 기간 RV 정의 및 연율화 구조</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2. 내재분산(Implied Variance)과 변동성지수(VIX)</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옵션가격과 위험중립 기대변동성</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VIX²를 IV proxy로 사용하는 근사와 한계</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3. 분산위험프리미엄(Variance Risk Premium, VRP)</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VRP의 정의와 경제적 의미</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VRP와 예상수익률 및 리스크 프리미엄</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4. 전통적 변동성 모형</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ARCH/GARCH 계열 모형</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HAR-RV 모형</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5. 기계학습 기반 변동성 예측</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정규화 회귀</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트리·부스팅 기반 모형</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3) 신경망 기반 모형</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6. 앙상블 및 예측 결합 이론</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Forecast Combination의 이론적 배경</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가중 앙상블과 본 연구의 WEns 설계</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7. 다중 자산 VRP 및 스필오버 선행연구</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주식시장 VRP 측정 및 예측력 연구</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크로스애셋 VRP와 시장 간 스필오버</w:t>
      </w:r>
      <w:r>
        <w:rPr>
          <w:rFonts w:ascii="Times New Roman" w:hAnsi="Times New Roman" w:eastAsia="신명조"/>
          <w:b w:val="0"/>
          <w:i w:val="0"/>
          <w:sz w:val="21"/>
        </w:rPr>
        <w:tab/>
      </w:r>
    </w:p>
    <w:p>
      <w:pPr>
        <w:spacing w:before="40" w:after="40" w:lineRule="auto" w:line="312"/>
        <w:ind w:left="0"/>
        <w:tabs>
          <w:tab w:val="right" w:pos="8220" w:leader="none"/>
        </w:tabs>
      </w:pPr>
      <w:r>
        <w:rPr>
          <w:rFonts w:ascii="Times New Roman" w:hAnsi="Times New Roman" w:eastAsia="신명조"/>
          <w:b/>
          <w:i w:val="0"/>
          <w:sz w:val="22"/>
        </w:rPr>
        <w:t>Ⅲ. 데이터 및 방법론</w:t>
      </w:r>
      <w:r>
        <w:rPr>
          <w:rFonts w:ascii="Times New Roman" w:hAnsi="Times New Roman" w:eastAsia="신명조"/>
          <w:b/>
          <w:i w:val="0"/>
          <w:sz w:val="22"/>
        </w:rPr>
        <w:tab/>
      </w:r>
    </w:p>
    <w:p>
      <w:pPr>
        <w:spacing w:before="0" w:after="20" w:lineRule="auto" w:line="312"/>
        <w:ind w:left="397"/>
        <w:tabs>
          <w:tab w:val="right" w:pos="8220" w:leader="dot"/>
        </w:tabs>
      </w:pPr>
      <w:r>
        <w:rPr>
          <w:rFonts w:ascii="Times New Roman" w:hAnsi="Times New Roman" w:eastAsia="신명조"/>
          <w:b w:val="0"/>
          <w:i w:val="0"/>
          <w:sz w:val="21"/>
        </w:rPr>
        <w:t>1. 분석 대상 자산 및 데이터</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자산 구성 및 표본 기간</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데이터 출처 및 변수 정의</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3) 기초 통계량 개요</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2. 데이터 전처리</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결측치 처리 전략</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배당락·가격 점프의 영향</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3. 변수 및 피처 구성</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일별 수익률과 단일 기간 RV 정의</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다중 예측 기간 RV 타깃 구성</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3) IV 및 VRP 정의</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4) 피처 그룹 설계 개요</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5) 대표 피처 수식 및 직관</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4. 예측 문제 설정 및 데이터 구성</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패널 구조와 타깃 정의</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학습/검증/테스트 분할 및 purge gap</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5. 예측 모형군 정의</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벤치마크 모형</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선형 모형</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3) 트리·부스팅 모형</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4) 신경망 모형</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6. WEns 가중 앙상블 알고리즘</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WEns 구조 정의</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내부 검증 기반 가중치 선택 절차</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3) WEns의 역할 분담과 직관</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7. 하이퍼파라미터 탐색 및 학습 절차</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모형별 하이퍼파라미터 탐색 공간</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최종 하이퍼파라미터 선정 기준</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8. 평가 지표 및 통계 검정</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오차 지표</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설명력 지표</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3) Diebold–Mariano 검정 및 HAC 추정</w:t>
      </w:r>
      <w:r>
        <w:rPr>
          <w:rFonts w:ascii="Times New Roman" w:hAnsi="Times New Roman" w:eastAsia="신명조"/>
          <w:b w:val="0"/>
          <w:i w:val="0"/>
          <w:sz w:val="21"/>
        </w:rPr>
        <w:tab/>
      </w:r>
    </w:p>
    <w:p>
      <w:pPr>
        <w:spacing w:before="40" w:after="40" w:lineRule="auto" w:line="312"/>
        <w:ind w:left="0"/>
        <w:tabs>
          <w:tab w:val="right" w:pos="8220" w:leader="none"/>
        </w:tabs>
      </w:pPr>
      <w:r>
        <w:rPr>
          <w:rFonts w:ascii="Times New Roman" w:hAnsi="Times New Roman" w:eastAsia="신명조"/>
          <w:b/>
          <w:i w:val="0"/>
          <w:sz w:val="22"/>
        </w:rPr>
        <w:t>Ⅳ. 실증 분석 결과</w:t>
      </w:r>
      <w:r>
        <w:rPr>
          <w:rFonts w:ascii="Times New Roman" w:hAnsi="Times New Roman" w:eastAsia="신명조"/>
          <w:b/>
          <w:i w:val="0"/>
          <w:sz w:val="22"/>
        </w:rPr>
        <w:tab/>
      </w:r>
    </w:p>
    <w:p>
      <w:pPr>
        <w:spacing w:before="0" w:after="20" w:lineRule="auto" w:line="312"/>
        <w:ind w:left="397"/>
        <w:tabs>
          <w:tab w:val="right" w:pos="8220" w:leader="dot"/>
        </w:tabs>
      </w:pPr>
      <w:r>
        <w:rPr>
          <w:rFonts w:ascii="Times New Roman" w:hAnsi="Times New Roman" w:eastAsia="신명조"/>
          <w:b w:val="0"/>
          <w:i w:val="0"/>
          <w:sz w:val="21"/>
        </w:rPr>
        <w:t>1. 전체 모형 성능 비교</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기간별 Pooled R²·RMSE 결과</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기간별 최적 모형 분석</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2. 자산별·자산군별 성능 분석</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자산별 R² 비교</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자산군별 성능 패턴 해석</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3. 피처 기여도 및 중요도 분석</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피처 그룹 제거 실험</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피처 중요도 합의 분석 (Kendall's W)</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4. 시장 레짐별 예측 성능</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VIX 분위수 기반 레짐 정의</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레짐별 WEns vs HAR-3 성능 비교</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3) 고변동성 구간 예측력 개선 해석</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5. 베이스라인 및 변형 모형 비교</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NaiveRV·GARCH·IV-only vs WEns</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HAR-3 vs LASSO-HAR vs LASSO-Full</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3) 강건성 검증</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6. 예측 RV 기반 VRP 분석</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VRP 정의 및 산출 방법</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기간별 VRP 분포 특성</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3) 자산군별 VRP 수준 비교</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7. 경제적 가치 평가 (탐색적)</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1) 변동성 타깃팅 전략 개요</w:t>
      </w:r>
      <w:r>
        <w:rPr>
          <w:rFonts w:ascii="Times New Roman" w:hAnsi="Times New Roman" w:eastAsia="신명조"/>
          <w:b w:val="0"/>
          <w:i w:val="0"/>
          <w:sz w:val="21"/>
        </w:rPr>
        <w:tab/>
      </w:r>
    </w:p>
    <w:p>
      <w:pPr>
        <w:spacing w:before="0" w:after="20" w:lineRule="auto" w:line="312"/>
        <w:ind w:left="794"/>
        <w:tabs>
          <w:tab w:val="right" w:pos="8220" w:leader="dot"/>
        </w:tabs>
      </w:pPr>
      <w:r>
        <w:rPr>
          <w:rFonts w:ascii="Times New Roman" w:hAnsi="Times New Roman" w:eastAsia="신명조"/>
          <w:b w:val="0"/>
          <w:i w:val="0"/>
          <w:sz w:val="21"/>
        </w:rPr>
        <w:t>2) 향후 분석 방향</w:t>
      </w:r>
      <w:r>
        <w:rPr>
          <w:rFonts w:ascii="Times New Roman" w:hAnsi="Times New Roman" w:eastAsia="신명조"/>
          <w:b w:val="0"/>
          <w:i w:val="0"/>
          <w:sz w:val="21"/>
        </w:rPr>
        <w:tab/>
      </w:r>
    </w:p>
    <w:p>
      <w:pPr>
        <w:spacing w:before="40" w:after="40" w:lineRule="auto" w:line="312"/>
        <w:ind w:left="0"/>
        <w:tabs>
          <w:tab w:val="right" w:pos="8220" w:leader="none"/>
        </w:tabs>
      </w:pPr>
      <w:r>
        <w:rPr>
          <w:rFonts w:ascii="Times New Roman" w:hAnsi="Times New Roman" w:eastAsia="신명조"/>
          <w:b/>
          <w:i w:val="0"/>
          <w:sz w:val="22"/>
        </w:rPr>
        <w:t>Ⅴ. 결론 및 향후 연구</w:t>
      </w:r>
      <w:r>
        <w:rPr>
          <w:rFonts w:ascii="Times New Roman" w:hAnsi="Times New Roman" w:eastAsia="신명조"/>
          <w:b/>
          <w:i w:val="0"/>
          <w:sz w:val="22"/>
        </w:rPr>
        <w:tab/>
      </w:r>
    </w:p>
    <w:p>
      <w:pPr>
        <w:spacing w:before="0" w:after="20" w:lineRule="auto" w:line="312"/>
        <w:ind w:left="397"/>
        <w:tabs>
          <w:tab w:val="right" w:pos="8220" w:leader="dot"/>
        </w:tabs>
      </w:pPr>
      <w:r>
        <w:rPr>
          <w:rFonts w:ascii="Times New Roman" w:hAnsi="Times New Roman" w:eastAsia="신명조"/>
          <w:b w:val="0"/>
          <w:i w:val="0"/>
          <w:sz w:val="21"/>
        </w:rPr>
        <w:t>1. 연구 결과 요약</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2. 학문적·실무적 시사점</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3. 연구 한계</w:t>
      </w:r>
      <w:r>
        <w:rPr>
          <w:rFonts w:ascii="Times New Roman" w:hAnsi="Times New Roman" w:eastAsia="신명조"/>
          <w:b w:val="0"/>
          <w:i w:val="0"/>
          <w:sz w:val="21"/>
        </w:rPr>
        <w:tab/>
      </w:r>
    </w:p>
    <w:p>
      <w:pPr>
        <w:spacing w:before="0" w:after="20" w:lineRule="auto" w:line="312"/>
        <w:ind w:left="397"/>
        <w:tabs>
          <w:tab w:val="right" w:pos="8220" w:leader="dot"/>
        </w:tabs>
      </w:pPr>
      <w:r>
        <w:rPr>
          <w:rFonts w:ascii="Times New Roman" w:hAnsi="Times New Roman" w:eastAsia="신명조"/>
          <w:b w:val="0"/>
          <w:i w:val="0"/>
          <w:sz w:val="21"/>
        </w:rPr>
        <w:t>4. 향후 연구 방향</w:t>
      </w:r>
      <w:r>
        <w:rPr>
          <w:rFonts w:ascii="Times New Roman" w:hAnsi="Times New Roman" w:eastAsia="신명조"/>
          <w:b w:val="0"/>
          <w:i w:val="0"/>
          <w:sz w:val="21"/>
        </w:rPr>
        <w:tab/>
      </w:r>
    </w:p>
    <w:p>
      <w:pPr>
        <w:tabs>
          <w:tab w:val="right" w:pos="8220" w:leader="none"/>
        </w:tabs>
        <w:spacing w:before="40" w:after="40" w:lineRule="auto" w:line="312"/>
      </w:pPr>
      <w:r>
        <w:rPr>
          <w:rFonts w:ascii="Times New Roman" w:hAnsi="Times New Roman" w:eastAsia="신명조"/>
          <w:b/>
          <w:i w:val="0"/>
          <w:sz w:val="22"/>
        </w:rPr>
        <w:t>참고문헌</w:t>
      </w:r>
      <w:r>
        <w:tab/>
      </w:r>
    </w:p>
    <w:p>
      <w:pPr>
        <w:tabs>
          <w:tab w:val="right" w:pos="8220" w:leader="none"/>
        </w:tabs>
        <w:spacing w:before="40" w:after="40" w:lineRule="auto" w:line="312"/>
      </w:pPr>
      <w:r>
        <w:rPr>
          <w:rFonts w:ascii="Times New Roman" w:hAnsi="Times New Roman" w:eastAsia="신명조"/>
          <w:b/>
          <w:i w:val="0"/>
          <w:sz w:val="22"/>
        </w:rPr>
        <w:t>부록</w:t>
      </w:r>
      <w:r>
        <w:tab/>
      </w:r>
    </w:p>
    <w:p>
      <w:pPr>
        <w:tabs>
          <w:tab w:val="right" w:pos="8220" w:leader="none"/>
        </w:tabs>
        <w:spacing w:before="40" w:after="40" w:lineRule="auto" w:line="312"/>
      </w:pPr>
      <w:r>
        <w:rPr>
          <w:rFonts w:ascii="Times New Roman" w:hAnsi="Times New Roman" w:eastAsia="신명조"/>
          <w:b/>
          <w:i w:val="0"/>
          <w:sz w:val="22"/>
        </w:rPr>
        <w:t>부록 A. 피처 목록 및 정의 (35개 피처 전체 표)</w:t>
      </w:r>
      <w:r>
        <w:tab/>
      </w:r>
    </w:p>
    <w:p>
      <w:pPr>
        <w:tabs>
          <w:tab w:val="right" w:pos="8220" w:leader="none"/>
        </w:tabs>
        <w:spacing w:before="40" w:after="40" w:lineRule="auto" w:line="312"/>
      </w:pPr>
      <w:r>
        <w:rPr>
          <w:rFonts w:ascii="Times New Roman" w:hAnsi="Times New Roman" w:eastAsia="신명조"/>
          <w:b/>
          <w:i w:val="0"/>
          <w:sz w:val="22"/>
        </w:rPr>
        <w:t>부록 B. 모형별 하이퍼파라미터 탐색 범위 (확장 표)</w:t>
      </w:r>
      <w:r>
        <w:tab/>
      </w:r>
    </w:p>
    <w:p>
      <w:pPr>
        <w:tabs>
          <w:tab w:val="right" w:pos="8220" w:leader="none"/>
        </w:tabs>
        <w:spacing w:before="40" w:after="40" w:lineRule="auto" w:line="312"/>
      </w:pPr>
      <w:r>
        <w:rPr>
          <w:rFonts w:ascii="Times New Roman" w:hAnsi="Times New Roman" w:eastAsia="신명조"/>
          <w:b/>
          <w:i w:val="0"/>
          <w:sz w:val="22"/>
        </w:rPr>
        <w:t>부록 C. 추가 성능표 (기간별 피처 중요도 합의, DM 검정 결과)</w:t>
      </w:r>
      <w:r>
        <w:tab/>
      </w:r>
    </w:p>
    <w:p>
      <w:pPr>
        <w:tabs>
          <w:tab w:val="right" w:pos="8220" w:leader="none"/>
        </w:tabs>
        <w:spacing w:before="40" w:after="40" w:lineRule="auto" w:line="312"/>
      </w:pPr>
      <w:r>
        <w:rPr>
          <w:rFonts w:ascii="Times New Roman" w:hAnsi="Times New Roman" w:eastAsia="신명조"/>
          <w:b/>
          <w:i w:val="0"/>
          <w:sz w:val="22"/>
        </w:rPr>
        <w:t>부록 D. 데이터 전처리 및 학습 알고리즘 의사코드</w:t>
      </w:r>
      <w:r>
        <w:tab/>
      </w:r>
    </w:p>
    <w:p>
      <w:pPr>
        <w:tabs>
          <w:tab w:val="right" w:pos="8220" w:leader="none"/>
        </w:tabs>
        <w:spacing w:before="40" w:after="40" w:lineRule="auto" w:line="312"/>
      </w:pPr>
      <w:r>
        <w:rPr>
          <w:rFonts w:ascii="Times New Roman" w:hAnsi="Times New Roman" w:eastAsia="신명조"/>
          <w:b/>
          <w:i w:val="0"/>
          <w:sz w:val="22"/>
        </w:rPr>
        <w:t>부록 E. ETF별 기초 통계량</w:t>
      </w:r>
      <w:r>
        <w:tab/>
      </w:r>
    </w:p>
    <w:p>
      <w:r>
        <w:br w:type="page"/>
      </w:r>
    </w:p>
    <w:p>
      <w:pPr>
        <w:spacing w:before="0" w:after="360" w:lineRule="auto" w:line="360"/>
        <w:jc w:val="center"/>
      </w:pPr>
      <w:r>
        <w:rPr>
          <w:rFonts w:ascii="Times New Roman" w:hAnsi="Times New Roman" w:eastAsia="신명조"/>
          <w:b/>
          <w:i w:val="0"/>
          <w:sz w:val="28"/>
        </w:rPr>
        <w:t>표   차   례</w:t>
      </w:r>
    </w:p>
    <w:p>
      <w:pPr>
        <w:spacing w:before="0" w:after="60" w:lineRule="auto" w:line="312"/>
        <w:ind w:left="0"/>
        <w:tabs>
          <w:tab w:val="right" w:pos="8220" w:leader="dot"/>
        </w:tabs>
      </w:pPr>
      <w:r>
        <w:rPr>
          <w:rFonts w:ascii="Times New Roman" w:hAnsi="Times New Roman" w:eastAsia="신명조"/>
          <w:b w:val="0"/>
          <w:i w:val="0"/>
          <w:sz w:val="21"/>
        </w:rPr>
        <w:t>표 1. 자산 구성</w:t>
        <w:tab/>
      </w:r>
    </w:p>
    <w:p>
      <w:pPr>
        <w:spacing w:before="0" w:after="60" w:lineRule="auto" w:line="312"/>
        <w:ind w:left="0"/>
        <w:tabs>
          <w:tab w:val="right" w:pos="8220" w:leader="dot"/>
        </w:tabs>
      </w:pPr>
      <w:r>
        <w:rPr>
          <w:rFonts w:ascii="Times New Roman" w:hAnsi="Times New Roman" w:eastAsia="신명조"/>
          <w:b w:val="0"/>
          <w:i w:val="0"/>
          <w:sz w:val="21"/>
        </w:rPr>
        <w:t>표 2. 기호 및 정의</w:t>
        <w:tab/>
      </w:r>
    </w:p>
    <w:p>
      <w:pPr>
        <w:spacing w:before="0" w:after="60" w:lineRule="auto" w:line="312"/>
        <w:ind w:left="0"/>
        <w:tabs>
          <w:tab w:val="right" w:pos="8220" w:leader="dot"/>
        </w:tabs>
      </w:pPr>
      <w:r>
        <w:rPr>
          <w:rFonts w:ascii="Times New Roman" w:hAnsi="Times New Roman" w:eastAsia="신명조"/>
          <w:b w:val="0"/>
          <w:i w:val="0"/>
          <w:sz w:val="21"/>
        </w:rPr>
        <w:t>표 3. 모델 구성</w:t>
        <w:tab/>
      </w:r>
    </w:p>
    <w:p>
      <w:pPr>
        <w:spacing w:before="0" w:after="60" w:lineRule="auto" w:line="312"/>
        <w:ind w:left="0"/>
        <w:tabs>
          <w:tab w:val="right" w:pos="8220" w:leader="dot"/>
        </w:tabs>
      </w:pPr>
      <w:r>
        <w:rPr>
          <w:rFonts w:ascii="Times New Roman" w:hAnsi="Times New Roman" w:eastAsia="신명조"/>
          <w:b w:val="0"/>
          <w:i w:val="0"/>
          <w:sz w:val="21"/>
        </w:rPr>
        <w:t>표 4. 모델별 하이퍼파라미터 탐색 범위</w:t>
        <w:tab/>
      </w:r>
    </w:p>
    <w:p>
      <w:pPr>
        <w:spacing w:before="0" w:after="60" w:lineRule="auto" w:line="312"/>
        <w:ind w:left="0"/>
        <w:tabs>
          <w:tab w:val="right" w:pos="8220" w:leader="dot"/>
        </w:tabs>
      </w:pPr>
      <w:r>
        <w:rPr>
          <w:rFonts w:ascii="Times New Roman" w:hAnsi="Times New Roman" w:eastAsia="신명조"/>
          <w:b w:val="0"/>
          <w:i w:val="0"/>
          <w:sz w:val="21"/>
        </w:rPr>
        <w:t>표 5. WEns Pooled R² vs R²_Within 비교</w:t>
        <w:tab/>
      </w:r>
    </w:p>
    <w:p>
      <w:pPr>
        <w:spacing w:before="0" w:after="60" w:lineRule="auto" w:line="312"/>
        <w:ind w:left="0"/>
        <w:tabs>
          <w:tab w:val="right" w:pos="8220" w:leader="dot"/>
        </w:tabs>
      </w:pPr>
      <w:r>
        <w:rPr>
          <w:rFonts w:ascii="Times New Roman" w:hAnsi="Times New Roman" w:eastAsia="신명조"/>
          <w:b w:val="0"/>
          <w:i w:val="0"/>
          <w:sz w:val="21"/>
        </w:rPr>
        <w:t>표 6. 22거래일 기간 모델별 성능 비교</w:t>
        <w:tab/>
      </w:r>
    </w:p>
    <w:p>
      <w:pPr>
        <w:spacing w:before="0" w:after="60" w:lineRule="auto" w:line="312"/>
        <w:ind w:left="0"/>
        <w:tabs>
          <w:tab w:val="right" w:pos="8220" w:leader="dot"/>
        </w:tabs>
      </w:pPr>
      <w:r>
        <w:rPr>
          <w:rFonts w:ascii="Times New Roman" w:hAnsi="Times New Roman" w:eastAsia="신명조"/>
          <w:b w:val="0"/>
          <w:i w:val="0"/>
          <w:sz w:val="21"/>
        </w:rPr>
        <w:t>표 7. WEns 자산별 R² (22d 예측 기간)</w:t>
        <w:tab/>
      </w:r>
    </w:p>
    <w:p>
      <w:pPr>
        <w:spacing w:before="0" w:after="60" w:lineRule="auto" w:line="312"/>
        <w:ind w:left="0"/>
        <w:tabs>
          <w:tab w:val="right" w:pos="8220" w:leader="dot"/>
        </w:tabs>
      </w:pPr>
      <w:r>
        <w:rPr>
          <w:rFonts w:ascii="Times New Roman" w:hAnsi="Times New Roman" w:eastAsia="신명조"/>
          <w:b w:val="0"/>
          <w:i w:val="0"/>
          <w:sz w:val="21"/>
        </w:rPr>
        <w:t>표 8. Ridge 22거래일 피처 그룹 서브셋 실험</w:t>
        <w:tab/>
      </w:r>
    </w:p>
    <w:p>
      <w:pPr>
        <w:spacing w:before="0" w:after="60" w:lineRule="auto" w:line="312"/>
        <w:ind w:left="0"/>
        <w:tabs>
          <w:tab w:val="right" w:pos="8220" w:leader="dot"/>
        </w:tabs>
      </w:pPr>
      <w:r>
        <w:rPr>
          <w:rFonts w:ascii="Times New Roman" w:hAnsi="Times New Roman" w:eastAsia="신명조"/>
          <w:b w:val="0"/>
          <w:i w:val="0"/>
          <w:sz w:val="21"/>
        </w:rPr>
        <w:t>표 9. WEns 22d 기준 피처 그룹 제거 실험</w:t>
        <w:tab/>
      </w:r>
    </w:p>
    <w:p>
      <w:pPr>
        <w:spacing w:before="0" w:after="60" w:lineRule="auto" w:line="312"/>
        <w:ind w:left="0"/>
        <w:tabs>
          <w:tab w:val="right" w:pos="8220" w:leader="dot"/>
        </w:tabs>
      </w:pPr>
      <w:r>
        <w:rPr>
          <w:rFonts w:ascii="Times New Roman" w:hAnsi="Times New Roman" w:eastAsia="신명조"/>
          <w:b w:val="0"/>
          <w:i w:val="0"/>
          <w:sz w:val="21"/>
        </w:rPr>
        <w:t>표 10. 예측 기간별 Kendall's W</w:t>
        <w:tab/>
      </w:r>
    </w:p>
    <w:p>
      <w:pPr>
        <w:spacing w:before="0" w:after="60" w:lineRule="auto" w:line="312"/>
        <w:ind w:left="0"/>
        <w:tabs>
          <w:tab w:val="right" w:pos="8220" w:leader="dot"/>
        </w:tabs>
      </w:pPr>
      <w:r>
        <w:rPr>
          <w:rFonts w:ascii="Times New Roman" w:hAnsi="Times New Roman" w:eastAsia="신명조"/>
          <w:b w:val="0"/>
          <w:i w:val="0"/>
          <w:sz w:val="21"/>
        </w:rPr>
        <w:t>표 11. 22_d VIX 분위수 구간별 Pooled R²</w:t>
        <w:tab/>
      </w:r>
    </w:p>
    <w:p>
      <w:pPr>
        <w:spacing w:before="0" w:after="60" w:lineRule="auto" w:line="312"/>
        <w:ind w:left="0"/>
        <w:tabs>
          <w:tab w:val="right" w:pos="8220" w:leader="dot"/>
        </w:tabs>
      </w:pPr>
      <w:r>
        <w:rPr>
          <w:rFonts w:ascii="Times New Roman" w:hAnsi="Times New Roman" w:eastAsia="신명조"/>
          <w:b w:val="0"/>
          <w:i w:val="0"/>
          <w:sz w:val="21"/>
        </w:rPr>
        <w:t>표 12. LASSO-HAR vs LASSO 기간별 Pooled R²</w:t>
        <w:tab/>
      </w:r>
    </w:p>
    <w:p>
      <w:pPr>
        <w:spacing w:before="0" w:after="60" w:lineRule="auto" w:line="312"/>
        <w:ind w:left="0"/>
        <w:tabs>
          <w:tab w:val="right" w:pos="8220" w:leader="dot"/>
        </w:tabs>
      </w:pPr>
      <w:r>
        <w:rPr>
          <w:rFonts w:ascii="Times New Roman" w:hAnsi="Times New Roman" w:eastAsia="신명조"/>
          <w:b w:val="0"/>
          <w:i w:val="0"/>
          <w:sz w:val="21"/>
        </w:rPr>
        <w:t>표 13. 자산군별 VRP 기초 통계 (22d 기준, WEns 예측 RV 사용)</w:t>
        <w:tab/>
      </w:r>
    </w:p>
    <w:p>
      <w:pPr>
        <w:spacing w:before="0" w:after="60" w:lineRule="auto" w:line="312"/>
        <w:ind w:left="0"/>
        <w:tabs>
          <w:tab w:val="right" w:pos="8220" w:leader="dot"/>
        </w:tabs>
      </w:pPr>
      <w:r>
        <w:rPr>
          <w:rFonts w:ascii="Times New Roman" w:hAnsi="Times New Roman" w:eastAsia="신명조"/>
          <w:b w:val="0"/>
          <w:i w:val="0"/>
          <w:sz w:val="21"/>
        </w:rPr>
        <w:t>표 A-1. 피처 목록 및 정의 (35개 피처 전체)</w:t>
        <w:tab/>
      </w:r>
    </w:p>
    <w:p>
      <w:pPr>
        <w:spacing w:before="0" w:after="60" w:lineRule="auto" w:line="312"/>
        <w:ind w:left="0"/>
        <w:tabs>
          <w:tab w:val="right" w:pos="8220" w:leader="dot"/>
        </w:tabs>
      </w:pPr>
      <w:r>
        <w:rPr>
          <w:rFonts w:ascii="Times New Roman" w:hAnsi="Times New Roman" w:eastAsia="신명조"/>
          <w:b w:val="0"/>
          <w:i w:val="0"/>
          <w:sz w:val="21"/>
        </w:rPr>
        <w:t>표 B-1. 모형별 하이퍼파라미터 탐색 공간 상세</w:t>
        <w:tab/>
      </w:r>
    </w:p>
    <w:p>
      <w:pPr>
        <w:spacing w:before="0" w:after="60" w:lineRule="auto" w:line="312"/>
        <w:ind w:left="0"/>
        <w:tabs>
          <w:tab w:val="right" w:pos="8220" w:leader="dot"/>
        </w:tabs>
      </w:pPr>
      <w:r>
        <w:rPr>
          <w:rFonts w:ascii="Times New Roman" w:hAnsi="Times New Roman" w:eastAsia="신명조"/>
          <w:b w:val="0"/>
          <w:i w:val="0"/>
          <w:sz w:val="21"/>
        </w:rPr>
        <w:t>표 C-1. 기간별 피처 중요도 합의 (상위 10개 피처)</w:t>
        <w:tab/>
      </w:r>
    </w:p>
    <w:p>
      <w:pPr>
        <w:spacing w:before="0" w:after="60" w:lineRule="auto" w:line="312"/>
        <w:ind w:left="0"/>
        <w:tabs>
          <w:tab w:val="right" w:pos="8220" w:leader="dot"/>
        </w:tabs>
      </w:pPr>
      <w:r>
        <w:rPr>
          <w:rFonts w:ascii="Times New Roman" w:hAnsi="Times New Roman" w:eastAsia="신명조"/>
          <w:b w:val="0"/>
          <w:i w:val="0"/>
          <w:sz w:val="21"/>
        </w:rPr>
        <w:t>표 C-2. WEns vs 베이스라인 DM 검정 결과 (BH 다중비교 보정)</w:t>
        <w:tab/>
      </w:r>
    </w:p>
    <w:p>
      <w:pPr>
        <w:spacing w:before="0" w:after="60" w:lineRule="auto" w:line="312"/>
        <w:ind w:left="0"/>
        <w:tabs>
          <w:tab w:val="right" w:pos="8220" w:leader="dot"/>
        </w:tabs>
      </w:pPr>
      <w:r>
        <w:rPr>
          <w:rFonts w:ascii="Times New Roman" w:hAnsi="Times New Roman" w:eastAsia="신명조"/>
          <w:b w:val="0"/>
          <w:i w:val="0"/>
          <w:sz w:val="21"/>
        </w:rPr>
        <w:t>표 E-1. ETF별 기초 통계량 (2010~2024)</w:t>
        <w:tab/>
      </w:r>
    </w:p>
    <w:p>
      <w:r>
        <w:br w:type="page"/>
      </w:r>
    </w:p>
    <w:p>
      <w:pPr>
        <w:spacing w:before="0" w:after="360" w:lineRule="auto" w:line="360"/>
        <w:jc w:val="center"/>
      </w:pPr>
      <w:r>
        <w:rPr>
          <w:rFonts w:ascii="Times New Roman" w:hAnsi="Times New Roman" w:eastAsia="신명조"/>
          <w:b/>
          <w:i w:val="0"/>
          <w:sz w:val="28"/>
        </w:rPr>
        <w:t>그   림   차   례</w:t>
      </w:r>
    </w:p>
    <w:p>
      <w:pPr>
        <w:spacing w:before="0" w:after="60" w:lineRule="auto" w:line="312"/>
        <w:tabs>
          <w:tab w:val="right" w:pos="8220" w:leader="dot"/>
        </w:tabs>
      </w:pPr>
      <w:r>
        <w:rPr>
          <w:rFonts w:ascii="Times New Roman" w:hAnsi="Times New Roman" w:eastAsia="신명조"/>
          <w:b w:val="0"/>
          <w:i w:val="0"/>
          <w:sz w:val="21"/>
        </w:rPr>
        <w:t>그림 1. VIX Index(2010~2024)</w:t>
        <w:tab/>
      </w:r>
    </w:p>
    <w:p>
      <w:pPr>
        <w:spacing w:before="0" w:after="60" w:lineRule="auto" w:line="312"/>
        <w:tabs>
          <w:tab w:val="right" w:pos="8220" w:leader="dot"/>
        </w:tabs>
      </w:pPr>
      <w:r>
        <w:rPr>
          <w:rFonts w:ascii="Times New Roman" w:hAnsi="Times New Roman" w:eastAsia="신명조"/>
          <w:b w:val="0"/>
          <w:i w:val="0"/>
          <w:sz w:val="21"/>
        </w:rPr>
        <w:t>그림 2. WEns 모델의 전체 흐름</w:t>
        <w:tab/>
      </w:r>
    </w:p>
    <w:p>
      <w:pPr>
        <w:spacing w:before="0" w:after="60" w:lineRule="auto" w:line="312"/>
        <w:tabs>
          <w:tab w:val="right" w:pos="8220" w:leader="dot"/>
        </w:tabs>
      </w:pPr>
      <w:r>
        <w:rPr>
          <w:rFonts w:ascii="Times New Roman" w:hAnsi="Times New Roman" w:eastAsia="신명조"/>
          <w:b w:val="0"/>
          <w:i w:val="0"/>
          <w:sz w:val="21"/>
        </w:rPr>
        <w:t>그림 3. 전체 모델×기간 Pooled R² 히트맵</w:t>
        <w:tab/>
      </w:r>
    </w:p>
    <w:p>
      <w:pPr>
        <w:spacing w:before="0" w:after="60" w:lineRule="auto" w:line="312"/>
        <w:tabs>
          <w:tab w:val="right" w:pos="8220" w:leader="dot"/>
        </w:tabs>
      </w:pPr>
      <w:r>
        <w:rPr>
          <w:rFonts w:ascii="Times New Roman" w:hAnsi="Times New Roman" w:eastAsia="신명조"/>
          <w:b w:val="0"/>
          <w:i w:val="0"/>
          <w:sz w:val="21"/>
        </w:rPr>
        <w:t>그림 4. 기간별 WEns Pooled R² vs R²_Within</w:t>
        <w:tab/>
      </w:r>
    </w:p>
    <w:p>
      <w:pPr>
        <w:spacing w:before="0" w:after="60" w:lineRule="auto" w:line="312"/>
        <w:tabs>
          <w:tab w:val="right" w:pos="8220" w:leader="dot"/>
        </w:tabs>
      </w:pPr>
      <w:r>
        <w:rPr>
          <w:rFonts w:ascii="Times New Roman" w:hAnsi="Times New Roman" w:eastAsia="신명조"/>
          <w:b w:val="0"/>
          <w:i w:val="0"/>
          <w:sz w:val="21"/>
        </w:rPr>
        <w:t>그림 5. 22_d 피처 중요도 합의 순위 Top-10</w:t>
        <w:tab/>
      </w:r>
    </w:p>
    <w:p>
      <w:pPr>
        <w:spacing w:before="0" w:after="60" w:lineRule="auto" w:line="312"/>
        <w:tabs>
          <w:tab w:val="right" w:pos="8220" w:leader="dot"/>
        </w:tabs>
      </w:pPr>
      <w:r>
        <w:rPr>
          <w:rFonts w:ascii="Times New Roman" w:hAnsi="Times New Roman" w:eastAsia="신명조"/>
          <w:b w:val="0"/>
          <w:i w:val="0"/>
          <w:sz w:val="21"/>
        </w:rPr>
        <w:t>그림 6. VIX 시계열 및 분위수 국면 구분 (2010–2024)</w:t>
        <w:tab/>
      </w:r>
    </w:p>
    <w:p>
      <w:r>
        <w:br w:type="page"/>
      </w:r>
    </w:p>
    <w:p>
      <w:pPr>
        <w:spacing w:before="0" w:after="120" w:lineRule="auto" w:line="360"/>
        <w:ind w:firstLine="400"/>
        <w:jc w:val="both"/>
      </w:pPr>
      <w:r>
        <w:rPr>
          <w:rFonts w:ascii="Times New Roman" w:hAnsi="Times New Roman"/>
          <w:b w:val="0"/>
          <w:i w:val="0"/>
          <w:sz w:val="20"/>
        </w:rPr>
        <w:t>﻿Weighted Ensemble을 활용한 다중 예측 기간 Cross-Asset 실현분산 예측</w:t>
      </w:r>
    </w:p>
    <w:p>
      <w:pPr>
        <w:spacing w:before="0" w:after="120" w:lineRule="auto" w:line="360"/>
        <w:ind w:firstLine="400"/>
        <w:jc w:val="both"/>
      </w:pPr>
      <w:r>
        <w:rPr>
          <w:rFonts w:ascii="Times New Roman" w:hAnsi="Times New Roman"/>
          <w:b w:val="0"/>
          <w:i w:val="0"/>
          <w:sz w:val="20"/>
        </w:rPr>
        <w:t>*</w:t>
      </w:r>
    </w:p>
    <w:p>
      <w:pPr>
        <w:spacing w:before="0" w:after="120" w:lineRule="auto" w:line="360"/>
        <w:ind w:firstLine="400"/>
        <w:jc w:val="both"/>
      </w:pPr>
      <w:r>
        <w:rPr>
          <w:rFonts w:ascii="Times New Roman" w:hAnsi="Times New Roman"/>
          <w:b w:val="0"/>
          <w:i w:val="0"/>
          <w:sz w:val="20"/>
        </w:rPr>
        <w:t>Multi-Horizon Realized Variance Forecasting across Asset Classes with a Weighted Ensemble</w:t>
      </w:r>
    </w:p>
    <w:p>
      <w:pPr>
        <w:spacing w:before="0" w:after="120" w:lineRule="auto" w:line="360"/>
        <w:ind w:firstLine="400"/>
        <w:jc w:val="both"/>
      </w:pPr>
      <w:r>
        <w:rPr>
          <w:rFonts w:ascii="Times New Roman" w:hAnsi="Times New Roman"/>
          <w:b w:val="0"/>
          <w:i w:val="0"/>
          <w:sz w:val="20"/>
        </w:rPr>
        <w:t>*</w:t>
      </w:r>
    </w:p>
    <w:p>
      <w:r>
        <w:br w:type="page"/>
      </w:r>
    </w:p>
    <w:p>
      <w:r>
        <w:br w:type="page"/>
      </w:r>
    </w:p>
    <w:p>
      <w:r>
        <w:br w:type="page"/>
      </w:r>
    </w:p>
    <w:p>
      <w:r>
        <w:br w:type="page"/>
      </w:r>
    </w:p>
    <w:p>
      <w:pPr>
        <w:spacing w:before="0" w:after="120" w:lineRule="auto" w:line="360"/>
        <w:ind w:firstLine="400"/>
        <w:jc w:val="both"/>
      </w:pPr>
      <w:r>
        <w:rPr>
          <w:rFonts w:ascii="Times New Roman" w:hAnsi="Times New Roman"/>
          <w:b w:val="0"/>
          <w:i w:val="0"/>
          <w:sz w:val="20"/>
        </w:rPr>
        <w:t>초록</w:t>
      </w:r>
    </w:p>
    <w:p>
      <w:pPr>
        <w:spacing w:before="0" w:after="120" w:lineRule="auto" w:line="360"/>
        <w:ind w:firstLine="400"/>
        <w:jc w:val="both"/>
      </w:pPr>
      <w:r>
        <w:rPr>
          <w:rFonts w:ascii="Times New Roman" w:hAnsi="Times New Roman"/>
          <w:b w:val="0"/>
          <w:i w:val="0"/>
          <w:sz w:val="20"/>
        </w:rPr>
        <w:t>본 연구는 누구나 접근 가능한 일별 가격·거래량 자료와 변동성 지수만을 이용하여, 주식·채권·원자재를 포괄하는 다중 자산 실현분산(Realized Variance, RV) 예측 시스템을 설계하고 검증한다. 2010년부터 2024년까지 11개 ETF(SPY, QQQ, IWM, EFA, EEM, TLT, IEF, AGG, GLD, SLV, USO)를 대상으로, 일별 OHLCV와 VIX 기간구조에서 도출한 35개 피처를 HAR 기반·HF Proxy·IV Surface·Alternative의 4개 그룹으로 체계화했다. 예측 기간은 거래일 기준 1, 5, 22, 60, 90, 120, 180, 252의 8개 구간이며, Ridge와 XGBoost를 내부 검증 기반 가중치 선택으로 결합한 WEns(Weighted Ensemble) 알고리즘을 제안한다.</w:t>
      </w:r>
    </w:p>
    <w:p>
      <w:pPr>
        <w:spacing w:before="0" w:after="120" w:lineRule="auto" w:line="360"/>
        <w:ind w:firstLine="400"/>
        <w:jc w:val="both"/>
      </w:pPr>
      <w:r>
        <w:rPr>
          <w:rFonts w:ascii="Times New Roman" w:hAnsi="Times New Roman"/>
          <w:b w:val="0"/>
          <w:i w:val="0"/>
          <w:sz w:val="20"/>
        </w:rPr>
        <w:t>동일한 피처와 검증 절차 하에서 선형·트리·신경망 모델을 비교한 결과, 22거래일 기준 WEns가 Pooled R</w:t>
      </w:r>
      <w:r>
        <w:rPr>
          <w:rFonts w:ascii="Times New Roman" w:hAnsi="Times New Roman"/>
          <w:b w:val="0"/>
          <w:i w:val="0"/>
          <w:sz w:val="20"/>
          <w:vertAlign w:val="superscript"/>
        </w:rPr>
        <w:t>2</w:t>
      </w:r>
      <w:r>
        <w:rPr>
          <w:rFonts w:ascii="Times New Roman" w:hAnsi="Times New Roman"/>
          <w:b w:val="0"/>
          <w:i w:val="0"/>
          <w:sz w:val="20"/>
        </w:rPr>
        <w:t xml:space="preserve"> 0.8041로 최고 성능을 기록했다. 8개 예측 기간 중 5개에서 WEns, 3개에서 Ridge가 1위를 차지했으며, 신경망 모델(BiLSTM-A, MLP)은 제한적 표본 환경에서 과적합으로 인해 최하위를 보였다. 피처 중요도 합의 분석에서 Ridge·XGBoost·permutation 세 방법이 Kendall's W = 0.822의 강한 합의를 보였고, IV Surface 피처군(ΔR</w:t>
      </w:r>
      <w:r>
        <w:rPr>
          <w:rFonts w:ascii="Times New Roman" w:hAnsi="Times New Roman"/>
          <w:b w:val="0"/>
          <w:i w:val="0"/>
          <w:sz w:val="20"/>
          <w:vertAlign w:val="superscript"/>
        </w:rPr>
        <w:t>2</w:t>
      </w:r>
      <w:r>
        <w:rPr>
          <w:rFonts w:ascii="Times New Roman" w:hAnsi="Times New Roman"/>
          <w:b w:val="0"/>
          <w:i w:val="0"/>
          <w:sz w:val="20"/>
        </w:rPr>
        <w:t>=+0.0164)이 HF Proxy(+0.0153)보다 대체 불가능한 고유 정보를 더 많이 제공함을 확인했다. WEns는 HAR-3, NaiveRV, GARCH(1,1), IV-only 대비 22d Pooled R</w:t>
      </w:r>
      <w:r>
        <w:rPr>
          <w:rFonts w:ascii="Times New Roman" w:hAnsi="Times New Roman"/>
          <w:b w:val="0"/>
          <w:i w:val="0"/>
          <w:sz w:val="20"/>
          <w:vertAlign w:val="superscript"/>
        </w:rPr>
        <w:t>2</w:t>
      </w:r>
      <w:r>
        <w:rPr>
          <w:rFonts w:ascii="Times New Roman" w:hAnsi="Times New Roman"/>
          <w:b w:val="0"/>
          <w:i w:val="0"/>
          <w:sz w:val="20"/>
        </w:rPr>
        <w:t>를 각각 +0.038p, +0.090p, +0.115p, +0.595p 넘어서며 모두 p &lt; 0.001 수준에서 통계적으로 유의한 우위를 보였다. 또한 예측된 RV를 활용한 분산위험프리미엄(VRP) 탐색적 분석에서 자산군별 VRP 양수 비율의 이질성(주식 71.5%, 채권 92.7%, 원자재 31.5%)을 확인했으며, 채권의 높은 양수 비율은 주식 기반 VIX의 채권 변동성 과대추정 효과에서 비롯된다.</w:t>
      </w:r>
    </w:p>
    <w:p>
      <w:pPr>
        <w:spacing w:before="0" w:after="120" w:lineRule="auto" w:line="360"/>
        <w:ind w:firstLine="400"/>
        <w:jc w:val="both"/>
      </w:pPr>
      <w:r>
        <w:rPr>
          <w:rFonts w:ascii="Times New Roman" w:hAnsi="Times New Roman"/>
          <w:b w:val="0"/>
          <w:i w:val="0"/>
          <w:sz w:val="20"/>
        </w:rPr>
        <w:t>핵심어: 실현분산 예측, 가중 앙상블, 다중 자산 분석, 기계학습, 분산위험프리미엄</w:t>
      </w:r>
    </w:p>
    <w:p>
      <w:r>
        <w:br w:type="page"/>
      </w:r>
    </w:p>
    <w:p>
      <w:pPr>
        <w:spacing w:before="0" w:after="120" w:lineRule="auto" w:line="360"/>
        <w:ind w:firstLine="400"/>
        <w:jc w:val="both"/>
      </w:pPr>
      <w:r>
        <w:rPr>
          <w:rFonts w:ascii="Times New Roman" w:hAnsi="Times New Roman"/>
          <w:b w:val="0"/>
          <w:i w:val="0"/>
          <w:sz w:val="20"/>
        </w:rPr>
        <w:t>Abstract</w:t>
      </w:r>
    </w:p>
    <w:p>
      <w:pPr>
        <w:spacing w:before="0" w:after="120" w:lineRule="auto" w:line="360"/>
        <w:ind w:firstLine="400"/>
        <w:jc w:val="both"/>
      </w:pPr>
      <w:r>
        <w:rPr>
          <w:rFonts w:ascii="Times New Roman" w:hAnsi="Times New Roman"/>
          <w:b w:val="0"/>
          <w:i w:val="0"/>
          <w:sz w:val="20"/>
        </w:rPr>
        <w:t>This study develops and evaluates a machine learning framework for multi-horizon realized variance (RV) forecasting across asset classes, based solely on publicly available daily price and volume data. We analyze 11 ETFs (SPY, QQQ, IWM, EFA, EEM, TLT, IEF, AGG, GLD, SLV, USO) over the period 2010–2024, organizing 35 features derived from daily OHLCV data and the VIX term structure into four groups: HAR-based, HF Proxy, IV Surface, and Alternative. Forecast horizons span eight trading-day windows: 1, 5, 22, 60, 90, 120, 180, and 252. We propose WEns (Weighted Ensemble), which combines Ridge regression and XGBoost with horizon-specific weights selected via an internal holdout validation procedure.</w:t>
      </w:r>
    </w:p>
    <w:p>
      <w:pPr>
        <w:spacing w:before="0" w:after="120" w:lineRule="auto" w:line="360"/>
        <w:ind w:firstLine="400"/>
        <w:jc w:val="both"/>
      </w:pPr>
      <w:r>
        <w:rPr>
          <w:rFonts w:ascii="Times New Roman" w:hAnsi="Times New Roman"/>
          <w:b w:val="0"/>
          <w:i w:val="0"/>
          <w:sz w:val="20"/>
        </w:rPr>
        <w:t>Under identical feature sets and validation protocols, WEns achieves the highest pooled R</w:t>
      </w:r>
      <w:r>
        <w:rPr>
          <w:rFonts w:ascii="Times New Roman" w:hAnsi="Times New Roman"/>
          <w:b w:val="0"/>
          <w:i w:val="0"/>
          <w:sz w:val="20"/>
          <w:vertAlign w:val="superscript"/>
        </w:rPr>
        <w:t>2</w:t>
      </w:r>
      <w:r>
        <w:rPr>
          <w:rFonts w:ascii="Times New Roman" w:hAnsi="Times New Roman"/>
          <w:b w:val="0"/>
          <w:i w:val="0"/>
          <w:sz w:val="20"/>
        </w:rPr>
        <w:t xml:space="preserve"> of 0.8041 at the 22-trading-day horizon, ranking first in five of eight forecast horizons; Ridge ranks first in the remaining three. Neural network models (BiLSTM-A, MLP) rank last due to overfitting in limited-sample environments. Feature importance consensus analysis shows strong agreement across Ridge coefficients, XGBoost gain, and permutation importance (Kendall's W = 0.822 at 22d). Group-removal experiments further reveal that IV Surface features contribute more non-redundant predictive information (ΔR</w:t>
      </w:r>
      <w:r>
        <w:rPr>
          <w:rFonts w:ascii="Times New Roman" w:hAnsi="Times New Roman"/>
          <w:b w:val="0"/>
          <w:i w:val="0"/>
          <w:sz w:val="20"/>
          <w:vertAlign w:val="superscript"/>
        </w:rPr>
        <w:t>2</w:t>
      </w:r>
      <w:r>
        <w:rPr>
          <w:rFonts w:ascii="Times New Roman" w:hAnsi="Times New Roman"/>
          <w:b w:val="0"/>
          <w:i w:val="0"/>
          <w:sz w:val="20"/>
        </w:rPr>
        <w:t xml:space="preserve"> = +0.0164) than HF Proxy features (+0.0153), despite the latter ranking higher on individual importance scores. WEns statistically outperforms HAR-3, NaiveRV, GARCH(1,1), and IV-only baselines by +0.038, +0.090, +0.115, and +0.595 percentage points in 22-trading-day pooled R</w:t>
      </w:r>
      <w:r>
        <w:rPr>
          <w:rFonts w:ascii="Times New Roman" w:hAnsi="Times New Roman"/>
          <w:b w:val="0"/>
          <w:i w:val="0"/>
          <w:sz w:val="20"/>
          <w:vertAlign w:val="superscript"/>
        </w:rPr>
        <w:t>2</w:t>
      </w:r>
      <w:r>
        <w:rPr>
          <w:rFonts w:ascii="Times New Roman" w:hAnsi="Times New Roman"/>
          <w:b w:val="0"/>
          <w:i w:val="0"/>
          <w:sz w:val="20"/>
        </w:rPr>
        <w:t>, respectively (all p &lt; 0.001). An exploratory analysis of the variance risk premium (VRP), computed from WEns-predicted RV, reveals heterogeneous positive VRP frequencies across asset classes (equity: 71.5%, bond: 92.7%, commodity: 31.5%); the elevated bond figure reflects VIX-based over-estimation of bond volatility, consistent with VIX serving as an equity-specific implied variance proxy.</w:t>
      </w:r>
    </w:p>
    <w:p>
      <w:pPr>
        <w:spacing w:before="0" w:after="120" w:lineRule="auto" w:line="360"/>
        <w:ind w:firstLine="400"/>
        <w:jc w:val="both"/>
      </w:pPr>
      <w:r>
        <w:rPr>
          <w:rFonts w:ascii="Times New Roman" w:hAnsi="Times New Roman"/>
          <w:b w:val="0"/>
          <w:i w:val="0"/>
          <w:sz w:val="20"/>
        </w:rPr>
        <w:t>Keywords: financial forecasting, volatility modeling, multi-asset analysis, ensemble learning, variance risk premium</w:t>
      </w:r>
    </w:p>
    <w:p>
      <w:pPr>
        <w:spacing w:before="0" w:after="120" w:lineRule="auto" w:line="360"/>
        <w:ind w:firstLine="400"/>
        <w:jc w:val="both"/>
      </w:pPr>
      <w:r>
        <w:rPr>
          <w:rFonts w:ascii="Times New Roman" w:hAnsi="Times New Roman"/>
          <w:b w:val="0"/>
          <w:i w:val="0"/>
          <w:sz w:val="20"/>
        </w:rPr>
        <w:t>﻿Ⅰ. 서론</w:t>
      </w:r>
    </w:p>
    <w:p>
      <w:pPr>
        <w:spacing w:before="240" w:after="120" w:lineRule="auto" w:line="360"/>
        <w:jc w:val="left"/>
      </w:pPr>
      <w:r>
        <w:rPr>
          <w:rFonts w:ascii="Times New Roman" w:hAnsi="Times New Roman"/>
          <w:b/>
          <w:i w:val="0"/>
          <w:sz w:val="24"/>
        </w:rPr>
        <w:t>1. 연구 배경</w:t>
      </w:r>
    </w:p>
    <w:p>
      <w:pPr>
        <w:spacing w:before="0" w:after="120" w:lineRule="auto" w:line="360"/>
        <w:ind w:firstLine="400"/>
        <w:jc w:val="both"/>
      </w:pPr>
      <w:r>
        <w:rPr>
          <w:rFonts w:ascii="Times New Roman" w:hAnsi="Times New Roman"/>
          <w:b w:val="0"/>
          <w:i w:val="0"/>
          <w:sz w:val="20"/>
        </w:rPr>
        <w:t>최근 금융시장은 팬데믹, 지정학적 충격, 통화정책 전환과 같은 사건을 거치며 높은 변동성 국면을 반복적으로 경험해 왔다. 예를 들어 Yahoo Finance에서 수집한 코로나19 팬데믹이 본격화된 2020년 3월 16일 VIX(변동성지수, Volatility Index)는 82.7 수준까지 상승했고, 러시아-우크라이나 전쟁 발발 전후인 2022년 3월 초에도 36.5 수준까지 상승했다. 이러한 사례는 변동성이 단순한 가격 변동 폭을 넘어 시장의 불확실성 평가와 위험회피 수요를 반영하는 핵심 변수임을 보여준다.</w:t>
      </w:r>
    </w:p>
    <w:p>
      <w:pPr>
        <w:spacing w:before="0" w:after="120" w:lineRule="auto" w:line="360"/>
        <w:ind w:firstLine="400"/>
        <w:jc w:val="both"/>
      </w:pPr>
      <w:r>
        <w:rPr>
          <w:rFonts w:ascii="Times New Roman" w:hAnsi="Times New Roman"/>
          <w:b w:val="0"/>
          <w:i w:val="0"/>
          <w:sz w:val="20"/>
        </w:rPr>
        <w:t>미래 변동성 예측은 포트폴리오 위험 관리, 옵션 헤징 비용 산정, 자산배분 전략 설계의 핵심 입력값이다. RV(실현분산, Realized Variance)는 실제 시장에서 사후적으로 관측되는 변동성 측도로서, 내재분산이나 GARCH 조건부 분산과 달리 모형 가정 없이 계산되는 특성을 가진다. RV의 예측 가능성은 HAR-RV</w:t>
      </w:r>
      <w:r>
        <w:rPr>
          <w:rFonts w:ascii="Times New Roman" w:hAnsi="Times New Roman"/>
          <w:b w:val="0"/>
          <w:i w:val="0"/>
          <w:sz w:val="20"/>
          <w:vertAlign w:val="superscript"/>
        </w:rPr>
        <w:t>1</w:t>
      </w:r>
      <w:r>
        <w:rPr>
          <w:rFonts w:ascii="Times New Roman" w:hAnsi="Times New Roman"/>
          <w:b w:val="0"/>
          <w:i w:val="0"/>
          <w:sz w:val="20"/>
        </w:rPr>
        <w:t xml:space="preserve"> 이래 광범위하게 검증되어 왔으며, 이를 다중 자산·다중 기간으로 확장하는 것이 본 연구의 목적이다.</w:t>
      </w:r>
    </w:p>
    <w:p>
      <w:pPr>
        <w:spacing w:before="0" w:after="120" w:lineRule="auto" w:line="360"/>
        <w:ind w:firstLine="400"/>
        <w:jc w:val="both"/>
      </w:pPr>
      <w:r>
        <w:rPr>
          <w:rFonts w:ascii="Times New Roman" w:hAnsi="Times New Roman"/>
          <w:b w:val="0"/>
          <w:i w:val="0"/>
          <w:sz w:val="20"/>
        </w:rPr>
        <w:t>금융 예측에서 가장 직관적인 목표는 수익률 또는 초과수익률이지만, 수익률은 신호 대 잡음 비율이 낮고 구조 변화의 영향을 크게 받기 때문에 안정적인 예측이 어렵다. Gu, Kelly, and Xiu</w:t>
      </w:r>
      <w:r>
        <w:rPr>
          <w:rFonts w:ascii="Times New Roman" w:hAnsi="Times New Roman"/>
          <w:b w:val="0"/>
          <w:i w:val="0"/>
          <w:sz w:val="20"/>
          <w:vertAlign w:val="superscript"/>
        </w:rPr>
        <w:t>2</w:t>
      </w:r>
      <w:r>
        <w:rPr>
          <w:rFonts w:ascii="Times New Roman" w:hAnsi="Times New Roman"/>
          <w:b w:val="0"/>
          <w:i w:val="0"/>
          <w:sz w:val="20"/>
        </w:rPr>
        <w:t>는 다양한 기계학습 방법을 비교하며 자산가격 예측에서 기계학습의 가능성을 제시했다. 반면 변동성은 군집성과 지속성이 강하므로 수익률보다 예측 가능성이 상대적으로 높다. Corsi</w:t>
      </w:r>
      <w:r>
        <w:rPr>
          <w:rFonts w:ascii="Times New Roman" w:hAnsi="Times New Roman"/>
          <w:b w:val="0"/>
          <w:i w:val="0"/>
          <w:sz w:val="20"/>
          <w:vertAlign w:val="superscript"/>
        </w:rPr>
        <w:t>1</w:t>
      </w:r>
      <w:r>
        <w:rPr>
          <w:rFonts w:ascii="Times New Roman" w:hAnsi="Times New Roman"/>
          <w:b w:val="0"/>
          <w:i w:val="0"/>
          <w:sz w:val="20"/>
        </w:rPr>
        <w:t>의 HAR-RV 모형은 일·주·월 수준의 변동성 정보를 결합하여 이러한 특성을 간명하게 반영한 대표적 접근이며, 이후 Audrino and Knaus</w:t>
      </w:r>
      <w:r>
        <w:rPr>
          <w:rFonts w:ascii="Times New Roman" w:hAnsi="Times New Roman"/>
          <w:b w:val="0"/>
          <w:i w:val="0"/>
          <w:sz w:val="20"/>
          <w:vertAlign w:val="superscript"/>
        </w:rPr>
        <w:t>3</w:t>
      </w:r>
      <w:r>
        <w:rPr>
          <w:rFonts w:ascii="Times New Roman" w:hAnsi="Times New Roman"/>
          <w:b w:val="0"/>
          <w:i w:val="0"/>
          <w:sz w:val="20"/>
        </w:rPr>
        <w:t>, Christensen et al.</w:t>
      </w:r>
      <w:r>
        <w:rPr>
          <w:rFonts w:ascii="Times New Roman" w:hAnsi="Times New Roman"/>
          <w:b w:val="0"/>
          <w:i w:val="0"/>
          <w:sz w:val="20"/>
          <w:vertAlign w:val="superscript"/>
        </w:rPr>
        <w:t>4</w:t>
      </w:r>
      <w:r>
        <w:rPr>
          <w:rFonts w:ascii="Times New Roman" w:hAnsi="Times New Roman"/>
          <w:b w:val="0"/>
          <w:i w:val="0"/>
          <w:sz w:val="20"/>
        </w:rPr>
        <w:t>은 정규화 회귀와 기계학습을 활용한 변동성 예측의 확장 가능성을 보였다.</w:t>
      </w:r>
    </w:p>
    <w:p>
      <w:pPr>
        <w:spacing w:before="0" w:after="120" w:lineRule="auto" w:line="360"/>
        <w:ind w:firstLine="400"/>
        <w:jc w:val="both"/>
      </w:pPr>
      <w:r>
        <w:rPr>
          <w:rFonts w:ascii="Times New Roman" w:hAnsi="Times New Roman"/>
          <w:b w:val="0"/>
          <w:i w:val="0"/>
          <w:sz w:val="20"/>
        </w:rPr>
        <w:t>그림 1은 2010~2024년 VIX 수준의 시계열 추이를 나타낸 것으로, 주요 사건별 변동성 급등 구간을 확인할 수 있다.</w:t>
      </w:r>
    </w:p>
    <w:p>
      <w:pPr>
        <w:spacing w:before="120" w:after="60" w:lineRule="auto" w:line="288"/>
        <w:jc w:val="center"/>
      </w:pPr>
      <w:r>
        <w:rPr>
          <w:rFonts w:ascii="Times New Roman" w:hAnsi="Times New Roman"/>
          <w:b w:val="0"/>
          <w:i/>
          <w:sz w:val="20"/>
        </w:rPr>
        <w:t>[이미지 삽입 위치]</w:t>
      </w:r>
    </w:p>
    <w:p>
      <w:pPr>
        <w:spacing w:before="60" w:after="60" w:lineRule="auto" w:line="288"/>
        <w:jc w:val="center"/>
      </w:pPr>
      <w:r>
        <w:rPr>
          <w:rFonts w:ascii="Times New Roman" w:hAnsi="Times New Roman"/>
          <w:b w:val="0"/>
          <w:i w:val="0"/>
          <w:sz w:val="20"/>
        </w:rPr>
        <w:t>그림 1. VIX Index(2010~2024)  /  Fig. 1. VIX Index(2010~2024)</w:t>
      </w:r>
    </w:p>
    <w:p>
      <w:pPr>
        <w:spacing w:before="240" w:after="120" w:lineRule="auto" w:line="360"/>
        <w:jc w:val="left"/>
      </w:pPr>
      <w:r>
        <w:rPr>
          <w:rFonts w:ascii="Times New Roman" w:hAnsi="Times New Roman"/>
          <w:b/>
          <w:i w:val="0"/>
          <w:sz w:val="24"/>
        </w:rPr>
        <w:t>2. 연구 목적 및 연구 질문</w:t>
      </w:r>
    </w:p>
    <w:p>
      <w:pPr>
        <w:spacing w:before="0" w:after="120" w:lineRule="auto" w:line="360"/>
        <w:ind w:firstLine="400"/>
        <w:jc w:val="both"/>
      </w:pPr>
      <w:r>
        <w:rPr>
          <w:rFonts w:ascii="Times New Roman" w:hAnsi="Times New Roman"/>
          <w:b w:val="0"/>
          <w:i w:val="0"/>
          <w:sz w:val="20"/>
        </w:rPr>
        <w:t>본 연구는 미래 RV를 직접 예측 대상으로 삼는다. RV 예측은 변동성 리스크 관리의 핵심 과제이며, 풍부한 피처세트와 다중 자산군 구조 아래에서 예측 가능성과 모형 간 성능 차이를 체계적으로 분석하기에 적합하다. 추가로, 예측된 RV를 관측 가능한 IV(내재분산, Implied Variance)와 결합하면 VRP(분산위험프리미엄, Variance Risk Premium)를 파생 산출할 수 있으며</w:t>
      </w:r>
      <w:r>
        <w:rPr>
          <w:rFonts w:ascii="Times New Roman" w:hAnsi="Times New Roman"/>
          <w:b w:val="0"/>
          <w:i w:val="0"/>
          <w:sz w:val="20"/>
          <w:vertAlign w:val="superscript"/>
        </w:rPr>
        <w:t>56</w:t>
      </w:r>
      <w:r>
        <w:rPr>
          <w:rFonts w:ascii="Times New Roman" w:hAnsi="Times New Roman"/>
          <w:b w:val="0"/>
          <w:i w:val="0"/>
          <w:sz w:val="20"/>
        </w:rPr>
        <w:t>, 이는 변동성 위험 가격화의 보조 참고 신호로 활용될 수 있다.</w:t>
      </w:r>
    </w:p>
    <w:p>
      <w:pPr>
        <w:spacing w:before="0" w:after="120" w:lineRule="auto" w:line="360"/>
        <w:ind w:firstLine="400"/>
        <w:jc w:val="both"/>
      </w:pPr>
      <w:r>
        <w:rPr>
          <w:rFonts w:ascii="Times New Roman" w:hAnsi="Times New Roman"/>
          <w:b w:val="0"/>
          <w:i w:val="0"/>
          <w:sz w:val="20"/>
        </w:rPr>
        <w:t>RV 예측 연구는 GARCH 계열 및 HAR-RV 모형을 중심으로 이어져 왔으나, 다중 자산·다중 기간을 함께 분석한 체계적 비교 연구는 상대적으로 제한적이다. 이에 본 연구는 세 가지 연구 질문에 답하고자 한다.</w:t>
      </w:r>
    </w:p>
    <w:p>
      <w:pPr>
        <w:spacing w:before="0" w:after="120" w:lineRule="auto" w:line="360"/>
        <w:ind w:firstLine="400"/>
        <w:jc w:val="both"/>
      </w:pPr>
      <w:r>
        <w:rPr>
          <w:rFonts w:ascii="Times New Roman" w:hAnsi="Times New Roman"/>
          <w:b w:val="0"/>
          <w:i w:val="0"/>
          <w:sz w:val="20"/>
        </w:rPr>
        <w:t>첫째, 공개 일별 자료만으로 설계한 35개 피처 세트가 HAR 기본 3개 피처 대비 다중 자산·다중 기간 RV 예측력을 얼마나 개선하는가?</w:t>
      </w:r>
    </w:p>
    <w:p>
      <w:pPr>
        <w:spacing w:before="0" w:after="120" w:lineRule="auto" w:line="360"/>
        <w:ind w:firstLine="400"/>
        <w:jc w:val="both"/>
      </w:pPr>
      <w:r>
        <w:rPr>
          <w:rFonts w:ascii="Times New Roman" w:hAnsi="Times New Roman"/>
          <w:b w:val="0"/>
          <w:i w:val="0"/>
          <w:sz w:val="20"/>
        </w:rPr>
        <w:t>둘째, Ridge와 XGBoost를 결합한 WEns 앙상블이 개별 모형 및 기존 벤치마크 대비 통계적으로 유의한 성능 우위를 가지는가?</w:t>
      </w:r>
    </w:p>
    <w:p>
      <w:pPr>
        <w:spacing w:before="0" w:after="120" w:lineRule="auto" w:line="360"/>
        <w:ind w:firstLine="400"/>
        <w:jc w:val="both"/>
      </w:pPr>
      <w:r>
        <w:rPr>
          <w:rFonts w:ascii="Times New Roman" w:hAnsi="Times New Roman"/>
          <w:b w:val="0"/>
          <w:i w:val="0"/>
          <w:sz w:val="20"/>
        </w:rPr>
        <w:t>셋째, 예측 기간이 단기(1~22d)에서 장기(60~252d)로 확장될 때 모형 구조 및 피처 기여 양상은 어떻게 달라지는가?</w:t>
      </w:r>
    </w:p>
    <w:p>
      <w:pPr>
        <w:spacing w:before="0" w:after="120" w:lineRule="auto" w:line="360"/>
        <w:ind w:firstLine="400"/>
        <w:jc w:val="both"/>
      </w:pPr>
      <w:r>
        <w:rPr>
          <w:rFonts w:ascii="Times New Roman" w:hAnsi="Times New Roman"/>
          <w:b w:val="0"/>
          <w:i w:val="0"/>
          <w:sz w:val="20"/>
        </w:rPr>
        <w:t>본 연구의 주요 기여는 다음과 같다. 첫째, 공개적으로 이용 가능한 일별 OHLCV 데이터와 VIX 기간구조 지표로부터 HAR 기반·HF Proxy·IV Surface·Alternative의 4개 그룹, 35개 피처를 체계적으로 설계하는 피처 설계 파이프라인을 제안했다. 둘째, Ridge와 XGBoost를 내부 검증 기반 가중치 선택으로 결합하는 WEns 가중 앙상블 알고리즘을 설계하고, 동일한 피처·검증 절차 아래에서 선형·트리 기반·신경망 모델을 체계적으로 비교하여 예측 기간에 따라 상대적으로 우수한 모델 구조가 달라짐을 실증했다. 셋째, 피처 그룹별 제거 실험과 3개 방법론(Ridge 계수, XGBoost gain, permutation importance) 합의 분석을 통해 IV Surface 및 HF Proxy 피처군이 RV 예측 성능에 실질적으로 기여함을 정량적으로 확인했다. 넷째, 가중 앙상블 모델(WEns)이 HAR-3, GARCH, IV-only 등 주요 베이스라인 대비 통계적으로 유의한 성능 우위를 가짐을 다중 비교 보정 DM 검정으로 검증했다.</w:t>
      </w:r>
    </w:p>
    <w:p>
      <w:pPr>
        <w:spacing w:before="240" w:after="120" w:lineRule="auto" w:line="360"/>
        <w:jc w:val="left"/>
      </w:pPr>
      <w:r>
        <w:rPr>
          <w:rFonts w:ascii="Times New Roman" w:hAnsi="Times New Roman"/>
          <w:b/>
          <w:i w:val="0"/>
          <w:sz w:val="24"/>
        </w:rPr>
        <w:t>3. 연구 범위 및 한계</w:t>
      </w:r>
    </w:p>
    <w:p>
      <w:pPr>
        <w:spacing w:before="0" w:after="120" w:lineRule="auto" w:line="360"/>
        <w:ind w:firstLine="400"/>
        <w:jc w:val="both"/>
      </w:pPr>
      <w:r>
        <w:rPr>
          <w:rFonts w:ascii="Times New Roman" w:hAnsi="Times New Roman"/>
          <w:b w:val="0"/>
          <w:i w:val="0"/>
          <w:sz w:val="20"/>
        </w:rPr>
        <w:t>본 연구의 분석 대상은 SPY, QQQ, IWM, EFA, EEM, TLT, IEF, AGG, GLD, SLV, USO의 11개 ETF이며, 표본 기간은 2010년 1월부터 2024년 12월까지이다. 데이터는 Yahoo Finance API를 통해 수집한 일별 OHLCV와 VIX 기간구조 지표(VIX, VIX3M, VIX9D)를 사용한다. 예측 기간은 거래일 기준 1·5·22·60·90·120·180·252일의 8개 구간이며, 본 연구는 예측 정확도 평가에 초점을 맞추고 경제적 가치 평가는 탐색적 수준에서 다룬다.</w:t>
      </w:r>
    </w:p>
    <w:p>
      <w:pPr>
        <w:spacing w:before="0" w:after="120" w:lineRule="auto" w:line="360"/>
        <w:ind w:firstLine="400"/>
        <w:jc w:val="both"/>
      </w:pPr>
      <w:r>
        <w:rPr>
          <w:rFonts w:ascii="Times New Roman" w:hAnsi="Times New Roman"/>
          <w:b w:val="0"/>
          <w:i w:val="0"/>
          <w:sz w:val="20"/>
        </w:rPr>
        <w:t>데이터와 방법론 측면에서의 주요 한계는 일별 OHLCV만으로는 일중 점프와 연속 변동을 분리할 수 없다는 점, 모든 예측 기간에 30일 만기 VIX를 동일하게 사용하여 장기 기간에서 만기 불일치가 발생한다는 점이다. 연구 한계의 상세 논의는 Ⅴ장 3절에서 제시한다.</w:t>
      </w:r>
    </w:p>
    <w:p>
      <w:pPr>
        <w:spacing w:before="240" w:after="120" w:lineRule="auto" w:line="360"/>
        <w:jc w:val="left"/>
      </w:pPr>
      <w:r>
        <w:rPr>
          <w:rFonts w:ascii="Times New Roman" w:hAnsi="Times New Roman"/>
          <w:b/>
          <w:i w:val="0"/>
          <w:sz w:val="24"/>
        </w:rPr>
        <w:t>4. 연구 방법 및 분석 절차 개요</w:t>
      </w:r>
    </w:p>
    <w:p>
      <w:pPr>
        <w:spacing w:before="0" w:after="120" w:lineRule="auto" w:line="360"/>
        <w:ind w:firstLine="400"/>
        <w:jc w:val="both"/>
      </w:pPr>
      <w:r>
        <w:rPr>
          <w:rFonts w:ascii="Times New Roman" w:hAnsi="Times New Roman"/>
          <w:b w:val="0"/>
          <w:i w:val="0"/>
          <w:sz w:val="20"/>
        </w:rPr>
        <w:t>본 연구는 RV를 직접 예측하고 그 결과를 IV와 결합해 VRP를 도출하는 2단계 구조를 따른다. 1단계에서는 일별 OHLCV 및 VIX 기간구조로부터 35개 피처를 구성하고, 복수의 예측 모형을 동일한 피처·검증 절차 하에 학습·평가한다. 2단계에서는 1단계에서 예측된 RV와 VIX 기반 IV를 결합하여 VRP를 사후적으로 산출하고 탐색적 분석을 수행한다.</w:t>
      </w:r>
    </w:p>
    <w:p>
      <w:pPr>
        <w:spacing w:before="0" w:after="120" w:lineRule="auto" w:line="360"/>
        <w:ind w:firstLine="400"/>
        <w:jc w:val="both"/>
      </w:pPr>
      <w:r>
        <w:rPr>
          <w:rFonts w:ascii="Times New Roman" w:hAnsi="Times New Roman"/>
          <w:b w:val="0"/>
          <w:i w:val="0"/>
          <w:sz w:val="20"/>
        </w:rPr>
        <w:t>예측 모형군은 HAR-3(벤치마크), Ridge·Lasso·ElasticNet(선형), Random Forest·XGBoost·LightGBM(트리), MLP·BiLSTM-A(신경망), WEns(앙상블)로 구성된다. 학습-테스트 분할은 전체 표본의 80/20을 시계열 순으로 분리하며, 하이퍼파라미터 튜닝은 학습 세트 내부의 내부 검증셋(inner holdout)으로 수행한다. 모든 경계에는 예측 기간 h에 해당하는 purge gap을 적용하여 검증 누출을 방지한다.</w:t>
      </w:r>
    </w:p>
    <w:p>
      <w:pPr>
        <w:spacing w:before="240" w:after="120" w:lineRule="auto" w:line="360"/>
        <w:jc w:val="left"/>
      </w:pPr>
      <w:r>
        <w:rPr>
          <w:rFonts w:ascii="Times New Roman" w:hAnsi="Times New Roman"/>
          <w:b/>
          <w:i w:val="0"/>
          <w:sz w:val="24"/>
        </w:rPr>
        <w:t>5. 논문 구성</w:t>
      </w:r>
    </w:p>
    <w:p>
      <w:pPr>
        <w:spacing w:before="0" w:after="120" w:lineRule="auto" w:line="360"/>
        <w:ind w:firstLine="400"/>
        <w:jc w:val="both"/>
      </w:pPr>
      <w:r>
        <w:rPr>
          <w:rFonts w:ascii="Times New Roman" w:hAnsi="Times New Roman"/>
          <w:b w:val="0"/>
          <w:i w:val="0"/>
          <w:sz w:val="20"/>
        </w:rPr>
        <w:t>이후 장의 구성은 다음과 같다. Ⅱ장에서는 RV·IV·VRP의 정의와 이론적 배경, GARCH/HAR 모형, 기계학습 및 앙상블 이론, VRP 관련 선행연구를 정리한다. Ⅲ장에서는 분석 대상 자산과 데이터 전처리, 피처 구성, 모델 설계 및 검증 절차를 기술한다. Ⅳ장에서는 기간별 모델 성능 비교, 피처 기여 분석, 고변동성 구간 분석, 통계적 유의성 검정, VRP 탐색적 분석 등 실증 결과를 제시한다. Ⅴ장에서는 주요 발견을 요약하고 학문적·실무적 시사점, 연구의 한계와 향후 연구 방향을 논의한다.</w:t>
      </w:r>
    </w:p>
    <w:p>
      <w:pPr>
        <w:spacing w:before="0" w:after="120" w:lineRule="auto" w:line="360"/>
        <w:ind w:firstLine="400"/>
        <w:jc w:val="both"/>
      </w:pPr>
      <w:r>
        <w:rPr>
          <w:rFonts w:ascii="Times New Roman" w:hAnsi="Times New Roman"/>
          <w:b w:val="0"/>
          <w:i w:val="0"/>
          <w:sz w:val="20"/>
        </w:rPr>
        <w:t>﻿Ⅱ. 이론적 배경 및 선행연구</w:t>
      </w:r>
    </w:p>
    <w:p>
      <w:pPr>
        <w:spacing w:before="240" w:after="120" w:lineRule="auto" w:line="360"/>
        <w:jc w:val="left"/>
      </w:pPr>
      <w:r>
        <w:rPr>
          <w:rFonts w:ascii="Times New Roman" w:hAnsi="Times New Roman"/>
          <w:b/>
          <w:i w:val="0"/>
          <w:sz w:val="24"/>
        </w:rPr>
        <w:t>1. 실현분산(Realized Variance, RV)</w:t>
      </w:r>
    </w:p>
    <w:p>
      <w:pPr>
        <w:spacing w:before="160" w:after="80" w:lineRule="auto" w:line="360"/>
        <w:jc w:val="left"/>
      </w:pPr>
      <w:r>
        <w:rPr>
          <w:rFonts w:ascii="Times New Roman" w:hAnsi="Times New Roman"/>
          <w:b/>
          <w:i w:val="0"/>
          <w:sz w:val="22"/>
        </w:rPr>
        <w:t>1) 고빈도 자료 기반 RV와 통합분산</w:t>
      </w:r>
    </w:p>
    <w:p>
      <w:pPr>
        <w:spacing w:before="0" w:after="120" w:lineRule="auto" w:line="360"/>
        <w:ind w:firstLine="400"/>
        <w:jc w:val="both"/>
      </w:pPr>
      <w:r>
        <w:rPr>
          <w:rFonts w:ascii="Times New Roman" w:hAnsi="Times New Roman"/>
          <w:b w:val="0"/>
          <w:i w:val="0"/>
          <w:sz w:val="20"/>
        </w:rPr>
        <w:t>실현분산(RV)은 일정 기간 내 관측 가능한 고빈도 수익률의 제곱합으로 구성되는 사후적 변동성 측도이다. 이론적으로 RV는 표본 빈도가 높아질수록 해당 기간의 통합분산(Integrated Variance)에 수렴한다는 것이 이차변동 이론의 핵심 결과이다</w:t>
      </w:r>
      <w:r>
        <w:rPr>
          <w:rFonts w:ascii="Times New Roman" w:hAnsi="Times New Roman"/>
          <w:b w:val="0"/>
          <w:i w:val="0"/>
          <w:sz w:val="20"/>
          <w:vertAlign w:val="superscript"/>
        </w:rPr>
        <w:t>9</w:t>
      </w:r>
      <w:r>
        <w:rPr>
          <w:rFonts w:ascii="Times New Roman" w:hAnsi="Times New Roman"/>
          <w:b w:val="0"/>
          <w:i w:val="0"/>
          <w:sz w:val="20"/>
        </w:rPr>
        <w:t>. 이러한 성질 덕분에 RV는 GARCH와 같은 모형 가정 없이도 변동성을 일관되게 추정할 수 있으며, 옵션가격 기반 내재분산과 독립적인 측정값을 제공한다. Andersen et al.</w:t>
      </w:r>
      <w:r>
        <w:rPr>
          <w:rFonts w:ascii="Times New Roman" w:hAnsi="Times New Roman"/>
          <w:b w:val="0"/>
          <w:i w:val="0"/>
          <w:sz w:val="20"/>
          <w:vertAlign w:val="superscript"/>
        </w:rPr>
        <w:t>9</w:t>
      </w:r>
      <w:r>
        <w:rPr>
          <w:rFonts w:ascii="Times New Roman" w:hAnsi="Times New Roman"/>
          <w:b w:val="0"/>
          <w:i w:val="0"/>
          <w:sz w:val="20"/>
        </w:rPr>
        <w:t>은 고빈도 수익률로 구성된 RV가 기존 조건부 분산 추정치보다 풍부한 정보를 담고 있음을 실증했다.</w:t>
      </w:r>
    </w:p>
    <w:p>
      <w:pPr>
        <w:spacing w:before="160" w:after="80" w:lineRule="auto" w:line="360"/>
        <w:jc w:val="left"/>
      </w:pPr>
      <w:r>
        <w:rPr>
          <w:rFonts w:ascii="Times New Roman" w:hAnsi="Times New Roman"/>
          <w:b/>
          <w:i w:val="0"/>
          <w:sz w:val="22"/>
        </w:rPr>
        <w:t>2) 거래일 기준 다중 기간 RV 정의 및 연율화 구조</w:t>
      </w:r>
    </w:p>
    <w:p>
      <w:pPr>
        <w:spacing w:before="0" w:after="120" w:lineRule="auto" w:line="360"/>
        <w:ind w:firstLine="400"/>
        <w:jc w:val="both"/>
      </w:pPr>
      <w:r>
        <w:rPr>
          <w:rFonts w:ascii="Times New Roman" w:hAnsi="Times New Roman"/>
          <w:b w:val="0"/>
          <w:i w:val="0"/>
          <w:sz w:val="20"/>
        </w:rPr>
        <w:t>본 연구에서는 고빈도 데이터 대신 일별 수익률을 활용하여 미래 h 거래일 구간의 수익률 제곱합 평균을 연율화하는 방식으로 RV를 정의한다. 예측 기간 집합 h ∈ {1, 5, 22, 60, 90, 120, 180, 252}는 일간부터 연간 수준까지 포괄하며, 이를 통해 단기·중기·장기 예측 구조의 차이를 체계적으로 비교할 수 있다. 구체적인 수식 및 연율화 절차는 3장에서 제시한다.</w:t>
      </w:r>
    </w:p>
    <w:p>
      <w:pPr>
        <w:spacing w:before="240" w:after="120" w:lineRule="auto" w:line="360"/>
        <w:jc w:val="left"/>
      </w:pPr>
      <w:r>
        <w:rPr>
          <w:rFonts w:ascii="Times New Roman" w:hAnsi="Times New Roman"/>
          <w:b/>
          <w:i w:val="0"/>
          <w:sz w:val="24"/>
        </w:rPr>
        <w:t>2. 내재분산(Implied Variance)과 변동성지수(VIX)</w:t>
      </w:r>
    </w:p>
    <w:p>
      <w:pPr>
        <w:spacing w:before="160" w:after="80" w:lineRule="auto" w:line="360"/>
        <w:jc w:val="left"/>
      </w:pPr>
      <w:r>
        <w:rPr>
          <w:rFonts w:ascii="Times New Roman" w:hAnsi="Times New Roman"/>
          <w:b/>
          <w:i w:val="0"/>
          <w:sz w:val="22"/>
        </w:rPr>
        <w:t>1) 옵션가격과 위험중립 기대변동성</w:t>
      </w:r>
    </w:p>
    <w:p>
      <w:pPr>
        <w:spacing w:before="0" w:after="120" w:lineRule="auto" w:line="360"/>
        <w:ind w:firstLine="400"/>
        <w:jc w:val="both"/>
      </w:pPr>
      <w:r>
        <w:rPr>
          <w:rFonts w:ascii="Times New Roman" w:hAnsi="Times New Roman"/>
          <w:b w:val="0"/>
          <w:i w:val="0"/>
          <w:sz w:val="20"/>
        </w:rPr>
        <w:t>내재분산(Implied Variance)은 옵션가격에 내포된 시장 참여자들의 미래 변동성 기대를 반영한다. 특정 만기의 옵션 포트폴리오를 구성하면 해당 만기까지의 위험중립 기대분산을 모형 독립적으로 추정할 수 있으며</w:t>
      </w:r>
      <w:r>
        <w:rPr>
          <w:rFonts w:ascii="Times New Roman" w:hAnsi="Times New Roman"/>
          <w:b w:val="0"/>
          <w:i w:val="0"/>
          <w:sz w:val="20"/>
          <w:vertAlign w:val="superscript"/>
        </w:rPr>
        <w:t>5</w:t>
      </w:r>
      <w:r>
        <w:rPr>
          <w:rFonts w:ascii="Times New Roman" w:hAnsi="Times New Roman"/>
          <w:b w:val="0"/>
          <w:i w:val="0"/>
          <w:sz w:val="20"/>
        </w:rPr>
        <w:t>, VIX는 S&amp;P 500 지수 옵션을 활용해 향후 30일의 위험중립 기대변동성을 연율화한 지수이다. VIX의 상승은 시장 참여자들이 더 높은 미래 변동성을 예상하거나 더 높은 불확실성 프리미엄을 요구함을 의미하므로, 변동성 예측 및 위험 관리의 핵심 참고 지표로 널리 사용된다.</w:t>
      </w:r>
    </w:p>
    <w:p>
      <w:pPr>
        <w:spacing w:before="160" w:after="80" w:lineRule="auto" w:line="360"/>
        <w:jc w:val="left"/>
      </w:pPr>
      <w:r>
        <w:rPr>
          <w:rFonts w:ascii="Times New Roman" w:hAnsi="Times New Roman"/>
          <w:b/>
          <w:i w:val="0"/>
          <w:sz w:val="22"/>
        </w:rPr>
        <w:t>2) VIX</w:t>
      </w:r>
      <w:r>
        <w:rPr>
          <w:rFonts w:ascii="Times New Roman" w:hAnsi="Times New Roman"/>
          <w:b/>
          <w:i w:val="0"/>
          <w:sz w:val="22"/>
          <w:vertAlign w:val="superscript"/>
        </w:rPr>
        <w:t>2</w:t>
      </w:r>
      <w:r>
        <w:rPr>
          <w:rFonts w:ascii="Times New Roman" w:hAnsi="Times New Roman"/>
          <w:b/>
          <w:i w:val="0"/>
          <w:sz w:val="22"/>
        </w:rPr>
        <w:t>를 IV proxy로 사용하는 근사와 한계</w:t>
      </w:r>
    </w:p>
    <w:p>
      <w:pPr>
        <w:spacing w:before="0" w:after="120" w:lineRule="auto" w:line="360"/>
        <w:ind w:firstLine="400"/>
        <w:jc w:val="both"/>
      </w:pPr>
      <w:r>
        <w:rPr>
          <w:rFonts w:ascii="Times New Roman" w:hAnsi="Times New Roman"/>
          <w:b w:val="0"/>
          <w:i w:val="0"/>
          <w:sz w:val="20"/>
        </w:rPr>
        <w:t>실용적 관점에서 VIX를 100으로 나눈 후 제곱한 값 (VIX/100)</w:t>
      </w:r>
      <w:r>
        <w:rPr>
          <w:rFonts w:ascii="Times New Roman" w:hAnsi="Times New Roman"/>
          <w:b w:val="0"/>
          <w:i w:val="0"/>
          <w:sz w:val="20"/>
          <w:vertAlign w:val="superscript"/>
        </w:rPr>
        <w:t>2</w:t>
      </w:r>
      <w:r>
        <w:rPr>
          <w:rFonts w:ascii="Times New Roman" w:hAnsi="Times New Roman"/>
          <w:b w:val="0"/>
          <w:i w:val="0"/>
          <w:sz w:val="20"/>
        </w:rPr>
        <w:t>은 분산 단위의 IV proxy로 사용할 수 있다. 그러나 이 근사는 30일 만기를 기준으로 산출된 것이므로, h가 30일을 크게 초과하는 장기 예측 기간에는 IV의 만기와 예측 기간 사이에 불일치가 존재한다. 이 만기 불일치가 예측 성능에 미치는 영향은 본 연구의 강건성 검증에서 별도로 점검했다(Ⅳ장 5절 3)항 참조).</w:t>
      </w:r>
    </w:p>
    <w:p>
      <w:pPr>
        <w:spacing w:before="240" w:after="120" w:lineRule="auto" w:line="360"/>
        <w:jc w:val="left"/>
      </w:pPr>
      <w:r>
        <w:rPr>
          <w:rFonts w:ascii="Times New Roman" w:hAnsi="Times New Roman"/>
          <w:b/>
          <w:i w:val="0"/>
          <w:sz w:val="24"/>
        </w:rPr>
        <w:t>3. 분산위험프리미엄(Variance Risk Premium, VRP)</w:t>
      </w:r>
    </w:p>
    <w:p>
      <w:pPr>
        <w:spacing w:before="160" w:after="80" w:lineRule="auto" w:line="360"/>
        <w:jc w:val="left"/>
      </w:pPr>
      <w:r>
        <w:rPr>
          <w:rFonts w:ascii="Times New Roman" w:hAnsi="Times New Roman"/>
          <w:b/>
          <w:i w:val="0"/>
          <w:sz w:val="22"/>
        </w:rPr>
        <w:t>1) VRP의 정의와 경제적 의미</w:t>
      </w:r>
    </w:p>
    <w:p>
      <w:pPr>
        <w:spacing w:before="0" w:after="120" w:lineRule="auto" w:line="360"/>
        <w:ind w:firstLine="400"/>
        <w:jc w:val="both"/>
      </w:pPr>
      <w:r>
        <w:rPr>
          <w:rFonts w:ascii="Times New Roman" w:hAnsi="Times New Roman"/>
          <w:b w:val="0"/>
          <w:i w:val="0"/>
          <w:sz w:val="20"/>
        </w:rPr>
        <w:t>분산위험프리미엄(VRP)은 옵션시장이 반영하는 위험중립 기대분산과 실제로 실현된 분산의 차이, 즉 VRP = IV − RV로 정의된다</w:t>
      </w:r>
      <w:r>
        <w:rPr>
          <w:rFonts w:ascii="Times New Roman" w:hAnsi="Times New Roman"/>
          <w:b w:val="0"/>
          <w:i w:val="0"/>
          <w:sz w:val="20"/>
          <w:vertAlign w:val="superscript"/>
        </w:rPr>
        <w:t>56</w:t>
      </w:r>
      <w:r>
        <w:rPr>
          <w:rFonts w:ascii="Times New Roman" w:hAnsi="Times New Roman"/>
          <w:b w:val="0"/>
          <w:i w:val="0"/>
          <w:sz w:val="20"/>
        </w:rPr>
        <w:t>(본 연구에서 사용하는 구체적인 산출식과 표기는 3장 3절에서 별도로 정의한다). VRP가 양수라는 것은 시장 참여자들이 변동성 위험에 대해 보험료를 지불한다는 의미로, 투자자들이 변동성 위험을 기피하여 옵션 매도자에게 위험 프리미엄을 제공하는 구조를 반영한다. VRP는 평균적으로 양수 값을 가지며, 이는 변동성 매도 전략이 장기적으로 양의 기대수익을 가질 수 있는 이론적 근거가 된다</w:t>
      </w:r>
      <w:r>
        <w:rPr>
          <w:rFonts w:ascii="Times New Roman" w:hAnsi="Times New Roman"/>
          <w:b w:val="0"/>
          <w:i w:val="0"/>
          <w:sz w:val="20"/>
          <w:vertAlign w:val="superscript"/>
        </w:rPr>
        <w:t>6</w:t>
      </w:r>
      <w:r>
        <w:rPr>
          <w:rFonts w:ascii="Times New Roman" w:hAnsi="Times New Roman"/>
          <w:b w:val="0"/>
          <w:i w:val="0"/>
          <w:sz w:val="20"/>
        </w:rPr>
        <w:t>.</w:t>
      </w:r>
    </w:p>
    <w:p>
      <w:pPr>
        <w:spacing w:before="160" w:after="80" w:lineRule="auto" w:line="360"/>
        <w:jc w:val="left"/>
      </w:pPr>
      <w:r>
        <w:rPr>
          <w:rFonts w:ascii="Times New Roman" w:hAnsi="Times New Roman"/>
          <w:b/>
          <w:i w:val="0"/>
          <w:sz w:val="22"/>
        </w:rPr>
        <w:t>2) VRP와 예상수익률 및 리스크 프리미엄</w:t>
      </w:r>
    </w:p>
    <w:p>
      <w:pPr>
        <w:spacing w:before="0" w:after="120" w:lineRule="auto" w:line="360"/>
        <w:ind w:firstLine="400"/>
        <w:jc w:val="both"/>
      </w:pPr>
      <w:r>
        <w:rPr>
          <w:rFonts w:ascii="Times New Roman" w:hAnsi="Times New Roman"/>
          <w:b w:val="0"/>
          <w:i w:val="0"/>
          <w:sz w:val="20"/>
        </w:rPr>
        <w:t>Bollerslev, Tauchen, and Zhou</w:t>
      </w:r>
      <w:r>
        <w:rPr>
          <w:rFonts w:ascii="Times New Roman" w:hAnsi="Times New Roman"/>
          <w:b w:val="0"/>
          <w:i w:val="0"/>
          <w:sz w:val="20"/>
          <w:vertAlign w:val="superscript"/>
        </w:rPr>
        <w:t>6</w:t>
      </w:r>
      <w:r>
        <w:rPr>
          <w:rFonts w:ascii="Times New Roman" w:hAnsi="Times New Roman"/>
          <w:b w:val="0"/>
          <w:i w:val="0"/>
          <w:sz w:val="20"/>
        </w:rPr>
        <w:t>는 VRP가 향후 주식 수익률을 예측하는 유의미한 변수임을 보였다. Drechsler and Yaron</w:t>
      </w:r>
      <w:r>
        <w:rPr>
          <w:rFonts w:ascii="Times New Roman" w:hAnsi="Times New Roman"/>
          <w:b w:val="0"/>
          <w:i w:val="0"/>
          <w:sz w:val="20"/>
          <w:vertAlign w:val="superscript"/>
        </w:rPr>
        <w:t>11</w:t>
      </w:r>
      <w:r>
        <w:rPr>
          <w:rFonts w:ascii="Times New Roman" w:hAnsi="Times New Roman"/>
          <w:b w:val="0"/>
          <w:i w:val="0"/>
          <w:sz w:val="20"/>
        </w:rPr>
        <w:t>은 소비 기반 자산가격 모형을 통해 VRP가 경기 불확실성과 투자자 위험 회피도를 반영하는 이론적 근거를 제시했다. 이처럼 VRP는 단순한 예측 오차 개념을 넘어 경제 내 불확실성과 위험 가격화 수준을 집약하는 지표로 해석된다. 본 연구에서는 VRP를 직접 예측 대상으로 설정하지 않고, WEns로 예측된 RV를 관측 가능한 IV와 결합하여 사후적으로 도출하는 방식을 택한다.</w:t>
      </w:r>
    </w:p>
    <w:p>
      <w:pPr>
        <w:spacing w:before="240" w:after="120" w:lineRule="auto" w:line="360"/>
        <w:jc w:val="left"/>
      </w:pPr>
      <w:r>
        <w:rPr>
          <w:rFonts w:ascii="Times New Roman" w:hAnsi="Times New Roman"/>
          <w:b/>
          <w:i w:val="0"/>
          <w:sz w:val="24"/>
        </w:rPr>
        <w:t>4. 전통적 변동성 모형</w:t>
      </w:r>
    </w:p>
    <w:p>
      <w:pPr>
        <w:spacing w:before="160" w:after="80" w:lineRule="auto" w:line="360"/>
        <w:jc w:val="left"/>
      </w:pPr>
      <w:r>
        <w:rPr>
          <w:rFonts w:ascii="Times New Roman" w:hAnsi="Times New Roman"/>
          <w:b/>
          <w:i w:val="0"/>
          <w:sz w:val="22"/>
        </w:rPr>
        <w:t>1) ARCH/GARCH 계열 모형</w:t>
      </w:r>
    </w:p>
    <w:p>
      <w:pPr>
        <w:spacing w:before="0" w:after="120" w:lineRule="auto" w:line="360"/>
        <w:ind w:firstLine="400"/>
        <w:jc w:val="both"/>
      </w:pPr>
      <w:r>
        <w:rPr>
          <w:rFonts w:ascii="Times New Roman" w:hAnsi="Times New Roman"/>
          <w:b w:val="0"/>
          <w:i w:val="0"/>
          <w:sz w:val="20"/>
        </w:rPr>
        <w:t>Engle</w:t>
      </w:r>
      <w:r>
        <w:rPr>
          <w:rFonts w:ascii="Times New Roman" w:hAnsi="Times New Roman"/>
          <w:b w:val="0"/>
          <w:i w:val="0"/>
          <w:sz w:val="20"/>
          <w:vertAlign w:val="superscript"/>
        </w:rPr>
        <w:t>7</w:t>
      </w:r>
      <w:r>
        <w:rPr>
          <w:rFonts w:ascii="Times New Roman" w:hAnsi="Times New Roman"/>
          <w:b w:val="0"/>
          <w:i w:val="0"/>
          <w:sz w:val="20"/>
        </w:rPr>
        <w:t>이 제안한 ARCH(Autoregressive Conditional Heteroskedasticity) 모형은 수익률 분산이 과거 충격의 크기에 따라 달라진다는 조건부 이분산성을 포착한다. Bollerslev</w:t>
      </w:r>
      <w:r>
        <w:rPr>
          <w:rFonts w:ascii="Times New Roman" w:hAnsi="Times New Roman"/>
          <w:b w:val="0"/>
          <w:i w:val="0"/>
          <w:sz w:val="20"/>
          <w:vertAlign w:val="superscript"/>
        </w:rPr>
        <w:t>8</w:t>
      </w:r>
      <w:r>
        <w:rPr>
          <w:rFonts w:ascii="Times New Roman" w:hAnsi="Times New Roman"/>
          <w:b w:val="0"/>
          <w:i w:val="0"/>
          <w:sz w:val="20"/>
        </w:rPr>
        <w:t>의 GARCH(1,1)은 이를 확장하여 과거 분산 자체가 현재 분산에 영향을 미치는 지속성(persistence)을 반영함으로써 금융 변동성의 군집성(volatility clustering)을 간결하게 모형화했다. GARCH 계열은 이후 비대칭 효과를 반영하는 GJR-GARCH, EGARCH 등 다양한 변형이 제안되었으나, 본 연구에서는 기준 비교를 위한 베이스라인으로 GARCH(1,1)을 사용한다.</w:t>
      </w:r>
    </w:p>
    <w:p>
      <w:pPr>
        <w:spacing w:before="160" w:after="80" w:lineRule="auto" w:line="360"/>
        <w:jc w:val="left"/>
      </w:pPr>
      <w:r>
        <w:rPr>
          <w:rFonts w:ascii="Times New Roman" w:hAnsi="Times New Roman"/>
          <w:b/>
          <w:i w:val="0"/>
          <w:sz w:val="22"/>
        </w:rPr>
        <w:t>2) HAR-RV 모형</w:t>
      </w:r>
    </w:p>
    <w:p>
      <w:pPr>
        <w:spacing w:before="0" w:after="120" w:lineRule="auto" w:line="360"/>
        <w:ind w:firstLine="400"/>
        <w:jc w:val="both"/>
      </w:pPr>
      <w:r>
        <w:rPr>
          <w:rFonts w:ascii="Times New Roman" w:hAnsi="Times New Roman"/>
          <w:b w:val="0"/>
          <w:i w:val="0"/>
          <w:sz w:val="20"/>
        </w:rPr>
        <w:t>Corsi</w:t>
      </w:r>
      <w:r>
        <w:rPr>
          <w:rFonts w:ascii="Times New Roman" w:hAnsi="Times New Roman"/>
          <w:b w:val="0"/>
          <w:i w:val="0"/>
          <w:sz w:val="20"/>
          <w:vertAlign w:val="superscript"/>
        </w:rPr>
        <w:t>1</w:t>
      </w:r>
      <w:r>
        <w:rPr>
          <w:rFonts w:ascii="Times New Roman" w:hAnsi="Times New Roman"/>
          <w:b w:val="0"/>
          <w:i w:val="0"/>
          <w:sz w:val="20"/>
        </w:rPr>
        <w:t>의 HAR-RV(Heterogeneous Autoregressive model for Realized Variance) 모형은 일·주·월 수준의 과거 실현분산을 선형 결합하여 미래 RV를 예측한다. 이 구조는 서로 다른 투자 주기를 가진 시장 참여자들이 각기 다른 시간 스케일에서 변동성에 반응한다는 이질적 시장 가설(heterogeneous market hypothesis)에 기반한다. 모형의 기본 구조는 다음과 같다.</w:t>
      </w:r>
    </w:p>
    <w:p>
      <w:pPr>
        <w:spacing w:before="0" w:after="120" w:lineRule="auto" w:line="360"/>
        <w:ind w:firstLine="400"/>
        <w:jc w:val="both"/>
      </w:pPr>
      <w:r>
        <w:rPr>
          <w:rFonts w:ascii="Times New Roman" w:hAnsi="Times New Roman"/>
          <w:b w:val="0"/>
          <w:i w:val="0"/>
          <w:sz w:val="20"/>
        </w:rPr>
        <w:t>RV_{t+1} = β₀ + β_d · RV_t + β_w · RV̄_{t-4:t} + β_m · RV̄_{t-21:t} + ε_{t+1}</w:t>
      </w:r>
    </w:p>
    <w:p>
      <w:pPr>
        <w:spacing w:before="0" w:after="120" w:lineRule="auto" w:line="360"/>
        <w:ind w:firstLine="400"/>
        <w:jc w:val="both"/>
      </w:pPr>
      <w:r>
        <w:rPr>
          <w:rFonts w:ascii="Times New Roman" w:hAnsi="Times New Roman"/>
          <w:b w:val="0"/>
          <w:i w:val="0"/>
          <w:sz w:val="20"/>
        </w:rPr>
        <w:t>여기서 RV_t는 당일 실현분산, RV̄_{t-4:t}는 직전 5거래일 평균, RV̄_{t-21:t}는 직전 22거래일 평균이다. 단순한 선형 모형임에도 불구하고 RV의 장기 기억(long-memory) 성질을 효과적으로 근사하여 실증 예측력이 높은 것으로 알려져 있으며</w:t>
      </w:r>
      <w:r>
        <w:rPr>
          <w:rFonts w:ascii="Times New Roman" w:hAnsi="Times New Roman"/>
          <w:b w:val="0"/>
          <w:i w:val="0"/>
          <w:sz w:val="20"/>
          <w:vertAlign w:val="superscript"/>
        </w:rPr>
        <w:t>1</w:t>
      </w:r>
      <w:r>
        <w:rPr>
          <w:rFonts w:ascii="Times New Roman" w:hAnsi="Times New Roman"/>
          <w:b w:val="0"/>
          <w:i w:val="0"/>
          <w:sz w:val="20"/>
        </w:rPr>
        <w:t>, 본 연구에서도 주요 비교 기준(HAR-3) 및 피처 설계의 기반으로 활용된다.</w:t>
      </w:r>
    </w:p>
    <w:p>
      <w:pPr>
        <w:spacing w:before="240" w:after="120" w:lineRule="auto" w:line="360"/>
        <w:jc w:val="left"/>
      </w:pPr>
      <w:r>
        <w:rPr>
          <w:rFonts w:ascii="Times New Roman" w:hAnsi="Times New Roman"/>
          <w:b/>
          <w:i w:val="0"/>
          <w:sz w:val="24"/>
        </w:rPr>
        <w:t>5. 기계학습 기반 변동성 예측</w:t>
      </w:r>
    </w:p>
    <w:p>
      <w:pPr>
        <w:spacing w:before="160" w:after="80" w:lineRule="auto" w:line="360"/>
        <w:jc w:val="left"/>
      </w:pPr>
      <w:r>
        <w:rPr>
          <w:rFonts w:ascii="Times New Roman" w:hAnsi="Times New Roman"/>
          <w:b/>
          <w:i w:val="0"/>
          <w:sz w:val="22"/>
        </w:rPr>
        <w:t>1) 정규화 회귀</w:t>
      </w:r>
    </w:p>
    <w:p>
      <w:pPr>
        <w:spacing w:before="0" w:after="120" w:lineRule="auto" w:line="360"/>
        <w:ind w:firstLine="400"/>
        <w:jc w:val="both"/>
      </w:pPr>
      <w:r>
        <w:rPr>
          <w:rFonts w:ascii="Times New Roman" w:hAnsi="Times New Roman"/>
          <w:b w:val="0"/>
          <w:i w:val="0"/>
          <w:sz w:val="20"/>
        </w:rPr>
        <w:t>HAR 구조에 LASSO를 결합한 LASSO-HAR는 Audrino and Knaus</w:t>
      </w:r>
      <w:r>
        <w:rPr>
          <w:rFonts w:ascii="Times New Roman" w:hAnsi="Times New Roman"/>
          <w:b w:val="0"/>
          <w:i w:val="0"/>
          <w:sz w:val="20"/>
          <w:vertAlign w:val="superscript"/>
        </w:rPr>
        <w:t>3</w:t>
      </w:r>
      <w:r>
        <w:rPr>
          <w:rFonts w:ascii="Times New Roman" w:hAnsi="Times New Roman"/>
          <w:b w:val="0"/>
          <w:i w:val="0"/>
          <w:sz w:val="20"/>
        </w:rPr>
        <w:t>가 제안했으며, 고차원 변수 환경에서 변수 선택과 예측력을 동시에 추구한다. Ridge 회귀는 L2 페널티를 통해 다중공선성에 강건한 추정을 제공하며, ElasticNet은 L1과 L2를 결합하여 변수 선택과 추정 안정성을 함께 확보한다. 이들 정규화 모형은 고차원 피처 환경에서 과적합을 억제하면서 선형 구조를 안정적으로 포착하는 장점이 있다.</w:t>
      </w:r>
    </w:p>
    <w:p>
      <w:pPr>
        <w:spacing w:before="160" w:after="80" w:lineRule="auto" w:line="360"/>
        <w:jc w:val="left"/>
      </w:pPr>
      <w:r>
        <w:rPr>
          <w:rFonts w:ascii="Times New Roman" w:hAnsi="Times New Roman"/>
          <w:b/>
          <w:i w:val="0"/>
          <w:sz w:val="22"/>
        </w:rPr>
        <w:t>2) 트리·부스팅 기반 모형</w:t>
      </w:r>
    </w:p>
    <w:p>
      <w:pPr>
        <w:spacing w:before="0" w:after="120" w:lineRule="auto" w:line="360"/>
        <w:ind w:firstLine="400"/>
        <w:jc w:val="both"/>
      </w:pPr>
      <w:r>
        <w:rPr>
          <w:rFonts w:ascii="Times New Roman" w:hAnsi="Times New Roman"/>
          <w:b w:val="0"/>
          <w:i w:val="0"/>
          <w:sz w:val="20"/>
        </w:rPr>
        <w:t>Christensen, Siggaard, and Veliyev</w:t>
      </w:r>
      <w:r>
        <w:rPr>
          <w:rFonts w:ascii="Times New Roman" w:hAnsi="Times New Roman"/>
          <w:b w:val="0"/>
          <w:i w:val="0"/>
          <w:sz w:val="20"/>
          <w:vertAlign w:val="superscript"/>
        </w:rPr>
        <w:t>4</w:t>
      </w:r>
      <w:r>
        <w:rPr>
          <w:rFonts w:ascii="Times New Roman" w:hAnsi="Times New Roman"/>
          <w:b w:val="0"/>
          <w:i w:val="0"/>
          <w:sz w:val="20"/>
        </w:rPr>
        <w:t>는 다양한 기계학습 모형이 고빈도 기반 피처를 활용할 때 변동성 예측에서 경쟁력 있는 성능을 발휘할 수 있음을 보였다. Random Forest, XGBoost, LightGBM과 같은 트리 기반 앙상블 모형은 피처 간 비선형 상호작용을 포착하고 이상치에 상대적으로 강건하다는 장점이 있다. 단, 표본 수 대비 파라미터 수가 많아질 경우 과적합 위험이 있으며, 본 연구에서는 내부 검증 기반의 하이퍼파라미터 탐색으로 이를 완화한다.</w:t>
      </w:r>
    </w:p>
    <w:p>
      <w:pPr>
        <w:spacing w:before="160" w:after="80" w:lineRule="auto" w:line="360"/>
        <w:jc w:val="left"/>
      </w:pPr>
      <w:r>
        <w:rPr>
          <w:rFonts w:ascii="Times New Roman" w:hAnsi="Times New Roman"/>
          <w:b/>
          <w:i w:val="0"/>
          <w:sz w:val="22"/>
        </w:rPr>
        <w:t>3) 신경망 기반 모형</w:t>
      </w:r>
    </w:p>
    <w:p>
      <w:pPr>
        <w:spacing w:before="0" w:after="120" w:lineRule="auto" w:line="360"/>
        <w:ind w:firstLine="400"/>
        <w:jc w:val="both"/>
      </w:pPr>
      <w:r>
        <w:rPr>
          <w:rFonts w:ascii="Times New Roman" w:hAnsi="Times New Roman"/>
          <w:b w:val="0"/>
          <w:i w:val="0"/>
          <w:sz w:val="20"/>
        </w:rPr>
        <w:t>LSTM(Long Short-Term Memory) 계열 신경망은 시계열 데이터에서 장기 의존성을 학습하는 데 강점이 있다. 단방향 LSTM이 과거 시점의 정보만을 순차적으로 처리하는 데 반해, 양방향 LSTM(Bi-directional LSTM)은 시퀀스의 전방과 후방 맥락을 모두 활용하여 각 시점의 표현을 풍부하게 한다. 변동성 시계열은 급등 국면 이전과 이후의 패턴이 모두 예측에 유의하므로, 양방향 구조가 단방향 대비 정보 손실을 줄이는 데 유리하다. 여기에 Temporal Attention 메커니즘을 결합하면, 시퀀스 내에서 예측에 기여하는 시점에 높은 가중치를 부여하여 변동성 급등과 같은 정보가 밀집된 구간을 선택적으로 강조할 수 있다. 그러나 변동성 예측 분야에서는 신경망이 전통 모형 대비 항상 우위를 보이지 않으며, 제한된 금융 표본 환경에서 과적합이 발생하기 쉬운 한계가 있다. Gu, Kelly, and Xiu</w:t>
      </w:r>
      <w:r>
        <w:rPr>
          <w:rFonts w:ascii="Times New Roman" w:hAnsi="Times New Roman"/>
          <w:b w:val="0"/>
          <w:i w:val="0"/>
          <w:sz w:val="20"/>
          <w:vertAlign w:val="superscript"/>
        </w:rPr>
        <w:t>2</w:t>
      </w:r>
      <w:r>
        <w:rPr>
          <w:rFonts w:ascii="Times New Roman" w:hAnsi="Times New Roman"/>
          <w:b w:val="0"/>
          <w:i w:val="0"/>
          <w:sz w:val="20"/>
        </w:rPr>
        <w:t>는 자산가격 예측에서 기계학습의 가능성을 제시하였으나, 변동성 예측 맥락에서 신경망의 성능은 데이터 환경과 피처 구성에 크게 의존한다.</w:t>
      </w:r>
    </w:p>
    <w:p>
      <w:pPr>
        <w:spacing w:before="240" w:after="120" w:lineRule="auto" w:line="360"/>
        <w:jc w:val="left"/>
      </w:pPr>
      <w:r>
        <w:rPr>
          <w:rFonts w:ascii="Times New Roman" w:hAnsi="Times New Roman"/>
          <w:b/>
          <w:i w:val="0"/>
          <w:sz w:val="24"/>
        </w:rPr>
        <w:t>6. 앙상블 및 예측 결합 이론</w:t>
      </w:r>
    </w:p>
    <w:p>
      <w:pPr>
        <w:spacing w:before="160" w:after="80" w:lineRule="auto" w:line="360"/>
        <w:jc w:val="left"/>
      </w:pPr>
      <w:r>
        <w:rPr>
          <w:rFonts w:ascii="Times New Roman" w:hAnsi="Times New Roman"/>
          <w:b/>
          <w:i w:val="0"/>
          <w:sz w:val="22"/>
        </w:rPr>
        <w:t>1) Forecast Combination의 이론적 배경</w:t>
      </w:r>
    </w:p>
    <w:p>
      <w:pPr>
        <w:spacing w:before="0" w:after="120" w:lineRule="auto" w:line="360"/>
        <w:ind w:firstLine="400"/>
        <w:jc w:val="both"/>
      </w:pPr>
      <w:r>
        <w:rPr>
          <w:rFonts w:ascii="Times New Roman" w:hAnsi="Times New Roman"/>
          <w:b w:val="0"/>
          <w:i w:val="0"/>
          <w:sz w:val="20"/>
        </w:rPr>
        <w:t>서로 다른 모형의 예측치를 결합하는 forecast combination은 개별 모형보다 낮은 예측 오차를 달성할 수 있다는 점에서 이론적으로 지지된다. Bates and Granger</w:t>
      </w:r>
      <w:r>
        <w:rPr>
          <w:rFonts w:ascii="Times New Roman" w:hAnsi="Times New Roman"/>
          <w:b w:val="0"/>
          <w:i w:val="0"/>
          <w:sz w:val="20"/>
          <w:vertAlign w:val="superscript"/>
        </w:rPr>
        <w:t>23</w:t>
      </w:r>
      <w:r>
        <w:rPr>
          <w:rFonts w:ascii="Times New Roman" w:hAnsi="Times New Roman"/>
          <w:b w:val="0"/>
          <w:i w:val="0"/>
          <w:sz w:val="20"/>
        </w:rPr>
        <w:t>는 두 예측치의 선형 결합이 개별 예측 대비 평균제곱오차를 감소시킬 수 있음을 보여 forecast combination 연구의 출발점이 되었다. 이론적으로 예측 오차는 편향(bias)과 분산(variance)으로 분해된다. 단일 모형은 복잡도가 높을수록 분산이 증가하고(과적합), 복잡도가 낮을수록 편향이 증가하는(과소적합) 편향-분산 트레이드오프(bias-variance tradeoff)를 가진다. 서로 다른 구조의 모형을 결합하면 각 모형의 오차가 부분적으로 상쇄되어, 분산을 줄이면서 편향도 크게 늘지 않는 균형점을 찾을 수 있다.</w:t>
      </w:r>
    </w:p>
    <w:p>
      <w:pPr>
        <w:spacing w:before="160" w:after="80" w:lineRule="auto" w:line="360"/>
        <w:jc w:val="left"/>
      </w:pPr>
      <w:r>
        <w:rPr>
          <w:rFonts w:ascii="Times New Roman" w:hAnsi="Times New Roman"/>
          <w:b/>
          <w:i w:val="0"/>
          <w:sz w:val="22"/>
        </w:rPr>
        <w:t>2) 가중 앙상블과 본 연구의 WEns 설계</w:t>
      </w:r>
    </w:p>
    <w:p>
      <w:pPr>
        <w:spacing w:before="0" w:after="120" w:lineRule="auto" w:line="360"/>
        <w:ind w:firstLine="400"/>
        <w:jc w:val="both"/>
      </w:pPr>
      <w:r>
        <w:rPr>
          <w:rFonts w:ascii="Times New Roman" w:hAnsi="Times New Roman"/>
          <w:b w:val="0"/>
          <w:i w:val="0"/>
          <w:sz w:val="20"/>
        </w:rPr>
        <w:t>단순 평균을 넘어 각 예측치에 차별적 가중치를 부여하는 가중 앙상블은 기간별·상황별로 모형의 상대적 강점을 반영할 수 있다. 본 연구의 WEns는 선형 모형(Ridge)의 추정 안정성과 트리 기반 모형(XGBoost)의 비선형 포착력을 결합하되, 가중치를 고정하지 않고 예측 기간별 내부 검증 성능에 따라 적응적으로 선택하는 구조이다. 이는 단일 최적 모형 선택의 불확실성을 줄이면서 기간별 예측 구조 변화를 유연하게 반영하기 위한 설계이다.</w:t>
      </w:r>
    </w:p>
    <w:p>
      <w:pPr>
        <w:spacing w:before="240" w:after="120" w:lineRule="auto" w:line="360"/>
        <w:jc w:val="left"/>
      </w:pPr>
      <w:r>
        <w:rPr>
          <w:rFonts w:ascii="Times New Roman" w:hAnsi="Times New Roman"/>
          <w:b/>
          <w:i w:val="0"/>
          <w:sz w:val="24"/>
        </w:rPr>
        <w:t>7. 다중 자산 VRP 및 스필오버 선행연구</w:t>
      </w:r>
    </w:p>
    <w:p>
      <w:pPr>
        <w:spacing w:before="160" w:after="80" w:lineRule="auto" w:line="360"/>
        <w:jc w:val="left"/>
      </w:pPr>
      <w:r>
        <w:rPr>
          <w:rFonts w:ascii="Times New Roman" w:hAnsi="Times New Roman"/>
          <w:b/>
          <w:i w:val="0"/>
          <w:sz w:val="22"/>
        </w:rPr>
        <w:t>1) 주식시장 VRP 측정 및 예측력 연구</w:t>
      </w:r>
    </w:p>
    <w:p>
      <w:pPr>
        <w:spacing w:before="0" w:after="120" w:lineRule="auto" w:line="360"/>
        <w:ind w:firstLine="400"/>
        <w:jc w:val="both"/>
      </w:pPr>
      <w:r>
        <w:rPr>
          <w:rFonts w:ascii="Times New Roman" w:hAnsi="Times New Roman"/>
          <w:b w:val="0"/>
          <w:i w:val="0"/>
          <w:sz w:val="20"/>
        </w:rPr>
        <w:t>주식시장에서 VRP의 측정과 예측력에 관한 연구는 Carr and Wu</w:t>
      </w:r>
      <w:r>
        <w:rPr>
          <w:rFonts w:ascii="Times New Roman" w:hAnsi="Times New Roman"/>
          <w:b w:val="0"/>
          <w:i w:val="0"/>
          <w:sz w:val="20"/>
          <w:vertAlign w:val="superscript"/>
        </w:rPr>
        <w:t>5</w:t>
      </w:r>
      <w:r>
        <w:rPr>
          <w:rFonts w:ascii="Times New Roman" w:hAnsi="Times New Roman"/>
          <w:b w:val="0"/>
          <w:i w:val="0"/>
          <w:sz w:val="20"/>
        </w:rPr>
        <w:t>, Bekaert and Hoerova</w:t>
      </w:r>
      <w:r>
        <w:rPr>
          <w:rFonts w:ascii="Times New Roman" w:hAnsi="Times New Roman"/>
          <w:b w:val="0"/>
          <w:i w:val="0"/>
          <w:sz w:val="20"/>
          <w:vertAlign w:val="superscript"/>
        </w:rPr>
        <w:t>10</w:t>
      </w:r>
      <w:r>
        <w:rPr>
          <w:rFonts w:ascii="Times New Roman" w:hAnsi="Times New Roman"/>
          <w:b w:val="0"/>
          <w:i w:val="0"/>
          <w:sz w:val="20"/>
        </w:rPr>
        <w:t>, Bollerslev, Tauchen, and Zhou</w:t>
      </w:r>
      <w:r>
        <w:rPr>
          <w:rFonts w:ascii="Times New Roman" w:hAnsi="Times New Roman"/>
          <w:b w:val="0"/>
          <w:i w:val="0"/>
          <w:sz w:val="20"/>
          <w:vertAlign w:val="superscript"/>
        </w:rPr>
        <w:t>6</w:t>
      </w:r>
      <w:r>
        <w:rPr>
          <w:rFonts w:ascii="Times New Roman" w:hAnsi="Times New Roman"/>
          <w:b w:val="0"/>
          <w:i w:val="0"/>
          <w:sz w:val="20"/>
        </w:rPr>
        <w:t xml:space="preserve"> 이후 활발히 이루어졌다. Zhang, Chen, and Lu</w:t>
      </w:r>
      <w:r>
        <w:rPr>
          <w:rFonts w:ascii="Times New Roman" w:hAnsi="Times New Roman"/>
          <w:b w:val="0"/>
          <w:i w:val="0"/>
          <w:sz w:val="20"/>
          <w:vertAlign w:val="superscript"/>
        </w:rPr>
        <w:t>12</w:t>
      </w:r>
      <w:r>
        <w:rPr>
          <w:rFonts w:ascii="Times New Roman" w:hAnsi="Times New Roman"/>
          <w:b w:val="0"/>
          <w:i w:val="0"/>
          <w:sz w:val="20"/>
        </w:rPr>
        <w:t>는 VRP의 비모수적 추정을 제안했으며, Carr, Wu, and Zhang</w:t>
      </w:r>
      <w:r>
        <w:rPr>
          <w:rFonts w:ascii="Times New Roman" w:hAnsi="Times New Roman"/>
          <w:b w:val="0"/>
          <w:i w:val="0"/>
          <w:sz w:val="20"/>
          <w:vertAlign w:val="superscript"/>
        </w:rPr>
        <w:t>13</w:t>
      </w:r>
      <w:r>
        <w:rPr>
          <w:rFonts w:ascii="Times New Roman" w:hAnsi="Times New Roman"/>
          <w:b w:val="0"/>
          <w:i w:val="0"/>
          <w:sz w:val="20"/>
        </w:rPr>
        <w:t>은 기계학습을 활용해 예측 RV를 개선하는 방향을 탐색했다. 이들 연구는 VRP가 변동성 위험 가격화의 지표로서 향후 수익률 및 변동성 예측에 부가적인 정보 가치를 가질 수 있음을 보인다.</w:t>
      </w:r>
    </w:p>
    <w:p>
      <w:pPr>
        <w:spacing w:before="160" w:after="80" w:lineRule="auto" w:line="360"/>
        <w:jc w:val="left"/>
      </w:pPr>
      <w:r>
        <w:rPr>
          <w:rFonts w:ascii="Times New Roman" w:hAnsi="Times New Roman"/>
          <w:b/>
          <w:i w:val="0"/>
          <w:sz w:val="22"/>
        </w:rPr>
        <w:t>2) 크로스애셋 VRP와 시장 간 스필오버</w:t>
      </w:r>
    </w:p>
    <w:p>
      <w:pPr>
        <w:spacing w:before="0" w:after="120" w:lineRule="auto" w:line="360"/>
        <w:ind w:firstLine="400"/>
        <w:jc w:val="both"/>
      </w:pPr>
      <w:r>
        <w:rPr>
          <w:rFonts w:ascii="Times New Roman" w:hAnsi="Times New Roman"/>
          <w:b w:val="0"/>
          <w:i w:val="0"/>
          <w:sz w:val="20"/>
        </w:rPr>
        <w:t>Hattori, Shim, and Sugihara</w:t>
      </w:r>
      <w:r>
        <w:rPr>
          <w:rFonts w:ascii="Times New Roman" w:hAnsi="Times New Roman"/>
          <w:b w:val="0"/>
          <w:i w:val="0"/>
          <w:sz w:val="20"/>
          <w:vertAlign w:val="superscript"/>
        </w:rPr>
        <w:t>14</w:t>
      </w:r>
      <w:r>
        <w:rPr>
          <w:rFonts w:ascii="Times New Roman" w:hAnsi="Times New Roman"/>
          <w:b w:val="0"/>
          <w:i w:val="0"/>
          <w:sz w:val="20"/>
        </w:rPr>
        <w:t>는 미국 VRP가 국제 금융시장에 미치는 스필오버 효과를 분석했다. Ornelas et al.</w:t>
      </w:r>
      <w:r>
        <w:rPr>
          <w:rFonts w:ascii="Times New Roman" w:hAnsi="Times New Roman"/>
          <w:b w:val="0"/>
          <w:i w:val="0"/>
          <w:sz w:val="20"/>
          <w:vertAlign w:val="superscript"/>
        </w:rPr>
        <w:t>15</w:t>
      </w:r>
      <w:r>
        <w:rPr>
          <w:rFonts w:ascii="Times New Roman" w:hAnsi="Times New Roman"/>
          <w:b w:val="0"/>
          <w:i w:val="0"/>
          <w:sz w:val="20"/>
        </w:rPr>
        <w:t>는 원자재 시장의 변동성 위험 프리미엄을 분석하여 자산군별 VRP의 이질성을 보였으며, Dierckx, Davis, and Schoutens</w:t>
      </w:r>
      <w:r>
        <w:rPr>
          <w:rFonts w:ascii="Times New Roman" w:hAnsi="Times New Roman"/>
          <w:b w:val="0"/>
          <w:i w:val="0"/>
          <w:sz w:val="20"/>
          <w:vertAlign w:val="superscript"/>
        </w:rPr>
        <w:t>16</w:t>
      </w:r>
      <w:r>
        <w:rPr>
          <w:rFonts w:ascii="Times New Roman" w:hAnsi="Times New Roman"/>
          <w:b w:val="0"/>
          <w:i w:val="0"/>
          <w:sz w:val="20"/>
        </w:rPr>
        <w:t>는 외환시장의 VRP 예측에 기계학습을 적용했다. Heston and Todorov</w:t>
      </w:r>
      <w:r>
        <w:rPr>
          <w:rFonts w:ascii="Times New Roman" w:hAnsi="Times New Roman"/>
          <w:b w:val="0"/>
          <w:i w:val="0"/>
          <w:sz w:val="20"/>
          <w:vertAlign w:val="superscript"/>
        </w:rPr>
        <w:t>17</w:t>
      </w:r>
      <w:r>
        <w:rPr>
          <w:rFonts w:ascii="Times New Roman" w:hAnsi="Times New Roman"/>
          <w:b w:val="0"/>
          <w:i w:val="0"/>
          <w:sz w:val="20"/>
        </w:rPr>
        <w:t>는 다양한 자산에서 VRP의 공통 요인 구조를 탐색했다. 이들 연구는 VRP가 주식시장에 국한되지 않고 채권·원자재 등 다자산으로 확장될 수 있는 분석 대상임을 보여주나, 대부분 고빈도 또는 자산별 옵션 데이터를 전제로 한다는 실용적 제약이 존재한다. 본 연구는 공개 일별 자료만으로 다중 자산의 RV를 예측하고 VRP를 도출하는 재현 가능한 프레임워크를 제시함으로써 이러한 공백을 부분적으로 보완한다.</w:t>
      </w:r>
    </w:p>
    <w:p>
      <w:r>
        <w:br w:type="page"/>
      </w:r>
    </w:p>
    <w:p>
      <w:pPr>
        <w:spacing w:before="480" w:after="240" w:lineRule="auto" w:line="360"/>
        <w:jc w:val="left"/>
      </w:pPr>
      <w:r>
        <w:rPr>
          <w:rFonts w:ascii="Times New Roman" w:hAnsi="Times New Roman"/>
          <w:b/>
          <w:i w:val="0"/>
          <w:sz w:val="28"/>
        </w:rPr>
        <w:t>Ⅲ. 데이터 및 방법론</w:t>
      </w:r>
    </w:p>
    <w:p>
      <w:pPr>
        <w:spacing w:before="240" w:after="120" w:lineRule="auto" w:line="360"/>
        <w:jc w:val="left"/>
      </w:pPr>
      <w:r>
        <w:rPr>
          <w:rFonts w:ascii="Times New Roman" w:hAnsi="Times New Roman"/>
          <w:b/>
          <w:i w:val="0"/>
          <w:sz w:val="24"/>
        </w:rPr>
        <w:t>1. 분석 대상 자산 및 데이터</w:t>
      </w:r>
    </w:p>
    <w:p>
      <w:pPr>
        <w:spacing w:before="160" w:after="80" w:lineRule="auto" w:line="360"/>
        <w:jc w:val="left"/>
      </w:pPr>
      <w:r>
        <w:rPr>
          <w:rFonts w:ascii="Times New Roman" w:hAnsi="Times New Roman"/>
          <w:b/>
          <w:i w:val="0"/>
          <w:sz w:val="22"/>
        </w:rPr>
        <w:t>1) 자산 구성 및 표본 기간</w:t>
      </w:r>
    </w:p>
    <w:p>
      <w:pPr>
        <w:spacing w:before="0" w:after="120" w:lineRule="auto" w:line="360"/>
        <w:ind w:firstLine="400"/>
        <w:jc w:val="both"/>
      </w:pPr>
      <w:r>
        <w:rPr>
          <w:rFonts w:ascii="Times New Roman" w:hAnsi="Times New Roman"/>
          <w:b w:val="0"/>
          <w:i w:val="0"/>
          <w:sz w:val="20"/>
        </w:rPr>
        <w:t>본 연구는 SPY, QQQ, IWM, EFA, EEM, TLT, IEF, AGG, GLD, SLV, USO의 총 11개 ETF를 분석 대상으로 사용한다. 이들 자산은 각 주식, 채권, 원자재를 대표하는 대형 ETF로서, 2010년부터 2024년까지의 분석 기간 동안 일별 OHLCV 자료가 대부분 결측 없이 연속적으로 제공된다. 또한 거래량과 시가총액 규모 측면에서 상대적으로 높은 유동성을 유지하고 있어, 자산군 간 비교가 가능한 패널 데이터 구성을 위해 적합한 표본으로 판단된다.</w:t>
      </w:r>
    </w:p>
    <w:p>
      <w:pPr>
        <w:spacing w:before="0" w:after="120" w:lineRule="auto" w:line="360"/>
        <w:ind w:firstLine="400"/>
        <w:jc w:val="both"/>
      </w:pPr>
      <w:r>
        <w:rPr>
          <w:rFonts w:ascii="Times New Roman" w:hAnsi="Times New Roman"/>
          <w:b w:val="0"/>
          <w:i w:val="0"/>
          <w:sz w:val="20"/>
        </w:rPr>
        <w:t>표본 시작 시점을 2010년으로 설정한 이유는 다음과 같다. 첫째, 11개 ETF와 변동성 지표인 VIX 등 주요 지표의 공통 가용 구간을 안정적으로 확보하기 위해서다. 둘째, 2008~2009년 금융위기 직후 구간은 VIX 급등과 유동성 위축이 동시에 나타난 극단적 비정상 구간이므로, 이를 학습 표본에 포함할 경우 특정 위기 국면에 과적합될 가능성이 있다. 총 거래일 수는 약 3,780일이다. 자산군별 구성은 표 1에 정리했다.</w:t>
      </w:r>
    </w:p>
    <w:p>
      <w:pPr>
        <w:spacing w:before="60" w:after="60" w:lineRule="auto" w:line="288"/>
        <w:jc w:val="center"/>
      </w:pPr>
      <w:r>
        <w:rPr>
          <w:rFonts w:ascii="Times New Roman" w:hAnsi="Times New Roman"/>
          <w:b w:val="0"/>
          <w:i w:val="0"/>
          <w:sz w:val="20"/>
        </w:rPr>
        <w:t>표 1. 자산 구성  /  Table 1. Assets Group</w:t>
      </w:r>
    </w:p>
    <w:tbl>
      <w:tblPr>
        <w:tblStyle w:val="TableGrid"/>
        <w:tblW w:type="auto" w:w="0"/>
        <w:jc w:val="center"/>
        <w:tblLook w:firstColumn="1" w:firstRow="1" w:lastColumn="0" w:lastRow="0" w:noHBand="0" w:noVBand="1" w:val="04A0"/>
      </w:tblPr>
      <w:tblGrid>
        <w:gridCol w:w="4110"/>
        <w:gridCol w:w="4110"/>
      </w:tblGrid>
      <w:tr>
        <w:tc>
          <w:tcPr>
            <w:tcW w:type="dxa" w:w="4110"/>
          </w:tcPr>
          <w:p>
            <w:pPr>
              <w:spacing w:before="20" w:after="20"/>
              <w:jc w:val="center"/>
            </w:pPr>
            <w:r/>
            <w:r>
              <w:rPr>
                <w:rFonts w:ascii="Times New Roman" w:hAnsi="Times New Roman"/>
                <w:b/>
                <w:i w:val="0"/>
                <w:sz w:val="18"/>
              </w:rPr>
              <w:t>Group</w:t>
            </w:r>
          </w:p>
        </w:tc>
        <w:tc>
          <w:tcPr>
            <w:tcW w:type="dxa" w:w="4110"/>
          </w:tcPr>
          <w:p>
            <w:pPr>
              <w:spacing w:before="20" w:after="20"/>
              <w:jc w:val="center"/>
            </w:pPr>
            <w:r/>
            <w:r>
              <w:rPr>
                <w:rFonts w:ascii="Times New Roman" w:hAnsi="Times New Roman"/>
                <w:b/>
                <w:i w:val="0"/>
                <w:sz w:val="18"/>
              </w:rPr>
              <w:t>Assets</w:t>
            </w:r>
          </w:p>
        </w:tc>
      </w:tr>
      <w:tr>
        <w:tc>
          <w:tcPr>
            <w:tcW w:type="dxa" w:w="4110"/>
          </w:tcPr>
          <w:p>
            <w:pPr>
              <w:spacing w:before="20" w:after="20"/>
              <w:jc w:val="center"/>
            </w:pPr>
            <w:r/>
            <w:r>
              <w:rPr>
                <w:rFonts w:ascii="Times New Roman" w:hAnsi="Times New Roman"/>
                <w:b w:val="0"/>
                <w:i w:val="0"/>
                <w:sz w:val="18"/>
              </w:rPr>
              <w:t>Equity</w:t>
            </w:r>
          </w:p>
        </w:tc>
        <w:tc>
          <w:tcPr>
            <w:tcW w:type="dxa" w:w="4110"/>
          </w:tcPr>
          <w:p>
            <w:pPr>
              <w:spacing w:before="20" w:after="20"/>
              <w:jc w:val="center"/>
            </w:pPr>
            <w:r/>
            <w:r>
              <w:rPr>
                <w:rFonts w:ascii="Times New Roman" w:hAnsi="Times New Roman"/>
                <w:b w:val="0"/>
                <w:i w:val="0"/>
                <w:sz w:val="18"/>
              </w:rPr>
              <w:t>SPY, QQQ, IWM, EFA, EEM</w:t>
            </w:r>
          </w:p>
        </w:tc>
      </w:tr>
      <w:tr>
        <w:tc>
          <w:tcPr>
            <w:tcW w:type="dxa" w:w="4110"/>
          </w:tcPr>
          <w:p>
            <w:pPr>
              <w:spacing w:before="20" w:after="20"/>
              <w:jc w:val="center"/>
            </w:pPr>
            <w:r/>
            <w:r>
              <w:rPr>
                <w:rFonts w:ascii="Times New Roman" w:hAnsi="Times New Roman"/>
                <w:b w:val="0"/>
                <w:i w:val="0"/>
                <w:sz w:val="18"/>
              </w:rPr>
              <w:t>Bond</w:t>
            </w:r>
          </w:p>
        </w:tc>
        <w:tc>
          <w:tcPr>
            <w:tcW w:type="dxa" w:w="4110"/>
          </w:tcPr>
          <w:p>
            <w:pPr>
              <w:spacing w:before="20" w:after="20"/>
              <w:jc w:val="center"/>
            </w:pPr>
            <w:r/>
            <w:r>
              <w:rPr>
                <w:rFonts w:ascii="Times New Roman" w:hAnsi="Times New Roman"/>
                <w:b w:val="0"/>
                <w:i w:val="0"/>
                <w:sz w:val="18"/>
              </w:rPr>
              <w:t>TLT, IEF, AGG</w:t>
            </w:r>
          </w:p>
        </w:tc>
      </w:tr>
      <w:tr>
        <w:tc>
          <w:tcPr>
            <w:tcW w:type="dxa" w:w="4110"/>
          </w:tcPr>
          <w:p>
            <w:pPr>
              <w:spacing w:before="20" w:after="20"/>
              <w:jc w:val="center"/>
            </w:pPr>
            <w:r/>
            <w:r>
              <w:rPr>
                <w:rFonts w:ascii="Times New Roman" w:hAnsi="Times New Roman"/>
                <w:b w:val="0"/>
                <w:i w:val="0"/>
                <w:sz w:val="18"/>
              </w:rPr>
              <w:t>Commodity</w:t>
            </w:r>
          </w:p>
        </w:tc>
        <w:tc>
          <w:tcPr>
            <w:tcW w:type="dxa" w:w="4110"/>
          </w:tcPr>
          <w:p>
            <w:pPr>
              <w:spacing w:before="20" w:after="20"/>
              <w:jc w:val="center"/>
            </w:pPr>
            <w:r/>
            <w:r>
              <w:rPr>
                <w:rFonts w:ascii="Times New Roman" w:hAnsi="Times New Roman"/>
                <w:b w:val="0"/>
                <w:i w:val="0"/>
                <w:sz w:val="18"/>
              </w:rPr>
              <w:t>GLD, SLV, USO</w:t>
            </w:r>
          </w:p>
        </w:tc>
      </w:tr>
    </w:tbl>
    <w:p/>
    <w:p>
      <w:pPr>
        <w:spacing w:before="160" w:after="80" w:lineRule="auto" w:line="360"/>
        <w:jc w:val="left"/>
      </w:pPr>
      <w:r>
        <w:rPr>
          <w:rFonts w:ascii="Times New Roman" w:hAnsi="Times New Roman"/>
          <w:b/>
          <w:i w:val="0"/>
          <w:sz w:val="22"/>
        </w:rPr>
        <w:t>2) 데이터 출처 및 변수 정의</w:t>
      </w:r>
    </w:p>
    <w:p>
      <w:pPr>
        <w:spacing w:before="0" w:after="120" w:lineRule="auto" w:line="360"/>
        <w:ind w:firstLine="400"/>
        <w:jc w:val="both"/>
      </w:pPr>
      <w:r>
        <w:rPr>
          <w:rFonts w:ascii="Times New Roman" w:hAnsi="Times New Roman"/>
          <w:b w:val="0"/>
          <w:i w:val="0"/>
          <w:sz w:val="20"/>
        </w:rPr>
        <w:t>데이터는 Yahoo Finance API를 통해 수집했다. OHLCV는 각 거래일 t에 대해 시가(Open), 고가(High), 저가(Low), 종가(Close), 거래량(Volume)의 5개 변수를 포함한다. 종가는 로그수익률과 HAR 기반 RV 계산에 사용되며, 시가·고가·저가·종가 정보는 range 기반 변동성 추정량 계산에 활용된다. VIX 기간구조 지표로는 VIX(30일 만기), VIX3M(3개월), VIX9D(9일)를 사용한다.</w:t>
      </w:r>
    </w:p>
    <w:p>
      <w:pPr>
        <w:spacing w:before="0" w:after="120" w:lineRule="auto" w:line="360"/>
        <w:ind w:firstLine="400"/>
        <w:jc w:val="both"/>
      </w:pPr>
      <w:r>
        <w:rPr>
          <w:rFonts w:ascii="Times New Roman" w:hAnsi="Times New Roman"/>
          <w:b w:val="0"/>
          <w:i w:val="0"/>
          <w:sz w:val="20"/>
        </w:rPr>
        <w:t>예측 기간 집합 h ∈ {1, 5, 22, 60, 90, 120, 180, 252}는 각각 일간·주간·월간·분기·반기·연간 수준을 포괄하도록 설계하여 단기부터 장기까지의 예측 구조 변화를 체계적으로 비교할 수 있다. 분석에 사용된 코드 및 데이터는 저자에게 요청 시 제공한다.</w:t>
      </w:r>
    </w:p>
    <w:p>
      <w:pPr>
        <w:spacing w:before="160" w:after="80" w:lineRule="auto" w:line="360"/>
        <w:jc w:val="left"/>
      </w:pPr>
      <w:r>
        <w:rPr>
          <w:rFonts w:ascii="Times New Roman" w:hAnsi="Times New Roman"/>
          <w:b/>
          <w:i w:val="0"/>
          <w:sz w:val="22"/>
        </w:rPr>
        <w:t>3) 기초 통계량 개요</w:t>
      </w:r>
    </w:p>
    <w:p>
      <w:pPr>
        <w:spacing w:before="0" w:after="120" w:lineRule="auto" w:line="360"/>
        <w:ind w:firstLine="400"/>
        <w:jc w:val="both"/>
      </w:pPr>
      <w:r>
        <w:rPr>
          <w:rFonts w:ascii="Times New Roman" w:hAnsi="Times New Roman"/>
          <w:b w:val="0"/>
          <w:i w:val="0"/>
          <w:sz w:val="20"/>
        </w:rPr>
        <w:t>표본 기간(2010~2024) 내 11개 ETF의 일별 로그수익률 및 연율화 실현분산(22d 기준)의 기초 통계량은 부록 E에 정리했다. 11개 ETF 중 주식 자산군(Equity)은 상대적으로 높은 변동성 수준과 VIX 민감도를 보이며, 채권(Bond) 자산군은 낮은 변동성과 안정적인 수익률 구조를 나타낸다. 원자재(Commodity) 자산군은 자산별 이질성이 크며, 특히 USO(원유 ETF)는 에너지 시장 특성상 변동성이 높다. 자산군별 예측 성능 차이의 구체적인 양상은 Ⅳ장 2절에서 자산별 R</w:t>
      </w:r>
      <w:r>
        <w:rPr>
          <w:rFonts w:ascii="Times New Roman" w:hAnsi="Times New Roman"/>
          <w:b w:val="0"/>
          <w:i w:val="0"/>
          <w:sz w:val="20"/>
          <w:vertAlign w:val="superscript"/>
        </w:rPr>
        <w:t>2</w:t>
      </w:r>
      <w:r>
        <w:rPr>
          <w:rFonts w:ascii="Times New Roman" w:hAnsi="Times New Roman"/>
          <w:b w:val="0"/>
          <w:i w:val="0"/>
          <w:sz w:val="20"/>
        </w:rPr>
        <w:t xml:space="preserve"> 비교를 통해 제시한다.</w:t>
      </w:r>
    </w:p>
    <w:p>
      <w:pPr>
        <w:spacing w:before="240" w:after="120" w:lineRule="auto" w:line="360"/>
        <w:jc w:val="left"/>
      </w:pPr>
      <w:r>
        <w:rPr>
          <w:rFonts w:ascii="Times New Roman" w:hAnsi="Times New Roman"/>
          <w:b/>
          <w:i w:val="0"/>
          <w:sz w:val="24"/>
        </w:rPr>
        <w:t>2. 데이터 전처리</w:t>
      </w:r>
    </w:p>
    <w:p>
      <w:pPr>
        <w:spacing w:before="160" w:after="80" w:lineRule="auto" w:line="360"/>
        <w:jc w:val="left"/>
      </w:pPr>
      <w:r>
        <w:rPr>
          <w:rFonts w:ascii="Times New Roman" w:hAnsi="Times New Roman"/>
          <w:b/>
          <w:i w:val="0"/>
          <w:sz w:val="22"/>
        </w:rPr>
        <w:t>1) 결측치 처리 전략</w:t>
      </w:r>
    </w:p>
    <w:p>
      <w:pPr>
        <w:spacing w:before="0" w:after="120" w:lineRule="auto" w:line="360"/>
        <w:ind w:firstLine="400"/>
        <w:jc w:val="both"/>
      </w:pPr>
      <w:r>
        <w:rPr>
          <w:rFonts w:ascii="Times New Roman" w:hAnsi="Times New Roman"/>
          <w:b w:val="0"/>
          <w:i w:val="0"/>
          <w:sz w:val="20"/>
        </w:rPr>
        <w:t>결측치는 전방 채움(forward fill)으로 처리했다. 이는 미래 정보 누출을 방지하면서 시계열 연속성을 유지하고 표본 손실을 최소화하기 위한 선택이다. 선형 보간은 미래 시점의 정보를 사용할 수 있으므로 시계열 예측에서 적절하지 않을 수 있으나, 전방 채움은 과거 관측치만을 이용한다. 전방 채움 적용 시 표본 수는 41,261개였고, 이를 제거하면 38,489개로 감소했다.</w:t>
      </w:r>
    </w:p>
    <w:p>
      <w:pPr>
        <w:spacing w:before="0" w:after="120" w:lineRule="auto" w:line="360"/>
        <w:ind w:firstLine="400"/>
        <w:jc w:val="both"/>
      </w:pPr>
      <w:r>
        <w:rPr>
          <w:rFonts w:ascii="Times New Roman" w:hAnsi="Times New Roman"/>
          <w:b w:val="0"/>
          <w:i w:val="0"/>
          <w:sz w:val="20"/>
        </w:rPr>
        <w:t>전방 채움의 구조적 편향을 명시한다. 결측일에 전방 채움을 적용하면 당일 시가·고가·저가·종가가 모두 직전일 종가와 같아지므로, 해당일의 일중 범위 log(H/L)가 0이 된다. 이는 Garman-Klass, Parkinson, Rogers-Satchell 등 range 기반 추정량을 확정적으로 하향 편향시킨다. 그러나 본 연구에서 결측은 거래일 불일치에 의한 1~2일 수준의 산발적 결측에 한정되며, 22거래일 롤링 기간 기준으로 단일 결측일이 차지하는 비중은 최대 4.5%이므로 전반적 영향은 제한적인 것으로 판단된다.</w:t>
      </w:r>
    </w:p>
    <w:p>
      <w:pPr>
        <w:spacing w:before="0" w:after="120" w:lineRule="auto" w:line="360"/>
        <w:ind w:firstLine="400"/>
        <w:jc w:val="both"/>
      </w:pPr>
      <w:r>
        <w:rPr>
          <w:rFonts w:ascii="Times New Roman" w:hAnsi="Times New Roman"/>
          <w:b w:val="0"/>
          <w:i w:val="0"/>
          <w:sz w:val="20"/>
        </w:rPr>
        <w:t>추가 강건성 검증 결과, 전방 채움을 제거한 경우 Pooled R</w:t>
      </w:r>
      <w:r>
        <w:rPr>
          <w:rFonts w:ascii="Times New Roman" w:hAnsi="Times New Roman"/>
          <w:b w:val="0"/>
          <w:i w:val="0"/>
          <w:sz w:val="20"/>
          <w:vertAlign w:val="superscript"/>
        </w:rPr>
        <w:t>2</w:t>
      </w:r>
      <w:r>
        <w:rPr>
          <w:rFonts w:ascii="Times New Roman" w:hAnsi="Times New Roman"/>
          <w:b w:val="0"/>
          <w:i w:val="0"/>
          <w:sz w:val="20"/>
        </w:rPr>
        <w:t>는 0.782에서 0.795로, 중위 R</w:t>
      </w:r>
      <w:r>
        <w:rPr>
          <w:rFonts w:ascii="Times New Roman" w:hAnsi="Times New Roman"/>
          <w:b w:val="0"/>
          <w:i w:val="0"/>
          <w:sz w:val="20"/>
          <w:vertAlign w:val="superscript"/>
        </w:rPr>
        <w:t>2</w:t>
      </w:r>
      <w:r>
        <w:rPr>
          <w:rFonts w:ascii="Times New Roman" w:hAnsi="Times New Roman"/>
          <w:b w:val="0"/>
          <w:i w:val="0"/>
          <w:sz w:val="20"/>
        </w:rPr>
        <w:t>는 0.123에서 0.182로 소폭 상승했다(강건성 실험 기준값; Ⅳ장 5절 3)항 참조). 이는 전방 채움이 성능을 인위적으로 부풀리지 않았음을 의미하며, 오히려 보수적인 방향으로 작용했음을 보여준다.</w:t>
      </w:r>
    </w:p>
    <w:p>
      <w:pPr>
        <w:spacing w:before="160" w:after="80" w:lineRule="auto" w:line="360"/>
        <w:jc w:val="left"/>
      </w:pPr>
      <w:r>
        <w:rPr>
          <w:rFonts w:ascii="Times New Roman" w:hAnsi="Times New Roman"/>
          <w:b/>
          <w:i w:val="0"/>
          <w:sz w:val="22"/>
        </w:rPr>
        <w:t>2) 배당락·가격 점프의 영향</w:t>
      </w:r>
    </w:p>
    <w:p>
      <w:pPr>
        <w:spacing w:before="0" w:after="120" w:lineRule="auto" w:line="360"/>
        <w:ind w:firstLine="400"/>
        <w:jc w:val="both"/>
      </w:pPr>
      <w:r>
        <w:rPr>
          <w:rFonts w:ascii="Times New Roman" w:hAnsi="Times New Roman"/>
          <w:b w:val="0"/>
          <w:i w:val="0"/>
          <w:sz w:val="20"/>
        </w:rPr>
        <w:t>range 기반 변동성 추정량 계산에는 수정되지 않은 원시 시가·고가·저가·종가 자료를 사용한다. 이 경우 배당 또는 분배로 인한 가격 점프가 range 추정량에 영향을 줄 수 있으므로, 그 영향을 별도로 점검했다. 분석 결과, 11개 ETF 전체에서 배당락 후보일(시가 갭 0.5% 초과)은 전체 거래일의 약 15.9%를 차지했고, 해당 일자의 일중 범위 log(H/L)는 정상일 대비 평균 1.27배 정도 높게 나타났다. 그러나 22거래일 롤링 기간에서 단일 관측치가 차지하는 비중은 약 4.5%에 불과하므로, 배당락에 따른 점프가 기간 기반 range 추정량에 미치는 전반적 영향은 제한적인 것으로 판단된다.</w:t>
      </w:r>
    </w:p>
    <w:p>
      <w:pPr>
        <w:spacing w:before="240" w:after="120" w:lineRule="auto" w:line="360"/>
        <w:jc w:val="left"/>
      </w:pPr>
      <w:r>
        <w:rPr>
          <w:rFonts w:ascii="Times New Roman" w:hAnsi="Times New Roman"/>
          <w:b/>
          <w:i w:val="0"/>
          <w:sz w:val="24"/>
        </w:rPr>
        <w:t>3. 변수 및 피처 구성</w:t>
      </w:r>
    </w:p>
    <w:p>
      <w:pPr>
        <w:spacing w:before="160" w:after="80" w:lineRule="auto" w:line="360"/>
        <w:jc w:val="left"/>
      </w:pPr>
      <w:r>
        <w:rPr>
          <w:rFonts w:ascii="Times New Roman" w:hAnsi="Times New Roman"/>
          <w:b/>
          <w:i w:val="0"/>
          <w:sz w:val="22"/>
        </w:rPr>
        <w:t>1) 일별 수익률과 단일 기간 RV 정의</w:t>
      </w:r>
    </w:p>
    <w:p>
      <w:pPr>
        <w:spacing w:before="0" w:after="120" w:lineRule="auto" w:line="360"/>
        <w:ind w:firstLine="400"/>
        <w:jc w:val="both"/>
      </w:pPr>
      <w:r>
        <w:rPr>
          <w:rFonts w:ascii="Times New Roman" w:hAnsi="Times New Roman"/>
          <w:b w:val="0"/>
          <w:i w:val="0"/>
          <w:sz w:val="20"/>
        </w:rPr>
        <w:t>일별 수익률은 로그수익률로 정의한다.</w:t>
      </w:r>
    </w:p>
    <w:p>
      <w:pPr>
        <w:spacing w:before="0" w:after="120" w:lineRule="auto" w:line="360"/>
        <w:ind w:firstLine="400"/>
        <w:jc w:val="both"/>
      </w:pPr>
      <w:r>
        <w:rPr>
          <w:rFonts w:ascii="Times New Roman" w:hAnsi="Times New Roman"/>
          <w:b w:val="0"/>
          <w:i w:val="0"/>
          <w:sz w:val="20"/>
        </w:rPr>
        <w:t>r_t = ln(P_t / P_(t-1))</w:t>
      </w:r>
    </w:p>
    <w:p>
      <w:pPr>
        <w:spacing w:before="0" w:after="120" w:lineRule="auto" w:line="360"/>
        <w:ind w:firstLine="400"/>
        <w:jc w:val="both"/>
      </w:pPr>
      <w:r>
        <w:rPr>
          <w:rFonts w:ascii="Times New Roman" w:hAnsi="Times New Roman"/>
          <w:b w:val="0"/>
          <w:i w:val="0"/>
          <w:sz w:val="20"/>
        </w:rPr>
        <w:t>여기서 P_t는 yfinance에서 제공하는 수정 종가(adjusted close)를 사용한다. 수정 종가는 배당과 주식분할 효과를 반영하므로, 종가 기반 수익률 계산에 적합하다. 반면 range 기반 변동성 추정량 계산에는 수정되지 않은 원시 시가·고가·저가·종가 자료를 사용한다.</w:t>
      </w:r>
    </w:p>
    <w:p>
      <w:pPr>
        <w:spacing w:before="160" w:after="80" w:lineRule="auto" w:line="360"/>
        <w:jc w:val="left"/>
      </w:pPr>
      <w:r>
        <w:rPr>
          <w:rFonts w:ascii="Times New Roman" w:hAnsi="Times New Roman"/>
          <w:b/>
          <w:i w:val="0"/>
          <w:sz w:val="22"/>
        </w:rPr>
        <w:t>2) 다중 예측 기간 RV 타깃 구성</w:t>
      </w:r>
    </w:p>
    <w:p>
      <w:pPr>
        <w:spacing w:before="0" w:after="120" w:lineRule="auto" w:line="360"/>
        <w:ind w:firstLine="400"/>
        <w:jc w:val="both"/>
      </w:pPr>
      <w:r>
        <w:rPr>
          <w:rFonts w:ascii="Times New Roman" w:hAnsi="Times New Roman"/>
          <w:b w:val="0"/>
          <w:i w:val="0"/>
          <w:sz w:val="20"/>
        </w:rPr>
        <w:t>본 연구의 예측 기간 h는 모두 거래일 기준으로 정의하며, h ∈ {1, 5, 22, 60, 90, 120, 180, 252}로 설정한다. RV는 자산 i의 시점 t 이후 향후 h 거래일 구간 [t+1, t+h]에서 실현된 수익률 제곱의 평균을 연율화하여 구성한다.</w:t>
      </w:r>
    </w:p>
    <w:p>
      <w:pPr>
        <w:spacing w:before="0" w:after="120" w:lineRule="auto" w:line="360"/>
        <w:ind w:firstLine="400"/>
        <w:jc w:val="both"/>
      </w:pPr>
      <w:r>
        <w:rPr>
          <w:rFonts w:ascii="Times New Roman" w:hAnsi="Times New Roman"/>
          <w:b w:val="0"/>
          <w:i w:val="0"/>
          <w:sz w:val="20"/>
        </w:rPr>
        <w:t>RV_i,t(h) = (252 / h) × Σ_{k=1}^{h} r_{i,t+k}</w:t>
      </w:r>
      <w:r>
        <w:rPr>
          <w:rFonts w:ascii="Times New Roman" w:hAnsi="Times New Roman"/>
          <w:b w:val="0"/>
          <w:i w:val="0"/>
          <w:sz w:val="20"/>
          <w:vertAlign w:val="superscript"/>
        </w:rPr>
        <w:t>2</w:t>
      </w:r>
    </w:p>
    <w:p>
      <w:pPr>
        <w:spacing w:before="0" w:after="120" w:lineRule="auto" w:line="360"/>
        <w:ind w:firstLine="400"/>
        <w:jc w:val="both"/>
      </w:pPr>
      <w:r>
        <w:rPr>
          <w:rFonts w:ascii="Times New Roman" w:hAnsi="Times New Roman"/>
          <w:b w:val="0"/>
          <w:i w:val="0"/>
          <w:sz w:val="20"/>
        </w:rPr>
        <w:t>여기서 252는 연간 거래일 수이며, 이를 통해 예측 기간에 관계없이 연율화된 분산 단위로 비교 가능하다. 타깃은 시점 t에서의 예측 시점 이후 실현되는 전방(forward) 실현분산이 된다.</w:t>
      </w:r>
    </w:p>
    <w:p>
      <w:pPr>
        <w:spacing w:before="160" w:after="80" w:lineRule="auto" w:line="360"/>
        <w:jc w:val="left"/>
      </w:pPr>
      <w:r>
        <w:rPr>
          <w:rFonts w:ascii="Times New Roman" w:hAnsi="Times New Roman"/>
          <w:b/>
          <w:i w:val="0"/>
          <w:sz w:val="22"/>
        </w:rPr>
        <w:t>3) IV 및 VRP 정의</w:t>
      </w:r>
    </w:p>
    <w:p>
      <w:pPr>
        <w:spacing w:before="0" w:after="120" w:lineRule="auto" w:line="360"/>
        <w:ind w:firstLine="400"/>
        <w:jc w:val="both"/>
      </w:pPr>
      <w:r>
        <w:rPr>
          <w:rFonts w:ascii="Times New Roman" w:hAnsi="Times New Roman"/>
          <w:b w:val="0"/>
          <w:i w:val="0"/>
          <w:sz w:val="20"/>
        </w:rPr>
        <w:t>본 연구는 변동성 관련 변수를 모두 분산 단위로 통일하여 정의한다. IV는 변동성 지수를 제곱한 값으로 근사하며, 구체적으로 IV_t</w:t>
      </w:r>
      <w:r>
        <w:rPr>
          <w:rFonts w:ascii="Times New Roman" w:hAnsi="Times New Roman"/>
          <w:b w:val="0"/>
          <w:i w:val="0"/>
          <w:sz w:val="20"/>
          <w:vertAlign w:val="superscript"/>
        </w:rPr>
        <w:t>2</w:t>
      </w:r>
      <w:r>
        <w:rPr>
          <w:rFonts w:ascii="Times New Roman" w:hAnsi="Times New Roman"/>
          <w:b w:val="0"/>
          <w:i w:val="0"/>
          <w:sz w:val="20"/>
        </w:rPr>
        <w:t xml:space="preserve"> = (VIX_t / 100)</w:t>
      </w:r>
      <w:r>
        <w:rPr>
          <w:rFonts w:ascii="Times New Roman" w:hAnsi="Times New Roman"/>
          <w:b w:val="0"/>
          <w:i w:val="0"/>
          <w:sz w:val="20"/>
          <w:vertAlign w:val="superscript"/>
        </w:rPr>
        <w:t>2</w:t>
      </w:r>
      <w:r>
        <w:rPr>
          <w:rFonts w:ascii="Times New Roman" w:hAnsi="Times New Roman"/>
          <w:b w:val="0"/>
          <w:i w:val="0"/>
          <w:sz w:val="20"/>
        </w:rPr>
        <w:t>를 사용한다. VRP는 IV와 RV의 차이로 정의하며, VRP_i,t(h) = IV_t</w:t>
      </w:r>
      <w:r>
        <w:rPr>
          <w:rFonts w:ascii="Times New Roman" w:hAnsi="Times New Roman"/>
          <w:b w:val="0"/>
          <w:i w:val="0"/>
          <w:sz w:val="20"/>
          <w:vertAlign w:val="superscript"/>
        </w:rPr>
        <w:t>2</w:t>
      </w:r>
      <w:r>
        <w:rPr>
          <w:rFonts w:ascii="Times New Roman" w:hAnsi="Times New Roman"/>
          <w:b w:val="0"/>
          <w:i w:val="0"/>
          <w:sz w:val="20"/>
        </w:rPr>
        <w:t xml:space="preserve"> − RV_i,t(h)^hat으로 산출한다. VRP는 예측된 RV로부터 사후적으로 산출되는 파생 지표이다. 단, 피처로 사용되는 IV_VRP(부록 A, #28)는 예측 시점 t에서 관측 가능한 과거 RV_SPY를 이용하여 산출한 VRP 대리변수이며, Ⅳ장 6절의 VRP 분석에서 사용하는 예측 RV 기반 VRP_i,t(h)^hat과 개념적으로 구분된다. 본 연구에서 사용하는 주요 기호 및 정의는 표 2에 정리했다.</w:t>
      </w:r>
    </w:p>
    <w:p>
      <w:pPr>
        <w:spacing w:before="60" w:after="60" w:lineRule="auto" w:line="288"/>
        <w:jc w:val="center"/>
      </w:pPr>
      <w:r>
        <w:rPr>
          <w:rFonts w:ascii="Times New Roman" w:hAnsi="Times New Roman"/>
          <w:b w:val="0"/>
          <w:i w:val="0"/>
          <w:sz w:val="20"/>
        </w:rPr>
        <w:t>표 2. 기호 및 정의  /  Table 2. Symbol and Definition</w:t>
      </w:r>
    </w:p>
    <w:tbl>
      <w:tblPr>
        <w:tblStyle w:val="TableGrid"/>
        <w:tblW w:type="auto" w:w="0"/>
        <w:jc w:val="center"/>
        <w:tblLook w:firstColumn="1" w:firstRow="1" w:lastColumn="0" w:lastRow="0" w:noHBand="0" w:noVBand="1" w:val="04A0"/>
      </w:tblPr>
      <w:tblGrid>
        <w:gridCol w:w="4110"/>
        <w:gridCol w:w="4110"/>
      </w:tblGrid>
      <w:tr>
        <w:tc>
          <w:tcPr>
            <w:tcW w:type="dxa" w:w="4110"/>
          </w:tcPr>
          <w:p>
            <w:pPr>
              <w:spacing w:before="20" w:after="20"/>
              <w:jc w:val="center"/>
            </w:pPr>
            <w:r/>
            <w:r>
              <w:rPr>
                <w:rFonts w:ascii="Times New Roman" w:hAnsi="Times New Roman"/>
                <w:b/>
                <w:i w:val="0"/>
                <w:sz w:val="18"/>
              </w:rPr>
              <w:t>Symbol</w:t>
            </w:r>
          </w:p>
        </w:tc>
        <w:tc>
          <w:tcPr>
            <w:tcW w:type="dxa" w:w="4110"/>
          </w:tcPr>
          <w:p>
            <w:pPr>
              <w:spacing w:before="20" w:after="20"/>
              <w:jc w:val="center"/>
            </w:pPr>
            <w:r/>
            <w:r>
              <w:rPr>
                <w:rFonts w:ascii="Times New Roman" w:hAnsi="Times New Roman"/>
                <w:b/>
                <w:i w:val="0"/>
                <w:sz w:val="18"/>
              </w:rPr>
              <w:t>Definition</w:t>
            </w:r>
          </w:p>
        </w:tc>
      </w:tr>
      <w:tr>
        <w:tc>
          <w:tcPr>
            <w:tcW w:type="dxa" w:w="4110"/>
          </w:tcPr>
          <w:p>
            <w:pPr>
              <w:spacing w:before="20" w:after="20"/>
              <w:jc w:val="center"/>
            </w:pPr>
            <w:r/>
            <w:r>
              <w:rPr>
                <w:rFonts w:ascii="Times New Roman" w:hAnsi="Times New Roman"/>
                <w:b w:val="0"/>
                <w:i w:val="0"/>
                <w:sz w:val="18"/>
              </w:rPr>
              <w:t>RV_i,t(h)</w:t>
            </w:r>
          </w:p>
        </w:tc>
        <w:tc>
          <w:tcPr>
            <w:tcW w:type="dxa" w:w="4110"/>
          </w:tcPr>
          <w:p>
            <w:pPr>
              <w:spacing w:before="20" w:after="20"/>
              <w:jc w:val="center"/>
            </w:pPr>
            <w:r/>
            <w:r>
              <w:rPr>
                <w:rFonts w:ascii="Times New Roman" w:hAnsi="Times New Roman"/>
                <w:b w:val="0"/>
                <w:i w:val="0"/>
                <w:sz w:val="18"/>
              </w:rPr>
              <w:t>Forward RV of asset i, h trading days ahead (annualized)</w:t>
            </w:r>
          </w:p>
        </w:tc>
      </w:tr>
      <w:tr>
        <w:tc>
          <w:tcPr>
            <w:tcW w:type="dxa" w:w="4110"/>
          </w:tcPr>
          <w:p>
            <w:pPr>
              <w:spacing w:before="20" w:after="20"/>
              <w:jc w:val="center"/>
            </w:pPr>
            <w:r/>
            <w:r>
              <w:rPr>
                <w:rFonts w:ascii="Times New Roman" w:hAnsi="Times New Roman"/>
                <w:b w:val="0"/>
                <w:i w:val="0"/>
                <w:sz w:val="18"/>
              </w:rPr>
              <w:t>IV_t²</w:t>
            </w:r>
          </w:p>
        </w:tc>
        <w:tc>
          <w:tcPr>
            <w:tcW w:type="dxa" w:w="4110"/>
          </w:tcPr>
          <w:p>
            <w:pPr>
              <w:spacing w:before="20" w:after="20"/>
              <w:jc w:val="center"/>
            </w:pPr>
            <w:r/>
            <w:r>
              <w:rPr>
                <w:rFonts w:ascii="Times New Roman" w:hAnsi="Times New Roman"/>
                <w:b w:val="0"/>
                <w:i w:val="0"/>
                <w:sz w:val="18"/>
              </w:rPr>
              <w:t>Implied variance proxy, (VIX_t / 100)²</w:t>
            </w:r>
          </w:p>
        </w:tc>
      </w:tr>
      <w:tr>
        <w:tc>
          <w:tcPr>
            <w:tcW w:type="dxa" w:w="4110"/>
          </w:tcPr>
          <w:p>
            <w:pPr>
              <w:spacing w:before="20" w:after="20"/>
              <w:jc w:val="center"/>
            </w:pPr>
            <w:r/>
            <w:r>
              <w:rPr>
                <w:rFonts w:ascii="Times New Roman" w:hAnsi="Times New Roman"/>
                <w:b w:val="0"/>
                <w:i w:val="0"/>
                <w:sz w:val="18"/>
              </w:rPr>
              <w:t>VRP_i,t(h)</w:t>
            </w:r>
          </w:p>
        </w:tc>
        <w:tc>
          <w:tcPr>
            <w:tcW w:type="dxa" w:w="4110"/>
          </w:tcPr>
          <w:p>
            <w:pPr>
              <w:spacing w:before="20" w:after="20"/>
              <w:jc w:val="center"/>
            </w:pPr>
            <w:r/>
            <w:r>
              <w:rPr>
                <w:rFonts w:ascii="Times New Roman" w:hAnsi="Times New Roman"/>
                <w:b w:val="0"/>
                <w:i w:val="0"/>
                <w:sz w:val="18"/>
              </w:rPr>
              <w:t>Variance risk premium, IV_t² - RV_i,t(h)^hat</w:t>
            </w:r>
          </w:p>
        </w:tc>
      </w:tr>
      <w:tr>
        <w:tc>
          <w:tcPr>
            <w:tcW w:type="dxa" w:w="4110"/>
          </w:tcPr>
          <w:p>
            <w:pPr>
              <w:spacing w:before="20" w:after="20"/>
              <w:jc w:val="center"/>
            </w:pPr>
            <w:r/>
            <w:r>
              <w:rPr>
                <w:rFonts w:ascii="Times New Roman" w:hAnsi="Times New Roman"/>
                <w:b w:val="0"/>
                <w:i w:val="0"/>
                <w:sz w:val="18"/>
              </w:rPr>
              <w:t>h</w:t>
            </w:r>
          </w:p>
        </w:tc>
        <w:tc>
          <w:tcPr>
            <w:tcW w:type="dxa" w:w="4110"/>
          </w:tcPr>
          <w:p>
            <w:pPr>
              <w:spacing w:before="20" w:after="20"/>
              <w:jc w:val="center"/>
            </w:pPr>
            <w:r/>
            <w:r>
              <w:rPr>
                <w:rFonts w:ascii="Times New Roman" w:hAnsi="Times New Roman"/>
                <w:b w:val="0"/>
                <w:i w:val="0"/>
                <w:sz w:val="18"/>
              </w:rPr>
              <w:t>Forecast horizon (trading days), h ∈ {1,5,22,60,90,120,180,252}</w:t>
            </w:r>
          </w:p>
        </w:tc>
      </w:tr>
      <w:tr>
        <w:tc>
          <w:tcPr>
            <w:tcW w:type="dxa" w:w="4110"/>
          </w:tcPr>
          <w:p>
            <w:pPr>
              <w:spacing w:before="20" w:after="20"/>
              <w:jc w:val="center"/>
            </w:pPr>
            <w:r/>
            <w:r>
              <w:rPr>
                <w:rFonts w:ascii="Times New Roman" w:hAnsi="Times New Roman"/>
                <w:b w:val="0"/>
                <w:i w:val="0"/>
                <w:sz w:val="18"/>
              </w:rPr>
              <w:t>i</w:t>
            </w:r>
          </w:p>
        </w:tc>
        <w:tc>
          <w:tcPr>
            <w:tcW w:type="dxa" w:w="4110"/>
          </w:tcPr>
          <w:p>
            <w:pPr>
              <w:spacing w:before="20" w:after="20"/>
              <w:jc w:val="center"/>
            </w:pPr>
            <w:r/>
            <w:r>
              <w:rPr>
                <w:rFonts w:ascii="Times New Roman" w:hAnsi="Times New Roman"/>
                <w:b w:val="0"/>
                <w:i w:val="0"/>
                <w:sz w:val="18"/>
              </w:rPr>
              <w:t>Asset index (i=1,…,11; 11 ETFs)</w:t>
            </w:r>
          </w:p>
        </w:tc>
      </w:tr>
      <w:tr>
        <w:tc>
          <w:tcPr>
            <w:tcW w:type="dxa" w:w="4110"/>
          </w:tcPr>
          <w:p>
            <w:pPr>
              <w:spacing w:before="20" w:after="20"/>
              <w:jc w:val="center"/>
            </w:pPr>
            <w:r/>
            <w:r>
              <w:rPr>
                <w:rFonts w:ascii="Times New Roman" w:hAnsi="Times New Roman"/>
                <w:b w:val="0"/>
                <w:i w:val="0"/>
                <w:sz w:val="18"/>
              </w:rPr>
              <w:t>t</w:t>
            </w:r>
          </w:p>
        </w:tc>
        <w:tc>
          <w:tcPr>
            <w:tcW w:type="dxa" w:w="4110"/>
          </w:tcPr>
          <w:p>
            <w:pPr>
              <w:spacing w:before="20" w:after="20"/>
              <w:jc w:val="center"/>
            </w:pPr>
            <w:r/>
            <w:r>
              <w:rPr>
                <w:rFonts w:ascii="Times New Roman" w:hAnsi="Times New Roman"/>
                <w:b w:val="0"/>
                <w:i w:val="0"/>
                <w:sz w:val="18"/>
              </w:rPr>
              <w:t>Time index (trading day)</w:t>
            </w:r>
          </w:p>
        </w:tc>
      </w:tr>
      <w:tr>
        <w:tc>
          <w:tcPr>
            <w:tcW w:type="dxa" w:w="4110"/>
          </w:tcPr>
          <w:p>
            <w:pPr>
              <w:spacing w:before="20" w:after="20"/>
              <w:jc w:val="center"/>
            </w:pPr>
            <w:r/>
            <w:r>
              <w:rPr>
                <w:rFonts w:ascii="Times New Roman" w:hAnsi="Times New Roman"/>
                <w:b w:val="0"/>
                <w:i w:val="0"/>
                <w:sz w:val="18"/>
              </w:rPr>
              <w:t>r_t</w:t>
            </w:r>
          </w:p>
        </w:tc>
        <w:tc>
          <w:tcPr>
            <w:tcW w:type="dxa" w:w="4110"/>
          </w:tcPr>
          <w:p>
            <w:pPr>
              <w:spacing w:before="20" w:after="20"/>
              <w:jc w:val="center"/>
            </w:pPr>
            <w:r/>
            <w:r>
              <w:rPr>
                <w:rFonts w:ascii="Times New Roman" w:hAnsi="Times New Roman"/>
                <w:b w:val="0"/>
                <w:i w:val="0"/>
                <w:sz w:val="18"/>
              </w:rPr>
              <w:t>Daily log return, ln(P_t / P_(t-1))</w:t>
            </w:r>
          </w:p>
        </w:tc>
      </w:tr>
      <w:tr>
        <w:tc>
          <w:tcPr>
            <w:tcW w:type="dxa" w:w="4110"/>
          </w:tcPr>
          <w:p>
            <w:pPr>
              <w:spacing w:before="20" w:after="20"/>
              <w:jc w:val="center"/>
            </w:pPr>
            <w:r/>
            <w:r>
              <w:rPr>
                <w:rFonts w:ascii="Times New Roman" w:hAnsi="Times New Roman"/>
                <w:b w:val="0"/>
                <w:i w:val="0"/>
                <w:sz w:val="18"/>
              </w:rPr>
              <w:t>R-squared</w:t>
            </w:r>
          </w:p>
        </w:tc>
        <w:tc>
          <w:tcPr>
            <w:tcW w:type="dxa" w:w="4110"/>
          </w:tcPr>
          <w:p>
            <w:pPr>
              <w:spacing w:before="20" w:after="20"/>
              <w:jc w:val="center"/>
            </w:pPr>
            <w:r/>
            <w:r>
              <w:rPr>
                <w:rFonts w:ascii="Times New Roman" w:hAnsi="Times New Roman"/>
                <w:b w:val="0"/>
                <w:i w:val="0"/>
                <w:sz w:val="18"/>
              </w:rPr>
              <w:t>Pooled and median R-squared</w:t>
            </w:r>
          </w:p>
        </w:tc>
      </w:tr>
    </w:tbl>
    <w:p/>
    <w:p>
      <w:pPr>
        <w:spacing w:before="160" w:after="80" w:lineRule="auto" w:line="360"/>
        <w:jc w:val="left"/>
      </w:pPr>
      <w:r>
        <w:rPr>
          <w:rFonts w:ascii="Times New Roman" w:hAnsi="Times New Roman"/>
          <w:b/>
          <w:i w:val="0"/>
          <w:sz w:val="22"/>
        </w:rPr>
        <w:t>4) 피처 그룹 설계 개요</w:t>
      </w:r>
    </w:p>
    <w:p>
      <w:pPr>
        <w:spacing w:before="0" w:after="120" w:lineRule="auto" w:line="360"/>
        <w:ind w:firstLine="400"/>
        <w:jc w:val="both"/>
      </w:pPr>
      <w:r>
        <w:rPr>
          <w:rFonts w:ascii="Times New Roman" w:hAnsi="Times New Roman"/>
          <w:b w:val="0"/>
          <w:i w:val="0"/>
          <w:sz w:val="20"/>
        </w:rPr>
        <w:t>피처는 (i) HAR 기반 과거 시차 변수, (ii) 일별 가격 range 기반 변동성 추정량(HF Proxy), (iii) IV 기간구조 및 VRP 통계(IV Surface), (iv) 거래량 기반 대안 데이터로 구성된 다중 그룹을 사용하며, 총 35개 피처를 활용한다. 각 그룹의 피처 수는 HAR 기반 12개 + HF Proxy 7개 + IV Surface 10개 + Alternative 6개로 구성된다.</w:t>
      </w:r>
    </w:p>
    <w:p>
      <w:pPr>
        <w:spacing w:before="160" w:after="80" w:lineRule="auto" w:line="360"/>
        <w:jc w:val="left"/>
      </w:pPr>
      <w:r>
        <w:rPr>
          <w:rFonts w:ascii="Times New Roman" w:hAnsi="Times New Roman"/>
          <w:b/>
          <w:i w:val="0"/>
          <w:sz w:val="22"/>
        </w:rPr>
        <w:t>5) 대표 피처 수식 및 직관</w:t>
      </w:r>
    </w:p>
    <w:p>
      <w:pPr>
        <w:spacing w:before="0" w:after="120" w:lineRule="auto" w:line="360"/>
        <w:ind w:firstLine="400"/>
        <w:jc w:val="both"/>
      </w:pPr>
      <w:r>
        <w:rPr>
          <w:rFonts w:ascii="Times New Roman" w:hAnsi="Times New Roman"/>
          <w:b w:val="0"/>
          <w:i w:val="0"/>
          <w:sz w:val="20"/>
        </w:rPr>
        <w:t>HAR 기반 피처는 1·5·10·22거래일 지연 로그 RV, 변동성의 변동성(Vol-of-Vol), 변동성 모멘텀 등으로 구성된다. HF Proxy 피처는 Parkinson, Garman-Klass, Rogers-Satchell 등 range 기반 변동성 추정량으로, 고빈도 데이터의 정보를 일별 가격 범위로 근사한다. IV Surface 피처는 VIX 수준·변화율·기간구조 기울기, VIX3M, VIX9D, 과거 VRP 이동평균 등으로 구성된다. Alternative 피처는 Amihud 비유동성, 거래량 비율, 가격-거래량 상관, Kyle Lambda 등 시장 미시구조 기반 변수를 포함한다. 전체 피처 목록 및 정의는 부록 A에 수록했다.</w:t>
      </w:r>
    </w:p>
    <w:p>
      <w:pPr>
        <w:spacing w:before="0" w:after="120" w:lineRule="auto" w:line="360"/>
        <w:ind w:firstLine="400"/>
        <w:jc w:val="both"/>
      </w:pPr>
      <w:r>
        <w:rPr>
          <w:rFonts w:ascii="Times New Roman" w:hAnsi="Times New Roman"/>
          <w:b w:val="0"/>
          <w:i w:val="0"/>
          <w:sz w:val="20"/>
        </w:rPr>
        <w:t>IV Surface 그룹에는 IV_VRP와 IV_VRP_ma22가 포함되는데, 이는 과거 시점에서 관측된 VRP(IV - 과거RV)로서 미래 RV와 독립적이다. 구체적으로 IV_VRP = (VIX_t/100)</w:t>
      </w:r>
      <w:r>
        <w:rPr>
          <w:rFonts w:ascii="Times New Roman" w:hAnsi="Times New Roman"/>
          <w:b w:val="0"/>
          <w:i w:val="0"/>
          <w:sz w:val="20"/>
          <w:vertAlign w:val="superscript"/>
        </w:rPr>
        <w:t>2</w:t>
      </w:r>
      <w:r>
        <w:rPr>
          <w:rFonts w:ascii="Times New Roman" w:hAnsi="Times New Roman"/>
          <w:b w:val="0"/>
          <w:i w:val="0"/>
          <w:sz w:val="20"/>
        </w:rPr>
        <w:t xml:space="preserve"> − RV_SPY,[t-22,t-1]로 정의되며, 여기서 RV_SPY,[t-22,t-1]는 t-1까지의 직전 22거래일 SPY 실현분산이다. 이 변수는 예측 대상인 전방 RV와 시점이 겹치지 않아 타깃 누출(target leakage)이 발생하지 않는다. 초기 설계에서는 GARCH(1,1) 기반 피처 2개를 포함한 37개 피처를 검토하였으나, GARCH 피처가 Ridge의 내부 검증 기반 정규화 강도 선택을 왜곡하여 22거래일 Pooled R</w:t>
      </w:r>
      <w:r>
        <w:rPr>
          <w:rFonts w:ascii="Times New Roman" w:hAnsi="Times New Roman"/>
          <w:b w:val="0"/>
          <w:i w:val="0"/>
          <w:sz w:val="20"/>
          <w:vertAlign w:val="superscript"/>
        </w:rPr>
        <w:t>2</w:t>
      </w:r>
      <w:r>
        <w:rPr>
          <w:rFonts w:ascii="Times New Roman" w:hAnsi="Times New Roman"/>
          <w:b w:val="0"/>
          <w:i w:val="0"/>
          <w:sz w:val="20"/>
        </w:rPr>
        <w:t>를 약 0.006 하락시키는 것이 확인되어 최종 피처세트에서 제외했다.</w:t>
      </w:r>
    </w:p>
    <w:p>
      <w:pPr>
        <w:spacing w:before="0" w:after="120" w:lineRule="auto" w:line="360"/>
        <w:ind w:firstLine="400"/>
        <w:jc w:val="both"/>
      </w:pPr>
      <w:r>
        <w:rPr>
          <w:rFonts w:ascii="Times New Roman" w:hAnsi="Times New Roman"/>
          <w:b w:val="0"/>
          <w:i w:val="0"/>
          <w:sz w:val="20"/>
        </w:rPr>
        <w:t>피처 간 스케일 차이를 줄이기 위해 Z-score 표준화(평균 0, 표준편차 1)를 적용했으며, 스케일링 파라미터(평균·표준편차)는 학습 구간에서만 추정하고 이를 테스트 구간에 적용함으로써 정보 누출이 발생하지 않도록 했다. 데이터 전처리 및 피처 생성의 전체 의사코드는 부록 D를 참조한다.</w:t>
      </w:r>
    </w:p>
    <w:p>
      <w:pPr>
        <w:spacing w:before="240" w:after="120" w:lineRule="auto" w:line="360"/>
        <w:jc w:val="left"/>
      </w:pPr>
      <w:r>
        <w:rPr>
          <w:rFonts w:ascii="Times New Roman" w:hAnsi="Times New Roman"/>
          <w:b/>
          <w:i w:val="0"/>
          <w:sz w:val="24"/>
        </w:rPr>
        <w:t>4. 예측 문제 설정 및 데이터 구성</w:t>
      </w:r>
    </w:p>
    <w:p>
      <w:pPr>
        <w:spacing w:before="160" w:after="80" w:lineRule="auto" w:line="360"/>
        <w:jc w:val="left"/>
      </w:pPr>
      <w:r>
        <w:rPr>
          <w:rFonts w:ascii="Times New Roman" w:hAnsi="Times New Roman"/>
          <w:b/>
          <w:i w:val="0"/>
          <w:sz w:val="22"/>
        </w:rPr>
        <w:t>1) 패널 구조와 타깃 정의</w:t>
      </w:r>
    </w:p>
    <w:p>
      <w:pPr>
        <w:spacing w:before="0" w:after="120" w:lineRule="auto" w:line="360"/>
        <w:ind w:firstLine="400"/>
        <w:jc w:val="both"/>
      </w:pPr>
      <w:r>
        <w:rPr>
          <w:rFonts w:ascii="Times New Roman" w:hAnsi="Times New Roman"/>
          <w:b w:val="0"/>
          <w:i w:val="0"/>
          <w:sz w:val="20"/>
        </w:rPr>
        <w:t>본 연구의 데이터는 여러 자산을 여러 시점에 걸쳐 함께 관측한 날짜 × 자산 구조로 구성된다. 각 날짜 t에서 피처는 t-1까지의 정보로 계산하고, 타깃은 [t+1, t+h] 구간에서 계산된 전방 실현분산이다. 따라서 각 기간 h에 대해 표본의 끝부분 h일은 타깃을 계산할 수 없으므로 학습과 평가에서 제외된다.</w:t>
      </w:r>
    </w:p>
    <w:p>
      <w:pPr>
        <w:spacing w:before="160" w:after="80" w:lineRule="auto" w:line="360"/>
        <w:jc w:val="left"/>
      </w:pPr>
      <w:r>
        <w:rPr>
          <w:rFonts w:ascii="Times New Roman" w:hAnsi="Times New Roman"/>
          <w:b/>
          <w:i w:val="0"/>
          <w:sz w:val="22"/>
        </w:rPr>
        <w:t>2) 학습/검증/테스트 분할 및 purge gap</w:t>
      </w:r>
    </w:p>
    <w:p>
      <w:pPr>
        <w:spacing w:before="0" w:after="120" w:lineRule="auto" w:line="360"/>
        <w:ind w:firstLine="400"/>
        <w:jc w:val="both"/>
      </w:pPr>
      <w:r>
        <w:rPr>
          <w:rFonts w:ascii="Times New Roman" w:hAnsi="Times New Roman"/>
          <w:b w:val="0"/>
          <w:i w:val="0"/>
          <w:sz w:val="20"/>
        </w:rPr>
        <w:t>시계열 데이터의 시간적 선후 관계를 엄격히 보존하기 위해 전체 표본을 날짜순으로 정렬한 뒤, 전반부 80%를 모델 학습에, 후반부 20%를 성과 평가에 배정한다. 예측 타깃은 [t+1, t+h] 구간을 사용하므로, 인접 관측치 간 타깃 기간 중첩이 필연적으로 존재한다. 이를 방지하기 위해 학습-테스트 분할 경계에 purge gap = h를 적용한다</w:t>
      </w:r>
      <w:r>
        <w:rPr>
          <w:rFonts w:ascii="Times New Roman" w:hAnsi="Times New Roman"/>
          <w:b w:val="0"/>
          <w:i w:val="0"/>
          <w:sz w:val="20"/>
          <w:vertAlign w:val="superscript"/>
        </w:rPr>
        <w:t>18</w:t>
      </w:r>
      <w:r>
        <w:rPr>
          <w:rFonts w:ascii="Times New Roman" w:hAnsi="Times New Roman"/>
          <w:b w:val="0"/>
          <w:i w:val="0"/>
          <w:sz w:val="20"/>
        </w:rPr>
        <w:t>. 하이퍼파라미터 튜닝은 테스트세트 정보 없이 수행하기 위해 학습세트 내부를 다시 80/20으로 분할한 내부 검증(inner holdout) 구조를 사용하며, 이 내부 분할에도 동일하게 purge gap = h를 적용한다. 주식·채권·원자재 자산군은 변동성 수준과 VIX 민감도가 이질적이므로, 자산군별로 하이퍼파라미터 탐색과 최종 모델 피팅을 독립적으로 수행한다.</w:t>
      </w:r>
    </w:p>
    <w:p>
      <w:pPr>
        <w:spacing w:before="240" w:after="120" w:lineRule="auto" w:line="360"/>
        <w:jc w:val="left"/>
      </w:pPr>
      <w:r>
        <w:rPr>
          <w:rFonts w:ascii="Times New Roman" w:hAnsi="Times New Roman"/>
          <w:b/>
          <w:i w:val="0"/>
          <w:sz w:val="24"/>
        </w:rPr>
        <w:t>5. 예측 모형군 정의</w:t>
      </w:r>
    </w:p>
    <w:p>
      <w:pPr>
        <w:spacing w:before="160" w:after="80" w:lineRule="auto" w:line="360"/>
        <w:jc w:val="left"/>
      </w:pPr>
      <w:r>
        <w:rPr>
          <w:rFonts w:ascii="Times New Roman" w:hAnsi="Times New Roman"/>
          <w:b/>
          <w:i w:val="0"/>
          <w:sz w:val="22"/>
        </w:rPr>
        <w:t>1) 벤치마크 모형</w:t>
      </w:r>
    </w:p>
    <w:p>
      <w:pPr>
        <w:spacing w:before="0" w:after="120" w:lineRule="auto" w:line="360"/>
        <w:ind w:firstLine="400"/>
        <w:jc w:val="both"/>
      </w:pPr>
      <w:r>
        <w:rPr>
          <w:rFonts w:ascii="Times New Roman" w:hAnsi="Times New Roman"/>
          <w:b w:val="0"/>
          <w:i w:val="0"/>
          <w:sz w:val="20"/>
        </w:rPr>
        <w:t>HAR-3는 Corsi</w:t>
      </w:r>
      <w:r>
        <w:rPr>
          <w:rFonts w:ascii="Times New Roman" w:hAnsi="Times New Roman"/>
          <w:b w:val="0"/>
          <w:i w:val="0"/>
          <w:sz w:val="20"/>
          <w:vertAlign w:val="superscript"/>
        </w:rPr>
        <w:t>1</w:t>
      </w:r>
      <w:r>
        <w:rPr>
          <w:rFonts w:ascii="Times New Roman" w:hAnsi="Times New Roman"/>
          <w:b w:val="0"/>
          <w:i w:val="0"/>
          <w:sz w:val="20"/>
        </w:rPr>
        <w:t>의 HAR-RV 모형을 기반으로 일·주·월 지연 RV(LogRV_lag1, LogRV_lag5, LogRV_lag22) 3개 피처만을 사용하는 OLS 선형 회귀이다. NaiveRV는 h거래일 이동평균 과거 실현분산을 예측치로 사용하는 단순 예측이며, GARCH(1,1)은 표준 GARCH 다단계 예측 절차에 따라 각 자산의 학습세트에서 모수를 추정한 후 조건부 분산을 순차적으로 갱신한다. IV-only는 VIX 계열 10개 피처만을 사용한 Ridge 회귀이다.</w:t>
      </w:r>
    </w:p>
    <w:p>
      <w:pPr>
        <w:spacing w:before="160" w:after="80" w:lineRule="auto" w:line="360"/>
        <w:jc w:val="left"/>
      </w:pPr>
      <w:r>
        <w:rPr>
          <w:rFonts w:ascii="Times New Roman" w:hAnsi="Times New Roman"/>
          <w:b/>
          <w:i w:val="0"/>
          <w:sz w:val="22"/>
        </w:rPr>
        <w:t>2) 선형 모형</w:t>
      </w:r>
    </w:p>
    <w:p>
      <w:pPr>
        <w:spacing w:before="0" w:after="120" w:lineRule="auto" w:line="360"/>
        <w:ind w:firstLine="400"/>
        <w:jc w:val="both"/>
      </w:pPr>
      <w:r>
        <w:rPr>
          <w:rFonts w:ascii="Times New Roman" w:hAnsi="Times New Roman"/>
          <w:b w:val="0"/>
          <w:i w:val="0"/>
          <w:sz w:val="20"/>
        </w:rPr>
        <w:t>Ridge, Lasso, ElasticNet을 포함한다. 정규화 이론적 배경은 Ⅱ장 5절 1)항을 참조하며, 본 연구에서는 35개 피처 간 높은 상관관계와 다중공선성을 완화하고 고차원 피처 환경에서 안정적인 예측을 확보하기 위해 이들 모형을 채택했다. 최적 하이퍼파라미터는 자산군별 내부 검증 기준으로 선정하며, 탐색 범위 상세는 부록 B를 참조한다.</w:t>
      </w:r>
    </w:p>
    <w:p>
      <w:pPr>
        <w:spacing w:before="160" w:after="80" w:lineRule="auto" w:line="360"/>
        <w:jc w:val="left"/>
      </w:pPr>
      <w:r>
        <w:rPr>
          <w:rFonts w:ascii="Times New Roman" w:hAnsi="Times New Roman"/>
          <w:b/>
          <w:i w:val="0"/>
          <w:sz w:val="22"/>
        </w:rPr>
        <w:t>3) 트리·부스팅 모형</w:t>
      </w:r>
    </w:p>
    <w:p>
      <w:pPr>
        <w:spacing w:before="0" w:after="120" w:lineRule="auto" w:line="360"/>
        <w:ind w:firstLine="400"/>
        <w:jc w:val="both"/>
      </w:pPr>
      <w:r>
        <w:rPr>
          <w:rFonts w:ascii="Times New Roman" w:hAnsi="Times New Roman"/>
          <w:b w:val="0"/>
          <w:i w:val="0"/>
          <w:sz w:val="20"/>
        </w:rPr>
        <w:t>Random Forest, XGBoost, LightGBM을 포함한다. 35개 피처 기반 비교군으로 포함되어 기간별 성능을 비교한다. HAR 기반 피처에 시계열 lag·rolling window가 내재되어 있으므로, XGBoost는 별도 시계열 아키텍처 없이도 시계열 정보를 활용하는 크로스-섹션 회귀 모델로 작동한다.</w:t>
      </w:r>
    </w:p>
    <w:p>
      <w:pPr>
        <w:spacing w:before="160" w:after="80" w:lineRule="auto" w:line="360"/>
        <w:jc w:val="left"/>
      </w:pPr>
      <w:r>
        <w:rPr>
          <w:rFonts w:ascii="Times New Roman" w:hAnsi="Times New Roman"/>
          <w:b/>
          <w:i w:val="0"/>
          <w:sz w:val="22"/>
        </w:rPr>
        <w:t>4) 신경망 모형</w:t>
      </w:r>
    </w:p>
    <w:p>
      <w:pPr>
        <w:spacing w:before="0" w:after="120" w:lineRule="auto" w:line="360"/>
        <w:ind w:firstLine="400"/>
        <w:jc w:val="both"/>
      </w:pPr>
      <w:r>
        <w:rPr>
          <w:rFonts w:ascii="Times New Roman" w:hAnsi="Times New Roman"/>
          <w:b w:val="0"/>
          <w:i w:val="0"/>
          <w:sz w:val="20"/>
        </w:rPr>
        <w:t>MLP와 BiLSTM-A(Bi-LSTM + Temporal Attention)를 포함한다. BiLSTM-A는 35개 전체 피처를 입력으로 사용하며, 과거 약 1개월에 해당하는 22거래일을 입력 시퀀스 길이로 설정했다. Temporal Attention은 가산적(additive) 방식으로 시퀀스 내 각 시점에 중요도 가중치를 부여한다. 재현성을 위해 단일 시드 42를 고정한다. 전체 모형 구성은 표 3에 정리했다.</w:t>
      </w:r>
    </w:p>
    <w:p>
      <w:pPr>
        <w:spacing w:before="60" w:after="60" w:lineRule="auto" w:line="288"/>
        <w:jc w:val="center"/>
      </w:pPr>
      <w:r>
        <w:rPr>
          <w:rFonts w:ascii="Times New Roman" w:hAnsi="Times New Roman"/>
          <w:b w:val="0"/>
          <w:i w:val="0"/>
          <w:sz w:val="20"/>
        </w:rPr>
        <w:t>표 3. 모델 구성  /  Table 3. Model Group</w:t>
      </w:r>
    </w:p>
    <w:tbl>
      <w:tblPr>
        <w:tblStyle w:val="TableGrid"/>
        <w:tblW w:type="auto" w:w="0"/>
        <w:jc w:val="center"/>
        <w:tblLook w:firstColumn="1" w:firstRow="1" w:lastColumn="0" w:lastRow="0" w:noHBand="0" w:noVBand="1" w:val="04A0"/>
      </w:tblPr>
      <w:tblGrid>
        <w:gridCol w:w="4110"/>
        <w:gridCol w:w="4110"/>
      </w:tblGrid>
      <w:tr>
        <w:tc>
          <w:tcPr>
            <w:tcW w:type="dxa" w:w="4110"/>
          </w:tcPr>
          <w:p>
            <w:pPr>
              <w:spacing w:before="20" w:after="20"/>
              <w:jc w:val="center"/>
            </w:pPr>
            <w:r/>
            <w:r>
              <w:rPr>
                <w:rFonts w:ascii="Times New Roman" w:hAnsi="Times New Roman"/>
                <w:b/>
                <w:i w:val="0"/>
                <w:sz w:val="18"/>
              </w:rPr>
              <w:t>Group</w:t>
            </w:r>
          </w:p>
        </w:tc>
        <w:tc>
          <w:tcPr>
            <w:tcW w:type="dxa" w:w="4110"/>
          </w:tcPr>
          <w:p>
            <w:pPr>
              <w:spacing w:before="20" w:after="20"/>
              <w:jc w:val="center"/>
            </w:pPr>
            <w:r/>
            <w:r>
              <w:rPr>
                <w:rFonts w:ascii="Times New Roman" w:hAnsi="Times New Roman"/>
                <w:b/>
                <w:i w:val="0"/>
                <w:sz w:val="18"/>
              </w:rPr>
              <w:t>Model</w:t>
            </w:r>
          </w:p>
        </w:tc>
      </w:tr>
      <w:tr>
        <w:tc>
          <w:tcPr>
            <w:tcW w:type="dxa" w:w="4110"/>
          </w:tcPr>
          <w:p>
            <w:pPr>
              <w:spacing w:before="20" w:after="20"/>
              <w:jc w:val="center"/>
            </w:pPr>
            <w:r/>
            <w:r>
              <w:rPr>
                <w:rFonts w:ascii="Times New Roman" w:hAnsi="Times New Roman"/>
                <w:b w:val="0"/>
                <w:i w:val="0"/>
                <w:sz w:val="18"/>
              </w:rPr>
              <w:t>Benchmark</w:t>
            </w:r>
          </w:p>
        </w:tc>
        <w:tc>
          <w:tcPr>
            <w:tcW w:type="dxa" w:w="4110"/>
          </w:tcPr>
          <w:p>
            <w:pPr>
              <w:spacing w:before="20" w:after="20"/>
              <w:jc w:val="center"/>
            </w:pPr>
            <w:r/>
            <w:r>
              <w:rPr>
                <w:rFonts w:ascii="Times New Roman" w:hAnsi="Times New Roman"/>
                <w:b w:val="0"/>
                <w:i w:val="0"/>
                <w:sz w:val="18"/>
              </w:rPr>
              <w:t>NaiveRV, GARCH(1,1), IV-only, HAR-3</w:t>
            </w:r>
          </w:p>
        </w:tc>
      </w:tr>
      <w:tr>
        <w:tc>
          <w:tcPr>
            <w:tcW w:type="dxa" w:w="4110"/>
          </w:tcPr>
          <w:p>
            <w:pPr>
              <w:spacing w:before="20" w:after="20"/>
              <w:jc w:val="center"/>
            </w:pPr>
            <w:r/>
            <w:r>
              <w:rPr>
                <w:rFonts w:ascii="Times New Roman" w:hAnsi="Times New Roman"/>
                <w:b w:val="0"/>
                <w:i w:val="0"/>
                <w:sz w:val="18"/>
              </w:rPr>
              <w:t>Linear</w:t>
            </w:r>
          </w:p>
        </w:tc>
        <w:tc>
          <w:tcPr>
            <w:tcW w:type="dxa" w:w="4110"/>
          </w:tcPr>
          <w:p>
            <w:pPr>
              <w:spacing w:before="20" w:after="20"/>
              <w:jc w:val="center"/>
            </w:pPr>
            <w:r/>
            <w:r>
              <w:rPr>
                <w:rFonts w:ascii="Times New Roman" w:hAnsi="Times New Roman"/>
                <w:b w:val="0"/>
                <w:i w:val="0"/>
                <w:sz w:val="18"/>
              </w:rPr>
              <w:t>Ridge, Lasso, ElasticNet</w:t>
            </w:r>
          </w:p>
        </w:tc>
      </w:tr>
      <w:tr>
        <w:tc>
          <w:tcPr>
            <w:tcW w:type="dxa" w:w="4110"/>
          </w:tcPr>
          <w:p>
            <w:pPr>
              <w:spacing w:before="20" w:after="20"/>
              <w:jc w:val="center"/>
            </w:pPr>
            <w:r/>
            <w:r>
              <w:rPr>
                <w:rFonts w:ascii="Times New Roman" w:hAnsi="Times New Roman"/>
                <w:b w:val="0"/>
                <w:i w:val="0"/>
                <w:sz w:val="18"/>
              </w:rPr>
              <w:t>Tree</w:t>
            </w:r>
          </w:p>
        </w:tc>
        <w:tc>
          <w:tcPr>
            <w:tcW w:type="dxa" w:w="4110"/>
          </w:tcPr>
          <w:p>
            <w:pPr>
              <w:spacing w:before="20" w:after="20"/>
              <w:jc w:val="center"/>
            </w:pPr>
            <w:r/>
            <w:r>
              <w:rPr>
                <w:rFonts w:ascii="Times New Roman" w:hAnsi="Times New Roman"/>
                <w:b w:val="0"/>
                <w:i w:val="0"/>
                <w:sz w:val="18"/>
              </w:rPr>
              <w:t>Random Forest, XGBoost, LightGBM</w:t>
            </w:r>
          </w:p>
        </w:tc>
      </w:tr>
      <w:tr>
        <w:tc>
          <w:tcPr>
            <w:tcW w:type="dxa" w:w="4110"/>
          </w:tcPr>
          <w:p>
            <w:pPr>
              <w:spacing w:before="20" w:after="20"/>
              <w:jc w:val="center"/>
            </w:pPr>
            <w:r/>
            <w:r>
              <w:rPr>
                <w:rFonts w:ascii="Times New Roman" w:hAnsi="Times New Roman"/>
                <w:b w:val="0"/>
                <w:i w:val="0"/>
                <w:sz w:val="18"/>
              </w:rPr>
              <w:t>Neural Network</w:t>
            </w:r>
          </w:p>
        </w:tc>
        <w:tc>
          <w:tcPr>
            <w:tcW w:type="dxa" w:w="4110"/>
          </w:tcPr>
          <w:p>
            <w:pPr>
              <w:spacing w:before="20" w:after="20"/>
              <w:jc w:val="center"/>
            </w:pPr>
            <w:r/>
            <w:r>
              <w:rPr>
                <w:rFonts w:ascii="Times New Roman" w:hAnsi="Times New Roman"/>
                <w:b w:val="0"/>
                <w:i w:val="0"/>
                <w:sz w:val="18"/>
              </w:rPr>
              <w:t>MLP, BiLSTM-A (Bi-LSTM + Temporal Attention)</w:t>
            </w:r>
          </w:p>
        </w:tc>
      </w:tr>
      <w:tr>
        <w:tc>
          <w:tcPr>
            <w:tcW w:type="dxa" w:w="4110"/>
          </w:tcPr>
          <w:p>
            <w:pPr>
              <w:spacing w:before="20" w:after="20"/>
              <w:jc w:val="center"/>
            </w:pPr>
            <w:r/>
            <w:r>
              <w:rPr>
                <w:rFonts w:ascii="Times New Roman" w:hAnsi="Times New Roman"/>
                <w:b w:val="0"/>
                <w:i w:val="0"/>
                <w:sz w:val="18"/>
              </w:rPr>
              <w:t>Ensemble</w:t>
            </w:r>
          </w:p>
        </w:tc>
        <w:tc>
          <w:tcPr>
            <w:tcW w:type="dxa" w:w="4110"/>
          </w:tcPr>
          <w:p>
            <w:pPr>
              <w:spacing w:before="20" w:after="20"/>
              <w:jc w:val="center"/>
            </w:pPr>
            <w:r/>
            <w:r>
              <w:rPr>
                <w:rFonts w:ascii="Times New Roman" w:hAnsi="Times New Roman"/>
                <w:b w:val="0"/>
                <w:i w:val="0"/>
                <w:sz w:val="18"/>
              </w:rPr>
              <w:t>WEns (Ridge + XGBoost)</w:t>
            </w:r>
          </w:p>
        </w:tc>
      </w:tr>
    </w:tbl>
    <w:p/>
    <w:p>
      <w:pPr>
        <w:spacing w:before="240" w:after="120" w:lineRule="auto" w:line="360"/>
        <w:jc w:val="left"/>
      </w:pPr>
      <w:r>
        <w:rPr>
          <w:rFonts w:ascii="Times New Roman" w:hAnsi="Times New Roman"/>
          <w:b/>
          <w:i w:val="0"/>
          <w:sz w:val="24"/>
        </w:rPr>
        <w:t>6. WEns 가중 앙상블 알고리즘</w:t>
      </w:r>
    </w:p>
    <w:p>
      <w:pPr>
        <w:spacing w:before="160" w:after="80" w:lineRule="auto" w:line="360"/>
        <w:jc w:val="left"/>
      </w:pPr>
      <w:r>
        <w:rPr>
          <w:rFonts w:ascii="Times New Roman" w:hAnsi="Times New Roman"/>
          <w:b/>
          <w:i w:val="0"/>
          <w:sz w:val="22"/>
        </w:rPr>
        <w:t>1) WEns 구조 정의</w:t>
      </w:r>
    </w:p>
    <w:p>
      <w:pPr>
        <w:spacing w:before="0" w:after="120" w:lineRule="auto" w:line="360"/>
        <w:ind w:firstLine="400"/>
        <w:jc w:val="both"/>
      </w:pPr>
      <w:r>
        <w:rPr>
          <w:rFonts w:ascii="Times New Roman" w:hAnsi="Times New Roman"/>
          <w:b w:val="0"/>
          <w:i w:val="0"/>
          <w:sz w:val="20"/>
        </w:rPr>
        <w:t>본 연구는 Ridge와 XGBoost를 결합한 가중 앙상블(WEns)을 제안한다.</w:t>
      </w:r>
    </w:p>
    <w:p>
      <w:pPr>
        <w:spacing w:before="0" w:after="120" w:lineRule="auto" w:line="360"/>
        <w:ind w:firstLine="400"/>
        <w:jc w:val="both"/>
      </w:pPr>
      <w:r>
        <w:rPr>
          <w:rFonts w:ascii="Times New Roman" w:hAnsi="Times New Roman"/>
          <w:b w:val="0"/>
          <w:i w:val="0"/>
          <w:sz w:val="20"/>
        </w:rPr>
        <w:t>y_hat_WEns = pw × y_hat_Ridge + (1 - pw) × y_hat_XGBoost</w:t>
      </w:r>
    </w:p>
    <w:p>
      <w:pPr>
        <w:spacing w:before="160" w:after="80" w:lineRule="auto" w:line="360"/>
        <w:jc w:val="left"/>
      </w:pPr>
      <w:r>
        <w:rPr>
          <w:rFonts w:ascii="Times New Roman" w:hAnsi="Times New Roman"/>
          <w:b/>
          <w:i w:val="0"/>
          <w:sz w:val="22"/>
        </w:rPr>
        <w:t>2) 내부 검증 기반 가중치 선택 절차</w:t>
      </w:r>
    </w:p>
    <w:p>
      <w:pPr>
        <w:spacing w:before="0" w:after="120" w:lineRule="auto" w:line="360"/>
        <w:ind w:firstLine="400"/>
        <w:jc w:val="both"/>
      </w:pPr>
      <w:r>
        <w:rPr>
          <w:rFonts w:ascii="Times New Roman" w:hAnsi="Times New Roman"/>
          <w:b w:val="0"/>
          <w:i w:val="0"/>
          <w:sz w:val="20"/>
        </w:rPr>
        <w:t>Ridge는 다중공선성에 상대적으로 강하고 선형적 구조를 안정적으로 포착하는 장점이 있으며, XGBoost는 비선형 상호작용을 보정하는 역할을 수행한다. 가중치 pw는 고정 값이 아니라 예측 기간별 내부 검증셋(inner holdout)의 R</w:t>
      </w:r>
      <w:r>
        <w:rPr>
          <w:rFonts w:ascii="Times New Roman" w:hAnsi="Times New Roman"/>
          <w:b w:val="0"/>
          <w:i w:val="0"/>
          <w:sz w:val="20"/>
          <w:vertAlign w:val="superscript"/>
        </w:rPr>
        <w:t>2</w:t>
      </w:r>
      <w:r>
        <w:rPr>
          <w:rFonts w:ascii="Times New Roman" w:hAnsi="Times New Roman"/>
          <w:b w:val="0"/>
          <w:i w:val="0"/>
          <w:sz w:val="20"/>
        </w:rPr>
        <w:t xml:space="preserve"> 최대화를 통해 선택된다. 구체적으로 pw ∈ {0.4, 0.5, 0.6, 0.7, 0.8, 0.9} 중 내부 검증 성능이 가장 높은 값을 채택하며, 이 과정에서 테스트셋 정보는 일절 사용하지 않는다. 탐색 범위를 [0.4, 0.9]로 설정한 이유는 다음과 같다. pw &lt; 0.4이면 XGBoost가 지나치게 지배적이 되어 선형 구조의 안정성 확보라는 WEns 설계 취지에서 벗어나고, pw = 1.0(Ridge 단독)은 별도 모형 결과와 동일하여 앙상블로서의 의미가 없다. 0.1 간격의 6개 격자는 inner holdout 기반 단순 탐색에 충분한 해상도를 제공한다.</w:t>
      </w:r>
    </w:p>
    <w:p>
      <w:pPr>
        <w:spacing w:before="160" w:after="80" w:lineRule="auto" w:line="360"/>
        <w:jc w:val="left"/>
      </w:pPr>
      <w:r>
        <w:rPr>
          <w:rFonts w:ascii="Times New Roman" w:hAnsi="Times New Roman"/>
          <w:b/>
          <w:i w:val="0"/>
          <w:sz w:val="22"/>
        </w:rPr>
        <w:t>3) WEns의 역할 분담과 직관</w:t>
      </w:r>
    </w:p>
    <w:p>
      <w:pPr>
        <w:spacing w:before="0" w:after="120" w:lineRule="auto" w:line="360"/>
        <w:ind w:firstLine="400"/>
        <w:jc w:val="both"/>
      </w:pPr>
      <w:r>
        <w:rPr>
          <w:rFonts w:ascii="Times New Roman" w:hAnsi="Times New Roman"/>
          <w:b w:val="0"/>
          <w:i w:val="0"/>
          <w:sz w:val="20"/>
        </w:rPr>
        <w:t>예를 들어 22거래일 기간에서는 pw = 0.8이 선택되었고, 60거래일에서는 pw = 0.5로 기간에 따라 최적 가중치가 달라진다. 이러한 기간별 adaptive 가중치 설계는 단일 고정 가중치 대비 과적합 위험을 줄이면서 각 기간의 예측 구조를 보다 잘 반영할 수 있다. WEns의 전체 학습 및 예측 흐름은 그림 2에 요약했다.</w:t>
      </w:r>
    </w:p>
    <w:p>
      <w:pPr>
        <w:spacing w:before="120" w:after="60" w:lineRule="auto" w:line="288"/>
        <w:jc w:val="center"/>
      </w:pPr>
      <w:r>
        <w:rPr>
          <w:rFonts w:ascii="Times New Roman" w:hAnsi="Times New Roman"/>
          <w:b w:val="0"/>
          <w:i/>
          <w:sz w:val="20"/>
        </w:rPr>
        <w:t>[이미지 삽입 위치]</w:t>
      </w:r>
    </w:p>
    <w:p>
      <w:pPr>
        <w:spacing w:before="60" w:after="60" w:lineRule="auto" w:line="288"/>
        <w:jc w:val="center"/>
      </w:pPr>
      <w:r>
        <w:rPr>
          <w:rFonts w:ascii="Times New Roman" w:hAnsi="Times New Roman"/>
          <w:b w:val="0"/>
          <w:i w:val="0"/>
          <w:sz w:val="20"/>
        </w:rPr>
        <w:t>그림 2. WEns 모델의 전체 흐름  /  Fig. 2. Overall Workflow of the WEns Model</w:t>
      </w:r>
    </w:p>
    <w:p>
      <w:pPr>
        <w:spacing w:before="240" w:after="120" w:lineRule="auto" w:line="360"/>
        <w:jc w:val="left"/>
      </w:pPr>
      <w:r>
        <w:rPr>
          <w:rFonts w:ascii="Times New Roman" w:hAnsi="Times New Roman"/>
          <w:b/>
          <w:i w:val="0"/>
          <w:sz w:val="24"/>
        </w:rPr>
        <w:t>7. 하이퍼파라미터 탐색 및 학습 절차</w:t>
      </w:r>
    </w:p>
    <w:p>
      <w:pPr>
        <w:spacing w:before="160" w:after="80" w:lineRule="auto" w:line="360"/>
        <w:jc w:val="left"/>
      </w:pPr>
      <w:r>
        <w:rPr>
          <w:rFonts w:ascii="Times New Roman" w:hAnsi="Times New Roman"/>
          <w:b/>
          <w:i w:val="0"/>
          <w:sz w:val="22"/>
        </w:rPr>
        <w:t>1) 모형별 하이퍼파라미터 탐색 공간</w:t>
      </w:r>
    </w:p>
    <w:p>
      <w:pPr>
        <w:spacing w:before="0" w:after="120" w:lineRule="auto" w:line="360"/>
        <w:ind w:firstLine="400"/>
        <w:jc w:val="both"/>
      </w:pPr>
      <w:r>
        <w:rPr>
          <w:rFonts w:ascii="Times New Roman" w:hAnsi="Times New Roman"/>
          <w:b w:val="0"/>
          <w:i w:val="0"/>
          <w:sz w:val="20"/>
        </w:rPr>
        <w:t>주요 모형의 하이퍼파라미터 탐색 공간은 표 4에 정리했으며, 전체 상세는 부록 B를 참조한다.</w:t>
      </w:r>
    </w:p>
    <w:p>
      <w:pPr>
        <w:spacing w:before="60" w:after="60" w:lineRule="auto" w:line="288"/>
        <w:jc w:val="center"/>
      </w:pPr>
      <w:r>
        <w:rPr>
          <w:rFonts w:ascii="Times New Roman" w:hAnsi="Times New Roman"/>
          <w:b w:val="0"/>
          <w:i w:val="0"/>
          <w:sz w:val="20"/>
        </w:rPr>
        <w:t>표 4. 모델별 하이퍼파라미터 탐색 범위  /  Table 4. Hyperparameter Search Space By Model</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pPr>
              <w:spacing w:before="20" w:after="20"/>
              <w:jc w:val="center"/>
            </w:pPr>
            <w:r/>
            <w:r>
              <w:rPr>
                <w:rFonts w:ascii="Times New Roman" w:hAnsi="Times New Roman"/>
                <w:b/>
                <w:i w:val="0"/>
                <w:sz w:val="18"/>
              </w:rPr>
              <w:t>Model</w:t>
            </w:r>
          </w:p>
        </w:tc>
        <w:tc>
          <w:tcPr>
            <w:tcW w:type="dxa" w:w="2740"/>
          </w:tcPr>
          <w:p>
            <w:pPr>
              <w:spacing w:before="20" w:after="20"/>
              <w:jc w:val="center"/>
            </w:pPr>
            <w:r/>
            <w:r>
              <w:rPr>
                <w:rFonts w:ascii="Times New Roman" w:hAnsi="Times New Roman"/>
                <w:b/>
                <w:i w:val="0"/>
                <w:sz w:val="18"/>
              </w:rPr>
              <w:t>Hyperparameter</w:t>
            </w:r>
          </w:p>
        </w:tc>
        <w:tc>
          <w:tcPr>
            <w:tcW w:type="dxa" w:w="2740"/>
          </w:tcPr>
          <w:p>
            <w:pPr>
              <w:spacing w:before="20" w:after="20"/>
              <w:jc w:val="center"/>
            </w:pPr>
            <w:r/>
            <w:r>
              <w:rPr>
                <w:rFonts w:ascii="Times New Roman" w:hAnsi="Times New Roman"/>
                <w:b/>
                <w:i w:val="0"/>
                <w:sz w:val="18"/>
              </w:rPr>
              <w:t>Search Space</w:t>
            </w:r>
          </w:p>
        </w:tc>
      </w:tr>
      <w:tr>
        <w:tc>
          <w:tcPr>
            <w:tcW w:type="dxa" w:w="2740"/>
          </w:tcPr>
          <w:p>
            <w:pPr>
              <w:spacing w:before="20" w:after="20"/>
              <w:jc w:val="center"/>
            </w:pPr>
            <w:r/>
            <w:r>
              <w:rPr>
                <w:rFonts w:ascii="Times New Roman" w:hAnsi="Times New Roman"/>
                <w:b w:val="0"/>
                <w:i w:val="0"/>
                <w:sz w:val="18"/>
              </w:rPr>
              <w:t>Ridge</w:t>
            </w:r>
          </w:p>
        </w:tc>
        <w:tc>
          <w:tcPr>
            <w:tcW w:type="dxa" w:w="2740"/>
          </w:tcPr>
          <w:p>
            <w:pPr>
              <w:spacing w:before="20" w:after="20"/>
              <w:jc w:val="center"/>
            </w:pPr>
            <w:r/>
            <w:r>
              <w:rPr>
                <w:rFonts w:ascii="Times New Roman" w:hAnsi="Times New Roman"/>
                <w:b w:val="0"/>
                <w:i w:val="0"/>
                <w:sz w:val="18"/>
              </w:rPr>
              <w:t>α</w:t>
            </w:r>
          </w:p>
        </w:tc>
        <w:tc>
          <w:tcPr>
            <w:tcW w:type="dxa" w:w="2740"/>
          </w:tcPr>
          <w:p>
            <w:pPr>
              <w:spacing w:before="20" w:after="20"/>
              <w:jc w:val="center"/>
            </w:pPr>
            <w:r/>
            <w:r>
              <w:rPr>
                <w:rFonts w:ascii="Times New Roman" w:hAnsi="Times New Roman"/>
                <w:b w:val="0"/>
                <w:i w:val="0"/>
                <w:sz w:val="18"/>
              </w:rPr>
              <w:t>{0.01, 0.1, 1, 10, 100, 1000}</w:t>
            </w:r>
          </w:p>
        </w:tc>
      </w:tr>
      <w:tr>
        <w:tc>
          <w:tcPr>
            <w:tcW w:type="dxa" w:w="2740"/>
          </w:tcPr>
          <w:p>
            <w:pPr>
              <w:spacing w:before="20" w:after="20"/>
              <w:jc w:val="center"/>
            </w:pPr>
            <w:r/>
            <w:r>
              <w:rPr>
                <w:rFonts w:ascii="Times New Roman" w:hAnsi="Times New Roman"/>
                <w:b w:val="0"/>
                <w:i w:val="0"/>
                <w:sz w:val="18"/>
              </w:rPr>
              <w:t>XGBoost</w:t>
            </w:r>
          </w:p>
        </w:tc>
        <w:tc>
          <w:tcPr>
            <w:tcW w:type="dxa" w:w="2740"/>
          </w:tcPr>
          <w:p>
            <w:pPr>
              <w:spacing w:before="20" w:after="20"/>
              <w:jc w:val="center"/>
            </w:pPr>
            <w:r/>
            <w:r>
              <w:rPr>
                <w:rFonts w:ascii="Times New Roman" w:hAnsi="Times New Roman"/>
                <w:b w:val="0"/>
                <w:i w:val="0"/>
                <w:sz w:val="18"/>
              </w:rPr>
              <w:t>n_estimators</w:t>
            </w:r>
          </w:p>
        </w:tc>
        <w:tc>
          <w:tcPr>
            <w:tcW w:type="dxa" w:w="2740"/>
          </w:tcPr>
          <w:p>
            <w:pPr>
              <w:spacing w:before="20" w:after="20"/>
              <w:jc w:val="center"/>
            </w:pPr>
            <w:r/>
            <w:r>
              <w:rPr>
                <w:rFonts w:ascii="Times New Roman" w:hAnsi="Times New Roman"/>
                <w:b w:val="0"/>
                <w:i w:val="0"/>
                <w:sz w:val="18"/>
              </w:rPr>
              <w:t>{100, 300}</w:t>
            </w:r>
          </w:p>
        </w:tc>
      </w:tr>
      <w:tr>
        <w:tc>
          <w:tcPr>
            <w:tcW w:type="dxa" w:w="2740"/>
          </w:tcPr>
          <w:p>
            <w:pPr>
              <w:spacing w:before="20" w:after="20"/>
              <w:jc w:val="center"/>
            </w:pPr>
            <w:r/>
            <w:r>
              <w:rPr>
                <w:rFonts w:ascii="Times New Roman" w:hAnsi="Times New Roman"/>
                <w:b w:val="0"/>
                <w:i w:val="0"/>
                <w:sz w:val="18"/>
              </w:rPr>
              <w:t>XGBoost</w:t>
            </w:r>
          </w:p>
        </w:tc>
        <w:tc>
          <w:tcPr>
            <w:tcW w:type="dxa" w:w="2740"/>
          </w:tcPr>
          <w:p>
            <w:pPr>
              <w:spacing w:before="20" w:after="20"/>
              <w:jc w:val="center"/>
            </w:pPr>
            <w:r/>
            <w:r>
              <w:rPr>
                <w:rFonts w:ascii="Times New Roman" w:hAnsi="Times New Roman"/>
                <w:b w:val="0"/>
                <w:i w:val="0"/>
                <w:sz w:val="18"/>
              </w:rPr>
              <w:t>max_depth</w:t>
            </w:r>
          </w:p>
        </w:tc>
        <w:tc>
          <w:tcPr>
            <w:tcW w:type="dxa" w:w="2740"/>
          </w:tcPr>
          <w:p>
            <w:pPr>
              <w:spacing w:before="20" w:after="20"/>
              <w:jc w:val="center"/>
            </w:pPr>
            <w:r/>
            <w:r>
              <w:rPr>
                <w:rFonts w:ascii="Times New Roman" w:hAnsi="Times New Roman"/>
                <w:b w:val="0"/>
                <w:i w:val="0"/>
                <w:sz w:val="18"/>
              </w:rPr>
              <w:t>{3, 5}</w:t>
            </w:r>
          </w:p>
        </w:tc>
      </w:tr>
      <w:tr>
        <w:tc>
          <w:tcPr>
            <w:tcW w:type="dxa" w:w="2740"/>
          </w:tcPr>
          <w:p>
            <w:pPr>
              <w:spacing w:before="20" w:after="20"/>
              <w:jc w:val="center"/>
            </w:pPr>
            <w:r/>
            <w:r>
              <w:rPr>
                <w:rFonts w:ascii="Times New Roman" w:hAnsi="Times New Roman"/>
                <w:b w:val="0"/>
                <w:i w:val="0"/>
                <w:sz w:val="18"/>
              </w:rPr>
              <w:t>XGBoost</w:t>
            </w:r>
          </w:p>
        </w:tc>
        <w:tc>
          <w:tcPr>
            <w:tcW w:type="dxa" w:w="2740"/>
          </w:tcPr>
          <w:p>
            <w:pPr>
              <w:spacing w:before="20" w:after="20"/>
              <w:jc w:val="center"/>
            </w:pPr>
            <w:r/>
            <w:r>
              <w:rPr>
                <w:rFonts w:ascii="Times New Roman" w:hAnsi="Times New Roman"/>
                <w:b w:val="0"/>
                <w:i w:val="0"/>
                <w:sz w:val="18"/>
              </w:rPr>
              <w:t>learning_rate</w:t>
            </w:r>
          </w:p>
        </w:tc>
        <w:tc>
          <w:tcPr>
            <w:tcW w:type="dxa" w:w="2740"/>
          </w:tcPr>
          <w:p>
            <w:pPr>
              <w:spacing w:before="20" w:after="20"/>
              <w:jc w:val="center"/>
            </w:pPr>
            <w:r/>
            <w:r>
              <w:rPr>
                <w:rFonts w:ascii="Times New Roman" w:hAnsi="Times New Roman"/>
                <w:b w:val="0"/>
                <w:i w:val="0"/>
                <w:sz w:val="18"/>
              </w:rPr>
              <w:t>{0.05, 0.1}</w:t>
            </w:r>
          </w:p>
        </w:tc>
      </w:tr>
      <w:tr>
        <w:tc>
          <w:tcPr>
            <w:tcW w:type="dxa" w:w="2740"/>
          </w:tcPr>
          <w:p>
            <w:pPr>
              <w:spacing w:before="20" w:after="20"/>
              <w:jc w:val="center"/>
            </w:pPr>
            <w:r/>
            <w:r>
              <w:rPr>
                <w:rFonts w:ascii="Times New Roman" w:hAnsi="Times New Roman"/>
                <w:b w:val="0"/>
                <w:i w:val="0"/>
                <w:sz w:val="18"/>
              </w:rPr>
              <w:t>BiLSTM-A</w:t>
            </w:r>
          </w:p>
        </w:tc>
        <w:tc>
          <w:tcPr>
            <w:tcW w:type="dxa" w:w="2740"/>
          </w:tcPr>
          <w:p>
            <w:pPr>
              <w:spacing w:before="20" w:after="20"/>
              <w:jc w:val="center"/>
            </w:pPr>
            <w:r/>
            <w:r>
              <w:rPr>
                <w:rFonts w:ascii="Times New Roman" w:hAnsi="Times New Roman"/>
                <w:b w:val="0"/>
                <w:i w:val="0"/>
                <w:sz w:val="18"/>
              </w:rPr>
              <w:t>hidden_units</w:t>
            </w:r>
          </w:p>
        </w:tc>
        <w:tc>
          <w:tcPr>
            <w:tcW w:type="dxa" w:w="2740"/>
          </w:tcPr>
          <w:p>
            <w:pPr>
              <w:spacing w:before="20" w:after="20"/>
              <w:jc w:val="center"/>
            </w:pPr>
            <w:r/>
            <w:r>
              <w:rPr>
                <w:rFonts w:ascii="Times New Roman" w:hAnsi="Times New Roman"/>
                <w:b w:val="0"/>
                <w:i w:val="0"/>
                <w:sz w:val="18"/>
              </w:rPr>
              <w:t>{32, 64}</w:t>
            </w:r>
          </w:p>
        </w:tc>
      </w:tr>
      <w:tr>
        <w:tc>
          <w:tcPr>
            <w:tcW w:type="dxa" w:w="2740"/>
          </w:tcPr>
          <w:p>
            <w:pPr>
              <w:spacing w:before="20" w:after="20"/>
              <w:jc w:val="center"/>
            </w:pPr>
            <w:r/>
            <w:r>
              <w:rPr>
                <w:rFonts w:ascii="Times New Roman" w:hAnsi="Times New Roman"/>
                <w:b w:val="0"/>
                <w:i w:val="0"/>
                <w:sz w:val="18"/>
              </w:rPr>
              <w:t>BiLSTM-A</w:t>
            </w:r>
          </w:p>
        </w:tc>
        <w:tc>
          <w:tcPr>
            <w:tcW w:type="dxa" w:w="2740"/>
          </w:tcPr>
          <w:p>
            <w:pPr>
              <w:spacing w:before="20" w:after="20"/>
              <w:jc w:val="center"/>
            </w:pPr>
            <w:r/>
            <w:r>
              <w:rPr>
                <w:rFonts w:ascii="Times New Roman" w:hAnsi="Times New Roman"/>
                <w:b w:val="0"/>
                <w:i w:val="0"/>
                <w:sz w:val="18"/>
              </w:rPr>
              <w:t>dropout</w:t>
            </w:r>
          </w:p>
        </w:tc>
        <w:tc>
          <w:tcPr>
            <w:tcW w:type="dxa" w:w="2740"/>
          </w:tcPr>
          <w:p>
            <w:pPr>
              <w:spacing w:before="20" w:after="20"/>
              <w:jc w:val="center"/>
            </w:pPr>
            <w:r/>
            <w:r>
              <w:rPr>
                <w:rFonts w:ascii="Times New Roman" w:hAnsi="Times New Roman"/>
                <w:b w:val="0"/>
                <w:i w:val="0"/>
                <w:sz w:val="18"/>
              </w:rPr>
              <w:t>{0.1, 0.3}</w:t>
            </w:r>
          </w:p>
        </w:tc>
      </w:tr>
      <w:tr>
        <w:tc>
          <w:tcPr>
            <w:tcW w:type="dxa" w:w="2740"/>
          </w:tcPr>
          <w:p>
            <w:pPr>
              <w:spacing w:before="20" w:after="20"/>
              <w:jc w:val="center"/>
            </w:pPr>
            <w:r/>
            <w:r>
              <w:rPr>
                <w:rFonts w:ascii="Times New Roman" w:hAnsi="Times New Roman"/>
                <w:b w:val="0"/>
                <w:i w:val="0"/>
                <w:sz w:val="18"/>
              </w:rPr>
              <w:t>WEns</w:t>
            </w:r>
          </w:p>
        </w:tc>
        <w:tc>
          <w:tcPr>
            <w:tcW w:type="dxa" w:w="2740"/>
          </w:tcPr>
          <w:p>
            <w:pPr>
              <w:spacing w:before="20" w:after="20"/>
              <w:jc w:val="center"/>
            </w:pPr>
            <w:r/>
            <w:r>
              <w:rPr>
                <w:rFonts w:ascii="Times New Roman" w:hAnsi="Times New Roman"/>
                <w:b w:val="0"/>
                <w:i w:val="0"/>
                <w:sz w:val="18"/>
              </w:rPr>
              <w:t>pw</w:t>
            </w:r>
          </w:p>
        </w:tc>
        <w:tc>
          <w:tcPr>
            <w:tcW w:type="dxa" w:w="2740"/>
          </w:tcPr>
          <w:p>
            <w:pPr>
              <w:spacing w:before="20" w:after="20"/>
              <w:jc w:val="center"/>
            </w:pPr>
            <w:r/>
            <w:r>
              <w:rPr>
                <w:rFonts w:ascii="Times New Roman" w:hAnsi="Times New Roman"/>
                <w:b w:val="0"/>
                <w:i w:val="0"/>
                <w:sz w:val="18"/>
              </w:rPr>
              <w:t>{0.4, 0.5, 0.6, 0.7, 0.8, 0.9}</w:t>
            </w:r>
          </w:p>
        </w:tc>
      </w:tr>
    </w:tbl>
    <w:p/>
    <w:p>
      <w:pPr>
        <w:spacing w:before="0" w:after="120" w:lineRule="auto" w:line="360"/>
        <w:ind w:firstLine="400"/>
        <w:jc w:val="both"/>
      </w:pPr>
      <w:r>
        <w:rPr>
          <w:rFonts w:ascii="Times New Roman" w:hAnsi="Times New Roman"/>
          <w:b w:val="0"/>
          <w:i w:val="0"/>
          <w:sz w:val="20"/>
        </w:rPr>
        <w:t>전체 모형별 하이퍼파라미터 탐색 범위 상세는 부록 B를 참조한다.</w:t>
      </w:r>
    </w:p>
    <w:p>
      <w:pPr>
        <w:spacing w:before="160" w:after="80" w:lineRule="auto" w:line="360"/>
        <w:jc w:val="left"/>
      </w:pPr>
      <w:r>
        <w:rPr>
          <w:rFonts w:ascii="Times New Roman" w:hAnsi="Times New Roman"/>
          <w:b/>
          <w:i w:val="0"/>
          <w:sz w:val="22"/>
        </w:rPr>
        <w:t>2) 최종 하이퍼파라미터 선정 기준</w:t>
      </w:r>
    </w:p>
    <w:p>
      <w:pPr>
        <w:spacing w:before="0" w:after="120" w:lineRule="auto" w:line="360"/>
        <w:ind w:firstLine="400"/>
        <w:jc w:val="both"/>
      </w:pPr>
      <w:r>
        <w:rPr>
          <w:rFonts w:ascii="Times New Roman" w:hAnsi="Times New Roman"/>
          <w:b w:val="0"/>
          <w:i w:val="0"/>
          <w:sz w:val="20"/>
        </w:rPr>
        <w:t>모든 모형의 최종 하이퍼파라미터는 내부 검증셋 R</w:t>
      </w:r>
      <w:r>
        <w:rPr>
          <w:rFonts w:ascii="Times New Roman" w:hAnsi="Times New Roman"/>
          <w:b w:val="0"/>
          <w:i w:val="0"/>
          <w:sz w:val="20"/>
          <w:vertAlign w:val="superscript"/>
        </w:rPr>
        <w:t>2</w:t>
      </w:r>
      <w:r>
        <w:rPr>
          <w:rFonts w:ascii="Times New Roman" w:hAnsi="Times New Roman"/>
          <w:b w:val="0"/>
          <w:i w:val="0"/>
          <w:sz w:val="20"/>
        </w:rPr>
        <w:t xml:space="preserve"> 최대화를 기준으로 선정하며, 자산군별로 독립적으로 탐색한다. 무작위성이 존재하는 모델(MLP, BiLSTM-A, Random Forest, XGBoost, LightGBM)은 단일 시드(seed = 42)를 고정하여 재현 가능성을 확보했다.</w:t>
      </w:r>
    </w:p>
    <w:p>
      <w:pPr>
        <w:spacing w:before="240" w:after="120" w:lineRule="auto" w:line="360"/>
        <w:jc w:val="left"/>
      </w:pPr>
      <w:r>
        <w:rPr>
          <w:rFonts w:ascii="Times New Roman" w:hAnsi="Times New Roman"/>
          <w:b/>
          <w:i w:val="0"/>
          <w:sz w:val="24"/>
        </w:rPr>
        <w:t>8. 평가 지표 및 통계 검정</w:t>
      </w:r>
    </w:p>
    <w:p>
      <w:pPr>
        <w:spacing w:before="160" w:after="80" w:lineRule="auto" w:line="360"/>
        <w:jc w:val="left"/>
      </w:pPr>
      <w:r>
        <w:rPr>
          <w:rFonts w:ascii="Times New Roman" w:hAnsi="Times New Roman"/>
          <w:b/>
          <w:i w:val="0"/>
          <w:sz w:val="22"/>
        </w:rPr>
        <w:t>1) 오차 지표</w:t>
      </w:r>
    </w:p>
    <w:p>
      <w:pPr>
        <w:spacing w:before="0" w:after="120" w:lineRule="auto" w:line="360"/>
        <w:ind w:firstLine="400"/>
        <w:jc w:val="both"/>
      </w:pPr>
      <w:r>
        <w:rPr>
          <w:rFonts w:ascii="Times New Roman" w:hAnsi="Times New Roman"/>
          <w:b w:val="0"/>
          <w:i w:val="0"/>
          <w:sz w:val="20"/>
        </w:rPr>
        <w:t>모델 예측 정확도는 RMSE(Root Mean Squared Error)를 주 오차 지표로 사용하며, MAE(Mean Absolute Error)와 QLIKE(Quasi-Likelihood)를 보조 지표로 함께 검토했다.</w:t>
      </w:r>
    </w:p>
    <w:p>
      <w:pPr>
        <w:spacing w:before="160" w:after="80" w:lineRule="auto" w:line="360"/>
        <w:jc w:val="left"/>
      </w:pPr>
      <w:r>
        <w:rPr>
          <w:rFonts w:ascii="Times New Roman" w:hAnsi="Times New Roman"/>
          <w:b/>
          <w:i w:val="0"/>
          <w:sz w:val="22"/>
        </w:rPr>
        <w:t>2) 설명력 지표</w:t>
      </w:r>
    </w:p>
    <w:p>
      <w:pPr>
        <w:spacing w:before="0" w:after="120" w:lineRule="auto" w:line="360"/>
        <w:ind w:firstLine="400"/>
        <w:jc w:val="both"/>
      </w:pPr>
      <w:r>
        <w:rPr>
          <w:rFonts w:ascii="Times New Roman" w:hAnsi="Times New Roman"/>
          <w:b w:val="0"/>
          <w:i w:val="0"/>
          <w:sz w:val="20"/>
        </w:rPr>
        <w:t>모델 순위 비교는 Pooled R</w:t>
      </w:r>
      <w:r>
        <w:rPr>
          <w:rFonts w:ascii="Times New Roman" w:hAnsi="Times New Roman"/>
          <w:b w:val="0"/>
          <w:i w:val="0"/>
          <w:sz w:val="20"/>
          <w:vertAlign w:val="superscript"/>
        </w:rPr>
        <w:t>2</w:t>
      </w:r>
      <w:r>
        <w:rPr>
          <w:rFonts w:ascii="Times New Roman" w:hAnsi="Times New Roman"/>
          <w:b w:val="0"/>
          <w:i w:val="0"/>
          <w:sz w:val="20"/>
        </w:rPr>
        <w:t>를 기준으로 수행하며, Median R</w:t>
      </w:r>
      <w:r>
        <w:rPr>
          <w:rFonts w:ascii="Times New Roman" w:hAnsi="Times New Roman"/>
          <w:b w:val="0"/>
          <w:i w:val="0"/>
          <w:sz w:val="20"/>
          <w:vertAlign w:val="superscript"/>
        </w:rPr>
        <w:t>2</w:t>
      </w:r>
      <w:r>
        <w:rPr>
          <w:rFonts w:ascii="Times New Roman" w:hAnsi="Times New Roman"/>
          <w:b w:val="0"/>
          <w:i w:val="0"/>
          <w:sz w:val="20"/>
        </w:rPr>
        <w:t>와 RMSE를 보조 지표로 함께 보고한다. Pooled R</w:t>
      </w:r>
      <w:r>
        <w:rPr>
          <w:rFonts w:ascii="Times New Roman" w:hAnsi="Times New Roman"/>
          <w:b w:val="0"/>
          <w:i w:val="0"/>
          <w:sz w:val="20"/>
          <w:vertAlign w:val="superscript"/>
        </w:rPr>
        <w:t>2</w:t>
      </w:r>
      <w:r>
        <w:rPr>
          <w:rFonts w:ascii="Times New Roman" w:hAnsi="Times New Roman"/>
          <w:b w:val="0"/>
          <w:i w:val="0"/>
          <w:sz w:val="20"/>
        </w:rPr>
        <w:t>는 11개 자산의 전체 테스트 기간 예측치와 실측치를 하나의 풀로 합산하여 산출한 단일 R</w:t>
      </w:r>
      <w:r>
        <w:rPr>
          <w:rFonts w:ascii="Times New Roman" w:hAnsi="Times New Roman"/>
          <w:b w:val="0"/>
          <w:i w:val="0"/>
          <w:sz w:val="20"/>
          <w:vertAlign w:val="superscript"/>
        </w:rPr>
        <w:t>2</w:t>
      </w:r>
      <w:r>
        <w:rPr>
          <w:rFonts w:ascii="Times New Roman" w:hAnsi="Times New Roman"/>
          <w:b w:val="0"/>
          <w:i w:val="0"/>
          <w:sz w:val="20"/>
        </w:rPr>
        <w:t>이며, 자산별 R</w:t>
      </w:r>
      <w:r>
        <w:rPr>
          <w:rFonts w:ascii="Times New Roman" w:hAnsi="Times New Roman"/>
          <w:b w:val="0"/>
          <w:i w:val="0"/>
          <w:sz w:val="20"/>
          <w:vertAlign w:val="superscript"/>
        </w:rPr>
        <w:t>2</w:t>
      </w:r>
      <w:r>
        <w:rPr>
          <w:rFonts w:ascii="Times New Roman" w:hAnsi="Times New Roman"/>
          <w:b w:val="0"/>
          <w:i w:val="0"/>
          <w:sz w:val="20"/>
        </w:rPr>
        <w:t>의 단순 평균이 아니다. 이 지표는 자산 간 횡단면 변동과 시계열 방향 변동을 모두 포함한다. 높은 Pooled R</w:t>
      </w:r>
      <w:r>
        <w:rPr>
          <w:rFonts w:ascii="Times New Roman" w:hAnsi="Times New Roman"/>
          <w:b w:val="0"/>
          <w:i w:val="0"/>
          <w:sz w:val="20"/>
          <w:vertAlign w:val="superscript"/>
        </w:rPr>
        <w:t>2</w:t>
      </w:r>
      <w:r>
        <w:rPr>
          <w:rFonts w:ascii="Times New Roman" w:hAnsi="Times New Roman"/>
          <w:b w:val="0"/>
          <w:i w:val="0"/>
          <w:sz w:val="20"/>
        </w:rPr>
        <w:t xml:space="preserve"> 수치를 시계열 예측력으로 오해하지 않도록, 자산별 평균을 제거한 후 계산한 R</w:t>
      </w:r>
      <w:r>
        <w:rPr>
          <w:rFonts w:ascii="Times New Roman" w:hAnsi="Times New Roman"/>
          <w:b w:val="0"/>
          <w:i w:val="0"/>
          <w:sz w:val="20"/>
          <w:vertAlign w:val="superscript"/>
        </w:rPr>
        <w:t>2</w:t>
      </w:r>
      <w:r>
        <w:rPr>
          <w:rFonts w:ascii="Times New Roman" w:hAnsi="Times New Roman"/>
          <w:b w:val="0"/>
          <w:i w:val="0"/>
          <w:sz w:val="20"/>
        </w:rPr>
        <w:t>_Within을 함께 제시한다.</w:t>
      </w:r>
    </w:p>
    <w:p>
      <w:pPr>
        <w:spacing w:before="160" w:after="80" w:lineRule="auto" w:line="360"/>
        <w:jc w:val="left"/>
      </w:pPr>
      <w:r>
        <w:rPr>
          <w:rFonts w:ascii="Times New Roman" w:hAnsi="Times New Roman"/>
          <w:b/>
          <w:i w:val="0"/>
          <w:sz w:val="22"/>
        </w:rPr>
        <w:t>3) Diebold–Mariano 검정 및 HAC 추정</w:t>
      </w:r>
    </w:p>
    <w:p>
      <w:pPr>
        <w:spacing w:before="0" w:after="120" w:lineRule="auto" w:line="360"/>
        <w:ind w:firstLine="400"/>
        <w:jc w:val="both"/>
      </w:pPr>
      <w:r>
        <w:rPr>
          <w:rFonts w:ascii="Times New Roman" w:hAnsi="Times New Roman"/>
          <w:b w:val="0"/>
          <w:i w:val="0"/>
          <w:sz w:val="20"/>
        </w:rPr>
        <w:t>모델 간 차이의 통계적 유의성은 Diebold-Mariano(DM) 검정을 통해 평가했다</w:t>
      </w:r>
      <w:r>
        <w:rPr>
          <w:rFonts w:ascii="Times New Roman" w:hAnsi="Times New Roman"/>
          <w:b w:val="0"/>
          <w:i w:val="0"/>
          <w:sz w:val="20"/>
          <w:vertAlign w:val="superscript"/>
        </w:rPr>
        <w:t>19</w:t>
      </w:r>
      <w:r>
        <w:rPr>
          <w:rFonts w:ascii="Times New Roman" w:hAnsi="Times New Roman"/>
          <w:b w:val="0"/>
          <w:i w:val="0"/>
          <w:sz w:val="20"/>
        </w:rPr>
        <w:t>. 예측 타깃이 일정 기간([t+1, t+h])의 평균으로 구성되어 인접한 날짜 간에 타깃 기간이 필연적으로 겹치므로, 예측오차 간에는 최대 h-1차의 자기상관이 존재할 수 있다. 이에 따라 DM 검정에서는 기간 h를 Newey-West HAC 대역폭으로 사용하여 중첩 구조에 의한 분산 과소추정을 보정했다</w:t>
      </w:r>
      <w:r>
        <w:rPr>
          <w:rFonts w:ascii="Times New Roman" w:hAnsi="Times New Roman"/>
          <w:b w:val="0"/>
          <w:i w:val="0"/>
          <w:sz w:val="20"/>
          <w:vertAlign w:val="superscript"/>
        </w:rPr>
        <w:t>20</w:t>
      </w:r>
      <w:r>
        <w:rPr>
          <w:rFonts w:ascii="Times New Roman" w:hAnsi="Times New Roman"/>
          <w:b w:val="0"/>
          <w:i w:val="0"/>
          <w:sz w:val="20"/>
        </w:rPr>
        <w:t>. 또한 120거래일 이상의 장기 기간에서는 점근 근사의 한계를 보완하기 위해 블록 크기 h, 반복 횟수 5,000회의 블록 부트스트랩을 보조 검정으로 사용하여 유의성을 재확인했다</w:t>
      </w:r>
      <w:r>
        <w:rPr>
          <w:rFonts w:ascii="Times New Roman" w:hAnsi="Times New Roman"/>
          <w:b w:val="0"/>
          <w:i w:val="0"/>
          <w:sz w:val="20"/>
          <w:vertAlign w:val="superscript"/>
        </w:rPr>
        <w:t>21</w:t>
      </w:r>
      <w:r>
        <w:rPr>
          <w:rFonts w:ascii="Times New Roman" w:hAnsi="Times New Roman"/>
          <w:b w:val="0"/>
          <w:i w:val="0"/>
          <w:sz w:val="20"/>
        </w:rPr>
        <w:t>. 다중 비교 문제는 Benjamini-Hochberg(BH) 방법으로 보정했다.</w:t>
      </w:r>
    </w:p>
    <w:p>
      <w:r>
        <w:br w:type="page"/>
      </w:r>
    </w:p>
    <w:p>
      <w:pPr>
        <w:spacing w:before="480" w:after="240" w:lineRule="auto" w:line="360"/>
        <w:jc w:val="left"/>
      </w:pPr>
      <w:r>
        <w:rPr>
          <w:rFonts w:ascii="Times New Roman" w:hAnsi="Times New Roman"/>
          <w:b/>
          <w:i w:val="0"/>
          <w:sz w:val="28"/>
        </w:rPr>
        <w:t>Ⅳ. 실증 분석 결과</w:t>
      </w:r>
    </w:p>
    <w:p>
      <w:pPr>
        <w:spacing w:before="240" w:after="120" w:lineRule="auto" w:line="360"/>
        <w:jc w:val="left"/>
      </w:pPr>
      <w:r>
        <w:rPr>
          <w:rFonts w:ascii="Times New Roman" w:hAnsi="Times New Roman"/>
          <w:b/>
          <w:i w:val="0"/>
          <w:sz w:val="24"/>
        </w:rPr>
        <w:t>1. 전체 모형 성능 비교</w:t>
      </w:r>
    </w:p>
    <w:p>
      <w:pPr>
        <w:spacing w:before="160" w:after="80" w:lineRule="auto" w:line="360"/>
        <w:jc w:val="left"/>
      </w:pPr>
      <w:r>
        <w:rPr>
          <w:rFonts w:ascii="Times New Roman" w:hAnsi="Times New Roman"/>
          <w:b/>
          <w:i w:val="0"/>
          <w:sz w:val="22"/>
        </w:rPr>
        <w:t>1) 기간별 Pooled R</w:t>
      </w:r>
      <w:r>
        <w:rPr>
          <w:rFonts w:ascii="Times New Roman" w:hAnsi="Times New Roman"/>
          <w:b/>
          <w:i w:val="0"/>
          <w:sz w:val="22"/>
          <w:vertAlign w:val="superscript"/>
        </w:rPr>
        <w:t>2</w:t>
      </w:r>
      <w:r>
        <w:rPr>
          <w:rFonts w:ascii="Times New Roman" w:hAnsi="Times New Roman"/>
          <w:b/>
          <w:i w:val="0"/>
          <w:sz w:val="22"/>
        </w:rPr>
        <w:t>·RMSE 결과</w:t>
      </w:r>
    </w:p>
    <w:p>
      <w:pPr>
        <w:spacing w:before="0" w:after="120" w:lineRule="auto" w:line="360"/>
        <w:ind w:firstLine="400"/>
        <w:jc w:val="both"/>
      </w:pPr>
      <w:r>
        <w:rPr>
          <w:rFonts w:ascii="Times New Roman" w:hAnsi="Times New Roman"/>
          <w:b w:val="0"/>
          <w:i w:val="0"/>
          <w:sz w:val="20"/>
        </w:rPr>
        <w:t>기간별로 가장 높은 Pooled R</w:t>
      </w:r>
      <w:r>
        <w:rPr>
          <w:rFonts w:ascii="Times New Roman" w:hAnsi="Times New Roman"/>
          <w:b w:val="0"/>
          <w:i w:val="0"/>
          <w:sz w:val="20"/>
          <w:vertAlign w:val="superscript"/>
        </w:rPr>
        <w:t>2</w:t>
      </w:r>
      <w:r>
        <w:rPr>
          <w:rFonts w:ascii="Times New Roman" w:hAnsi="Times New Roman"/>
          <w:b w:val="0"/>
          <w:i w:val="0"/>
          <w:sz w:val="20"/>
        </w:rPr>
        <w:t>를 기록한 모형을 요약하면 다음과 같다. 1, 5, 22, 180, 252거래일 구간에서는 WEns가, 60, 90, 120거래일 구간에서는 Ridge가 최고 성능을 보였다. WEns가 5개 기간(1, 5, 22, 180, 252d), Ridge가 3개 기간(60, 90, 120d)에서 각각 1위를 차지하여, 8개 예측 기간 모두에서 WEns 또는 Ridge가 최고 성능을 기록했다.</w:t>
      </w:r>
    </w:p>
    <w:p>
      <w:pPr>
        <w:spacing w:before="0" w:after="120" w:lineRule="auto" w:line="360"/>
        <w:ind w:firstLine="400"/>
        <w:jc w:val="both"/>
      </w:pPr>
      <w:r>
        <w:rPr>
          <w:rFonts w:ascii="Times New Roman" w:hAnsi="Times New Roman"/>
          <w:b w:val="0"/>
          <w:i w:val="0"/>
          <w:sz w:val="20"/>
        </w:rPr>
        <w:t>1~22거래일 구간에서는 WEns(22d: 0.8041)와 Ridge(22d: 0.8026)가 상위 1~2위를 기록했다. 60~120거래일 구간에서는 Ridge가 0.775~0.799 범위에서 1위를 유지했으며, 180~252거래일 구간에서도 WEns가 0.718~0.759로 상위 2위 이내를 유지했다.</w:t>
      </w:r>
    </w:p>
    <w:p>
      <w:pPr>
        <w:spacing w:before="0" w:after="120" w:lineRule="auto" w:line="360"/>
        <w:ind w:firstLine="400"/>
        <w:jc w:val="both"/>
      </w:pPr>
      <w:r>
        <w:rPr>
          <w:rFonts w:ascii="Times New Roman" w:hAnsi="Times New Roman"/>
          <w:b w:val="0"/>
          <w:i w:val="0"/>
          <w:sz w:val="20"/>
        </w:rPr>
        <w:t>그림 3은 전체 모델과 예측 기간별 Pooled R</w:t>
      </w:r>
      <w:r>
        <w:rPr>
          <w:rFonts w:ascii="Times New Roman" w:hAnsi="Times New Roman"/>
          <w:b w:val="0"/>
          <w:i w:val="0"/>
          <w:sz w:val="20"/>
          <w:vertAlign w:val="superscript"/>
        </w:rPr>
        <w:t>2</w:t>
      </w:r>
      <w:r>
        <w:rPr>
          <w:rFonts w:ascii="Times New Roman" w:hAnsi="Times New Roman"/>
          <w:b w:val="0"/>
          <w:i w:val="0"/>
          <w:sz w:val="20"/>
        </w:rPr>
        <w:t>를 히트맵으로 나타낸 것으로, 기간별 최고 성능 모형의 분포를 확인할 수 있다.</w:t>
      </w:r>
    </w:p>
    <w:p>
      <w:pPr>
        <w:spacing w:before="120" w:after="60" w:lineRule="auto" w:line="288"/>
        <w:jc w:val="center"/>
      </w:pPr>
      <w:r>
        <w:rPr>
          <w:rFonts w:ascii="Times New Roman" w:hAnsi="Times New Roman"/>
          <w:b w:val="0"/>
          <w:i/>
          <w:sz w:val="20"/>
        </w:rPr>
        <w:t>[이미지 삽입 위치]</w:t>
      </w:r>
    </w:p>
    <w:p>
      <w:pPr>
        <w:spacing w:before="60" w:after="60" w:lineRule="auto" w:line="288"/>
        <w:jc w:val="center"/>
      </w:pPr>
      <w:r>
        <w:rPr>
          <w:rFonts w:ascii="Times New Roman" w:hAnsi="Times New Roman"/>
          <w:b w:val="0"/>
          <w:i w:val="0"/>
          <w:sz w:val="20"/>
        </w:rPr>
        <w:t>그림 3. 전체 모델×기간 Pooled R</w:t>
      </w:r>
      <w:r>
        <w:rPr>
          <w:rFonts w:ascii="Times New Roman" w:hAnsi="Times New Roman"/>
          <w:b w:val="0"/>
          <w:i w:val="0"/>
          <w:sz w:val="20"/>
          <w:vertAlign w:val="superscript"/>
        </w:rPr>
        <w:t>2</w:t>
      </w:r>
      <w:r>
        <w:rPr>
          <w:rFonts w:ascii="Times New Roman" w:hAnsi="Times New Roman"/>
          <w:b w:val="0"/>
          <w:i w:val="0"/>
          <w:sz w:val="20"/>
        </w:rPr>
        <w:t xml:space="preserve"> 히트맵  /  Fig. 3. Model × Horizon Pooled R</w:t>
      </w:r>
      <w:r>
        <w:rPr>
          <w:rFonts w:ascii="Times New Roman" w:hAnsi="Times New Roman"/>
          <w:b w:val="0"/>
          <w:i w:val="0"/>
          <w:sz w:val="20"/>
          <w:vertAlign w:val="superscript"/>
        </w:rPr>
        <w:t>2</w:t>
      </w:r>
      <w:r>
        <w:rPr>
          <w:rFonts w:ascii="Times New Roman" w:hAnsi="Times New Roman"/>
          <w:b w:val="0"/>
          <w:i w:val="0"/>
          <w:sz w:val="20"/>
        </w:rPr>
        <w:t xml:space="preserve"> Heatmap</w:t>
      </w:r>
    </w:p>
    <w:p>
      <w:pPr>
        <w:spacing w:before="0" w:after="120" w:lineRule="auto" w:line="360"/>
        <w:ind w:firstLine="400"/>
        <w:jc w:val="both"/>
      </w:pPr>
      <w:r>
        <w:rPr>
          <w:rFonts w:ascii="Times New Roman" w:hAnsi="Times New Roman"/>
          <w:b w:val="0"/>
          <w:i w:val="0"/>
          <w:sz w:val="20"/>
        </w:rPr>
        <w:t>패널 R</w:t>
      </w:r>
      <w:r>
        <w:rPr>
          <w:rFonts w:ascii="Times New Roman" w:hAnsi="Times New Roman"/>
          <w:b w:val="0"/>
          <w:i w:val="0"/>
          <w:sz w:val="20"/>
          <w:vertAlign w:val="superscript"/>
        </w:rPr>
        <w:t>2</w:t>
      </w:r>
      <w:r>
        <w:rPr>
          <w:rFonts w:ascii="Times New Roman" w:hAnsi="Times New Roman"/>
          <w:b w:val="0"/>
          <w:i w:val="0"/>
          <w:sz w:val="20"/>
        </w:rPr>
        <w:t xml:space="preserve"> 분해 관점에서, Pooled R</w:t>
      </w:r>
      <w:r>
        <w:rPr>
          <w:rFonts w:ascii="Times New Roman" w:hAnsi="Times New Roman"/>
          <w:b w:val="0"/>
          <w:i w:val="0"/>
          <w:sz w:val="20"/>
          <w:vertAlign w:val="superscript"/>
        </w:rPr>
        <w:t>2</w:t>
      </w:r>
      <w:r>
        <w:rPr>
          <w:rFonts w:ascii="Times New Roman" w:hAnsi="Times New Roman"/>
          <w:b w:val="0"/>
          <w:i w:val="0"/>
          <w:sz w:val="20"/>
        </w:rPr>
        <w:t>는 자산 간 횡단면 변동성 차이와 시계열 방향 변동을 모두 포함한다. 이를 구분하기 위해 표 5에서 자산별 평균을 제거한 R</w:t>
      </w:r>
      <w:r>
        <w:rPr>
          <w:rFonts w:ascii="Times New Roman" w:hAnsi="Times New Roman"/>
          <w:b w:val="0"/>
          <w:i w:val="0"/>
          <w:sz w:val="20"/>
          <w:vertAlign w:val="superscript"/>
        </w:rPr>
        <w:t>2</w:t>
      </w:r>
      <w:r>
        <w:rPr>
          <w:rFonts w:ascii="Times New Roman" w:hAnsi="Times New Roman"/>
          <w:b w:val="0"/>
          <w:i w:val="0"/>
          <w:sz w:val="20"/>
        </w:rPr>
        <w:t>_Within을 WEns Pooled R</w:t>
      </w:r>
      <w:r>
        <w:rPr>
          <w:rFonts w:ascii="Times New Roman" w:hAnsi="Times New Roman"/>
          <w:b w:val="0"/>
          <w:i w:val="0"/>
          <w:sz w:val="20"/>
          <w:vertAlign w:val="superscript"/>
        </w:rPr>
        <w:t>2</w:t>
      </w:r>
      <w:r>
        <w:rPr>
          <w:rFonts w:ascii="Times New Roman" w:hAnsi="Times New Roman"/>
          <w:b w:val="0"/>
          <w:i w:val="0"/>
          <w:sz w:val="20"/>
        </w:rPr>
        <w:t>와 함께 비교한다.</w:t>
      </w:r>
    </w:p>
    <w:p>
      <w:pPr>
        <w:spacing w:before="60" w:after="60" w:lineRule="auto" w:line="288"/>
        <w:jc w:val="center"/>
      </w:pPr>
      <w:r>
        <w:rPr>
          <w:rFonts w:ascii="Times New Roman" w:hAnsi="Times New Roman"/>
          <w:b w:val="0"/>
          <w:i w:val="0"/>
          <w:sz w:val="20"/>
        </w:rPr>
        <w:t>표 5. WEns Pooled R</w:t>
      </w:r>
      <w:r>
        <w:rPr>
          <w:rFonts w:ascii="Times New Roman" w:hAnsi="Times New Roman"/>
          <w:b w:val="0"/>
          <w:i w:val="0"/>
          <w:sz w:val="20"/>
          <w:vertAlign w:val="superscript"/>
        </w:rPr>
        <w:t>2</w:t>
      </w:r>
      <w:r>
        <w:rPr>
          <w:rFonts w:ascii="Times New Roman" w:hAnsi="Times New Roman"/>
          <w:b w:val="0"/>
          <w:i w:val="0"/>
          <w:sz w:val="20"/>
        </w:rPr>
        <w:t xml:space="preserve"> vs R</w:t>
      </w:r>
      <w:r>
        <w:rPr>
          <w:rFonts w:ascii="Times New Roman" w:hAnsi="Times New Roman"/>
          <w:b w:val="0"/>
          <w:i w:val="0"/>
          <w:sz w:val="20"/>
          <w:vertAlign w:val="superscript"/>
        </w:rPr>
        <w:t>2</w:t>
      </w:r>
      <w:r>
        <w:rPr>
          <w:rFonts w:ascii="Times New Roman" w:hAnsi="Times New Roman"/>
          <w:b w:val="0"/>
          <w:i w:val="0"/>
          <w:sz w:val="20"/>
        </w:rPr>
        <w:t>_Within 비교  /  Table 5. WEns Pooled R</w:t>
      </w:r>
      <w:r>
        <w:rPr>
          <w:rFonts w:ascii="Times New Roman" w:hAnsi="Times New Roman"/>
          <w:b w:val="0"/>
          <w:i w:val="0"/>
          <w:sz w:val="20"/>
          <w:vertAlign w:val="superscript"/>
        </w:rPr>
        <w:t>2</w:t>
      </w:r>
      <w:r>
        <w:rPr>
          <w:rFonts w:ascii="Times New Roman" w:hAnsi="Times New Roman"/>
          <w:b w:val="0"/>
          <w:i w:val="0"/>
          <w:sz w:val="20"/>
        </w:rPr>
        <w:t xml:space="preserve"> vs R</w:t>
      </w:r>
      <w:r>
        <w:rPr>
          <w:rFonts w:ascii="Times New Roman" w:hAnsi="Times New Roman"/>
          <w:b w:val="0"/>
          <w:i w:val="0"/>
          <w:sz w:val="20"/>
          <w:vertAlign w:val="superscript"/>
        </w:rPr>
        <w:t>2</w:t>
      </w:r>
      <w:r>
        <w:rPr>
          <w:rFonts w:ascii="Times New Roman" w:hAnsi="Times New Roman"/>
          <w:b w:val="0"/>
          <w:i w:val="0"/>
          <w:sz w:val="20"/>
        </w:rPr>
        <w:t>_Within Decomposition</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tcPr>
          <w:p>
            <w:pPr>
              <w:spacing w:before="20" w:after="20"/>
              <w:jc w:val="center"/>
            </w:pPr>
            <w:r/>
            <w:r>
              <w:rPr>
                <w:rFonts w:ascii="Times New Roman" w:hAnsi="Times New Roman"/>
                <w:b/>
                <w:i w:val="0"/>
                <w:sz w:val="18"/>
              </w:rPr>
              <w:t>day</w:t>
            </w:r>
          </w:p>
        </w:tc>
        <w:tc>
          <w:tcPr>
            <w:tcW w:type="dxa" w:w="2055"/>
          </w:tcPr>
          <w:p>
            <w:pPr>
              <w:spacing w:before="20" w:after="20"/>
              <w:jc w:val="center"/>
            </w:pPr>
            <w:r/>
            <w:r>
              <w:rPr>
                <w:rFonts w:ascii="Times New Roman" w:hAnsi="Times New Roman"/>
                <w:b/>
                <w:i w:val="0"/>
                <w:sz w:val="18"/>
              </w:rPr>
              <w:t>Pooled R²</w:t>
            </w:r>
          </w:p>
        </w:tc>
        <w:tc>
          <w:tcPr>
            <w:tcW w:type="dxa" w:w="2055"/>
          </w:tcPr>
          <w:p>
            <w:pPr>
              <w:spacing w:before="20" w:after="20"/>
              <w:jc w:val="center"/>
            </w:pPr>
            <w:r/>
            <w:r>
              <w:rPr>
                <w:rFonts w:ascii="Times New Roman" w:hAnsi="Times New Roman"/>
                <w:b/>
                <w:i w:val="0"/>
                <w:sz w:val="18"/>
              </w:rPr>
              <w:t>R²_Within</w:t>
            </w:r>
          </w:p>
        </w:tc>
        <w:tc>
          <w:tcPr>
            <w:tcW w:type="dxa" w:w="2055"/>
          </w:tcPr>
          <w:p>
            <w:pPr>
              <w:spacing w:before="20" w:after="20"/>
              <w:jc w:val="center"/>
            </w:pPr>
            <w:r/>
            <w:r>
              <w:rPr>
                <w:rFonts w:ascii="Times New Roman" w:hAnsi="Times New Roman"/>
                <w:b/>
                <w:i w:val="0"/>
                <w:sz w:val="18"/>
              </w:rPr>
              <w:t>P-W</w:t>
            </w:r>
          </w:p>
        </w:tc>
      </w:tr>
      <w:tr>
        <w:tc>
          <w:tcPr>
            <w:tcW w:type="dxa" w:w="2055"/>
          </w:tcPr>
          <w:p>
            <w:pPr>
              <w:spacing w:before="20" w:after="20"/>
              <w:jc w:val="center"/>
            </w:pPr>
            <w:r/>
            <w:r>
              <w:rPr>
                <w:rFonts w:ascii="Times New Roman" w:hAnsi="Times New Roman"/>
                <w:b w:val="0"/>
                <w:i w:val="0"/>
                <w:sz w:val="18"/>
              </w:rPr>
              <w:t>1d</w:t>
            </w:r>
          </w:p>
        </w:tc>
        <w:tc>
          <w:tcPr>
            <w:tcW w:type="dxa" w:w="2055"/>
          </w:tcPr>
          <w:p>
            <w:pPr>
              <w:spacing w:before="20" w:after="20"/>
              <w:jc w:val="center"/>
            </w:pPr>
            <w:r/>
            <w:r>
              <w:rPr>
                <w:rFonts w:ascii="Times New Roman" w:hAnsi="Times New Roman"/>
                <w:b w:val="0"/>
                <w:i w:val="0"/>
                <w:sz w:val="18"/>
              </w:rPr>
              <w:t>0.1174</w:t>
            </w:r>
          </w:p>
        </w:tc>
        <w:tc>
          <w:tcPr>
            <w:tcW w:type="dxa" w:w="2055"/>
          </w:tcPr>
          <w:p>
            <w:pPr>
              <w:spacing w:before="20" w:after="20"/>
              <w:jc w:val="center"/>
            </w:pPr>
            <w:r/>
            <w:r>
              <w:rPr>
                <w:rFonts w:ascii="Times New Roman" w:hAnsi="Times New Roman"/>
                <w:b w:val="0"/>
                <w:i w:val="0"/>
                <w:sz w:val="18"/>
              </w:rPr>
              <w:t>0.0337</w:t>
            </w:r>
          </w:p>
        </w:tc>
        <w:tc>
          <w:tcPr>
            <w:tcW w:type="dxa" w:w="2055"/>
          </w:tcPr>
          <w:p>
            <w:pPr>
              <w:spacing w:before="20" w:after="20"/>
              <w:jc w:val="center"/>
            </w:pPr>
            <w:r/>
            <w:r>
              <w:rPr>
                <w:rFonts w:ascii="Times New Roman" w:hAnsi="Times New Roman"/>
                <w:b w:val="0"/>
                <w:i w:val="0"/>
                <w:sz w:val="18"/>
              </w:rPr>
              <w:t>+0.084</w:t>
            </w:r>
          </w:p>
        </w:tc>
      </w:tr>
      <w:tr>
        <w:tc>
          <w:tcPr>
            <w:tcW w:type="dxa" w:w="2055"/>
          </w:tcPr>
          <w:p>
            <w:pPr>
              <w:spacing w:before="20" w:after="20"/>
              <w:jc w:val="center"/>
            </w:pPr>
            <w:r/>
            <w:r>
              <w:rPr>
                <w:rFonts w:ascii="Times New Roman" w:hAnsi="Times New Roman"/>
                <w:b w:val="0"/>
                <w:i w:val="0"/>
                <w:sz w:val="18"/>
              </w:rPr>
              <w:t>5d</w:t>
            </w:r>
          </w:p>
        </w:tc>
        <w:tc>
          <w:tcPr>
            <w:tcW w:type="dxa" w:w="2055"/>
          </w:tcPr>
          <w:p>
            <w:pPr>
              <w:spacing w:before="20" w:after="20"/>
              <w:jc w:val="center"/>
            </w:pPr>
            <w:r/>
            <w:r>
              <w:rPr>
                <w:rFonts w:ascii="Times New Roman" w:hAnsi="Times New Roman"/>
                <w:b w:val="0"/>
                <w:i w:val="0"/>
                <w:sz w:val="18"/>
              </w:rPr>
              <w:t>0.6305</w:t>
            </w:r>
          </w:p>
        </w:tc>
        <w:tc>
          <w:tcPr>
            <w:tcW w:type="dxa" w:w="2055"/>
          </w:tcPr>
          <w:p>
            <w:pPr>
              <w:spacing w:before="20" w:after="20"/>
              <w:jc w:val="center"/>
            </w:pPr>
            <w:r/>
            <w:r>
              <w:rPr>
                <w:rFonts w:ascii="Times New Roman" w:hAnsi="Times New Roman"/>
                <w:b w:val="0"/>
                <w:i w:val="0"/>
                <w:sz w:val="18"/>
              </w:rPr>
              <w:t>0.2689</w:t>
            </w:r>
          </w:p>
        </w:tc>
        <w:tc>
          <w:tcPr>
            <w:tcW w:type="dxa" w:w="2055"/>
          </w:tcPr>
          <w:p>
            <w:pPr>
              <w:spacing w:before="20" w:after="20"/>
              <w:jc w:val="center"/>
            </w:pPr>
            <w:r/>
            <w:r>
              <w:rPr>
                <w:rFonts w:ascii="Times New Roman" w:hAnsi="Times New Roman"/>
                <w:b w:val="0"/>
                <w:i w:val="0"/>
                <w:sz w:val="18"/>
              </w:rPr>
              <w:t>+0.362</w:t>
            </w:r>
          </w:p>
        </w:tc>
      </w:tr>
      <w:tr>
        <w:tc>
          <w:tcPr>
            <w:tcW w:type="dxa" w:w="2055"/>
          </w:tcPr>
          <w:p>
            <w:pPr>
              <w:spacing w:before="20" w:after="20"/>
              <w:jc w:val="center"/>
            </w:pPr>
            <w:r/>
            <w:r>
              <w:rPr>
                <w:rFonts w:ascii="Times New Roman" w:hAnsi="Times New Roman"/>
                <w:b w:val="0"/>
                <w:i w:val="0"/>
                <w:sz w:val="18"/>
              </w:rPr>
              <w:t>22d</w:t>
            </w:r>
          </w:p>
        </w:tc>
        <w:tc>
          <w:tcPr>
            <w:tcW w:type="dxa" w:w="2055"/>
          </w:tcPr>
          <w:p>
            <w:pPr>
              <w:spacing w:before="20" w:after="20"/>
              <w:jc w:val="center"/>
            </w:pPr>
            <w:r/>
            <w:r>
              <w:rPr>
                <w:rFonts w:ascii="Times New Roman" w:hAnsi="Times New Roman"/>
                <w:b w:val="0"/>
                <w:i w:val="0"/>
                <w:sz w:val="18"/>
              </w:rPr>
              <w:t>0.8041</w:t>
            </w:r>
          </w:p>
        </w:tc>
        <w:tc>
          <w:tcPr>
            <w:tcW w:type="dxa" w:w="2055"/>
          </w:tcPr>
          <w:p>
            <w:pPr>
              <w:spacing w:before="20" w:after="20"/>
              <w:jc w:val="center"/>
            </w:pPr>
            <w:r/>
            <w:r>
              <w:rPr>
                <w:rFonts w:ascii="Times New Roman" w:hAnsi="Times New Roman"/>
                <w:b w:val="0"/>
                <w:i w:val="0"/>
                <w:sz w:val="18"/>
              </w:rPr>
              <w:t>0.3831</w:t>
            </w:r>
          </w:p>
        </w:tc>
        <w:tc>
          <w:tcPr>
            <w:tcW w:type="dxa" w:w="2055"/>
          </w:tcPr>
          <w:p>
            <w:pPr>
              <w:spacing w:before="20" w:after="20"/>
              <w:jc w:val="center"/>
            </w:pPr>
            <w:r/>
            <w:r>
              <w:rPr>
                <w:rFonts w:ascii="Times New Roman" w:hAnsi="Times New Roman"/>
                <w:b w:val="0"/>
                <w:i w:val="0"/>
                <w:sz w:val="18"/>
              </w:rPr>
              <w:t>+0.421</w:t>
            </w:r>
          </w:p>
        </w:tc>
      </w:tr>
      <w:tr>
        <w:tc>
          <w:tcPr>
            <w:tcW w:type="dxa" w:w="2055"/>
          </w:tcPr>
          <w:p>
            <w:pPr>
              <w:spacing w:before="20" w:after="20"/>
              <w:jc w:val="center"/>
            </w:pPr>
            <w:r/>
            <w:r>
              <w:rPr>
                <w:rFonts w:ascii="Times New Roman" w:hAnsi="Times New Roman"/>
                <w:b w:val="0"/>
                <w:i w:val="0"/>
                <w:sz w:val="18"/>
              </w:rPr>
              <w:t>60d</w:t>
            </w:r>
          </w:p>
        </w:tc>
        <w:tc>
          <w:tcPr>
            <w:tcW w:type="dxa" w:w="2055"/>
          </w:tcPr>
          <w:p>
            <w:pPr>
              <w:spacing w:before="20" w:after="20"/>
              <w:jc w:val="center"/>
            </w:pPr>
            <w:r/>
            <w:r>
              <w:rPr>
                <w:rFonts w:ascii="Times New Roman" w:hAnsi="Times New Roman"/>
                <w:b w:val="0"/>
                <w:i w:val="0"/>
                <w:sz w:val="18"/>
              </w:rPr>
              <w:t>0.7870</w:t>
            </w:r>
          </w:p>
        </w:tc>
        <w:tc>
          <w:tcPr>
            <w:tcW w:type="dxa" w:w="2055"/>
          </w:tcPr>
          <w:p>
            <w:pPr>
              <w:spacing w:before="20" w:after="20"/>
              <w:jc w:val="center"/>
            </w:pPr>
            <w:r/>
            <w:r>
              <w:rPr>
                <w:rFonts w:ascii="Times New Roman" w:hAnsi="Times New Roman"/>
                <w:b w:val="0"/>
                <w:i w:val="0"/>
                <w:sz w:val="18"/>
              </w:rPr>
              <w:t>0.1664</w:t>
            </w:r>
          </w:p>
        </w:tc>
        <w:tc>
          <w:tcPr>
            <w:tcW w:type="dxa" w:w="2055"/>
          </w:tcPr>
          <w:p>
            <w:pPr>
              <w:spacing w:before="20" w:after="20"/>
              <w:jc w:val="center"/>
            </w:pPr>
            <w:r/>
            <w:r>
              <w:rPr>
                <w:rFonts w:ascii="Times New Roman" w:hAnsi="Times New Roman"/>
                <w:b w:val="0"/>
                <w:i w:val="0"/>
                <w:sz w:val="18"/>
              </w:rPr>
              <w:t>+0.621</w:t>
            </w:r>
          </w:p>
        </w:tc>
      </w:tr>
      <w:tr>
        <w:tc>
          <w:tcPr>
            <w:tcW w:type="dxa" w:w="2055"/>
          </w:tcPr>
          <w:p>
            <w:pPr>
              <w:spacing w:before="20" w:after="20"/>
              <w:jc w:val="center"/>
            </w:pPr>
            <w:r/>
            <w:r>
              <w:rPr>
                <w:rFonts w:ascii="Times New Roman" w:hAnsi="Times New Roman"/>
                <w:b w:val="0"/>
                <w:i w:val="0"/>
                <w:sz w:val="18"/>
              </w:rPr>
              <w:t>90d</w:t>
            </w:r>
          </w:p>
        </w:tc>
        <w:tc>
          <w:tcPr>
            <w:tcW w:type="dxa" w:w="2055"/>
          </w:tcPr>
          <w:p>
            <w:pPr>
              <w:spacing w:before="20" w:after="20"/>
              <w:jc w:val="center"/>
            </w:pPr>
            <w:r/>
            <w:r>
              <w:rPr>
                <w:rFonts w:ascii="Times New Roman" w:hAnsi="Times New Roman"/>
                <w:b w:val="0"/>
                <w:i w:val="0"/>
                <w:sz w:val="18"/>
              </w:rPr>
              <w:t>0.7493</w:t>
            </w:r>
          </w:p>
        </w:tc>
        <w:tc>
          <w:tcPr>
            <w:tcW w:type="dxa" w:w="2055"/>
          </w:tcPr>
          <w:p>
            <w:pPr>
              <w:spacing w:before="20" w:after="20"/>
              <w:jc w:val="center"/>
            </w:pPr>
            <w:r/>
            <w:r>
              <w:rPr>
                <w:rFonts w:ascii="Times New Roman" w:hAnsi="Times New Roman"/>
                <w:b w:val="0"/>
                <w:i w:val="0"/>
                <w:sz w:val="18"/>
              </w:rPr>
              <w:t>-0.074</w:t>
            </w:r>
          </w:p>
        </w:tc>
        <w:tc>
          <w:tcPr>
            <w:tcW w:type="dxa" w:w="2055"/>
          </w:tcPr>
          <w:p>
            <w:pPr>
              <w:spacing w:before="20" w:after="20"/>
              <w:jc w:val="center"/>
            </w:pPr>
            <w:r/>
            <w:r>
              <w:rPr>
                <w:rFonts w:ascii="Times New Roman" w:hAnsi="Times New Roman"/>
                <w:b w:val="0"/>
                <w:i w:val="0"/>
                <w:sz w:val="18"/>
              </w:rPr>
              <w:t>+0.823</w:t>
            </w:r>
          </w:p>
        </w:tc>
      </w:tr>
      <w:tr>
        <w:tc>
          <w:tcPr>
            <w:tcW w:type="dxa" w:w="2055"/>
          </w:tcPr>
          <w:p>
            <w:pPr>
              <w:spacing w:before="20" w:after="20"/>
              <w:jc w:val="center"/>
            </w:pPr>
            <w:r/>
            <w:r>
              <w:rPr>
                <w:rFonts w:ascii="Times New Roman" w:hAnsi="Times New Roman"/>
                <w:b w:val="0"/>
                <w:i w:val="0"/>
                <w:sz w:val="18"/>
              </w:rPr>
              <w:t>120d</w:t>
            </w:r>
          </w:p>
        </w:tc>
        <w:tc>
          <w:tcPr>
            <w:tcW w:type="dxa" w:w="2055"/>
          </w:tcPr>
          <w:p>
            <w:pPr>
              <w:spacing w:before="20" w:after="20"/>
              <w:jc w:val="center"/>
            </w:pPr>
            <w:r/>
            <w:r>
              <w:rPr>
                <w:rFonts w:ascii="Times New Roman" w:hAnsi="Times New Roman"/>
                <w:b w:val="0"/>
                <w:i w:val="0"/>
                <w:sz w:val="18"/>
              </w:rPr>
              <w:t>0.7545</w:t>
            </w:r>
          </w:p>
        </w:tc>
        <w:tc>
          <w:tcPr>
            <w:tcW w:type="dxa" w:w="2055"/>
          </w:tcPr>
          <w:p>
            <w:pPr>
              <w:spacing w:before="20" w:after="20"/>
              <w:jc w:val="center"/>
            </w:pPr>
            <w:r/>
            <w:r>
              <w:rPr>
                <w:rFonts w:ascii="Times New Roman" w:hAnsi="Times New Roman"/>
                <w:b w:val="0"/>
                <w:i w:val="0"/>
                <w:sz w:val="18"/>
              </w:rPr>
              <w:t>-0.166</w:t>
            </w:r>
          </w:p>
        </w:tc>
        <w:tc>
          <w:tcPr>
            <w:tcW w:type="dxa" w:w="2055"/>
          </w:tcPr>
          <w:p>
            <w:pPr>
              <w:spacing w:before="20" w:after="20"/>
              <w:jc w:val="center"/>
            </w:pPr>
            <w:r/>
            <w:r>
              <w:rPr>
                <w:rFonts w:ascii="Times New Roman" w:hAnsi="Times New Roman"/>
                <w:b w:val="0"/>
                <w:i w:val="0"/>
                <w:sz w:val="18"/>
              </w:rPr>
              <w:t>+0.921</w:t>
            </w:r>
          </w:p>
        </w:tc>
      </w:tr>
      <w:tr>
        <w:tc>
          <w:tcPr>
            <w:tcW w:type="dxa" w:w="2055"/>
          </w:tcPr>
          <w:p>
            <w:pPr>
              <w:spacing w:before="20" w:after="20"/>
              <w:jc w:val="center"/>
            </w:pPr>
            <w:r/>
            <w:r>
              <w:rPr>
                <w:rFonts w:ascii="Times New Roman" w:hAnsi="Times New Roman"/>
                <w:b w:val="0"/>
                <w:i w:val="0"/>
                <w:sz w:val="18"/>
              </w:rPr>
              <w:t>180d</w:t>
            </w:r>
          </w:p>
        </w:tc>
        <w:tc>
          <w:tcPr>
            <w:tcW w:type="dxa" w:w="2055"/>
          </w:tcPr>
          <w:p>
            <w:pPr>
              <w:spacing w:before="20" w:after="20"/>
              <w:jc w:val="center"/>
            </w:pPr>
            <w:r/>
            <w:r>
              <w:rPr>
                <w:rFonts w:ascii="Times New Roman" w:hAnsi="Times New Roman"/>
                <w:b w:val="0"/>
                <w:i w:val="0"/>
                <w:sz w:val="18"/>
              </w:rPr>
              <w:t>0.7456</w:t>
            </w:r>
          </w:p>
        </w:tc>
        <w:tc>
          <w:tcPr>
            <w:tcW w:type="dxa" w:w="2055"/>
          </w:tcPr>
          <w:p>
            <w:pPr>
              <w:spacing w:before="20" w:after="20"/>
              <w:jc w:val="center"/>
            </w:pPr>
            <w:r/>
            <w:r>
              <w:rPr>
                <w:rFonts w:ascii="Times New Roman" w:hAnsi="Times New Roman"/>
                <w:b w:val="0"/>
                <w:i w:val="0"/>
                <w:sz w:val="18"/>
              </w:rPr>
              <w:t>-0.245</w:t>
            </w:r>
          </w:p>
        </w:tc>
        <w:tc>
          <w:tcPr>
            <w:tcW w:type="dxa" w:w="2055"/>
          </w:tcPr>
          <w:p>
            <w:pPr>
              <w:spacing w:before="20" w:after="20"/>
              <w:jc w:val="center"/>
            </w:pPr>
            <w:r/>
            <w:r>
              <w:rPr>
                <w:rFonts w:ascii="Times New Roman" w:hAnsi="Times New Roman"/>
                <w:b w:val="0"/>
                <w:i w:val="0"/>
                <w:sz w:val="18"/>
              </w:rPr>
              <w:t>+0.991</w:t>
            </w:r>
          </w:p>
        </w:tc>
      </w:tr>
      <w:tr>
        <w:tc>
          <w:tcPr>
            <w:tcW w:type="dxa" w:w="2055"/>
          </w:tcPr>
          <w:p>
            <w:pPr>
              <w:spacing w:before="20" w:after="20"/>
              <w:jc w:val="center"/>
            </w:pPr>
            <w:r/>
            <w:r>
              <w:rPr>
                <w:rFonts w:ascii="Times New Roman" w:hAnsi="Times New Roman"/>
                <w:b w:val="0"/>
                <w:i w:val="0"/>
                <w:sz w:val="18"/>
              </w:rPr>
              <w:t>252d</w:t>
            </w:r>
          </w:p>
        </w:tc>
        <w:tc>
          <w:tcPr>
            <w:tcW w:type="dxa" w:w="2055"/>
          </w:tcPr>
          <w:p>
            <w:pPr>
              <w:spacing w:before="20" w:after="20"/>
              <w:jc w:val="center"/>
            </w:pPr>
            <w:r/>
            <w:r>
              <w:rPr>
                <w:rFonts w:ascii="Times New Roman" w:hAnsi="Times New Roman"/>
                <w:b w:val="0"/>
                <w:i w:val="0"/>
                <w:sz w:val="18"/>
              </w:rPr>
              <w:t>0.7251</w:t>
            </w:r>
          </w:p>
        </w:tc>
        <w:tc>
          <w:tcPr>
            <w:tcW w:type="dxa" w:w="2055"/>
          </w:tcPr>
          <w:p>
            <w:pPr>
              <w:spacing w:before="20" w:after="20"/>
              <w:jc w:val="center"/>
            </w:pPr>
            <w:r/>
            <w:r>
              <w:rPr>
                <w:rFonts w:ascii="Times New Roman" w:hAnsi="Times New Roman"/>
                <w:b w:val="0"/>
                <w:i w:val="0"/>
                <w:sz w:val="18"/>
              </w:rPr>
              <w:t>-0.849</w:t>
            </w:r>
          </w:p>
        </w:tc>
        <w:tc>
          <w:tcPr>
            <w:tcW w:type="dxa" w:w="2055"/>
          </w:tcPr>
          <w:p>
            <w:pPr>
              <w:spacing w:before="20" w:after="20"/>
              <w:jc w:val="center"/>
            </w:pPr>
            <w:r/>
            <w:r>
              <w:rPr>
                <w:rFonts w:ascii="Times New Roman" w:hAnsi="Times New Roman"/>
                <w:b w:val="0"/>
                <w:i w:val="0"/>
                <w:sz w:val="18"/>
              </w:rPr>
              <w:t>+1.574</w:t>
            </w:r>
          </w:p>
        </w:tc>
      </w:tr>
    </w:tbl>
    <w:p/>
    <w:p>
      <w:pPr>
        <w:spacing w:before="0" w:after="120" w:lineRule="auto" w:line="360"/>
        <w:ind w:firstLine="400"/>
        <w:jc w:val="both"/>
      </w:pPr>
      <w:r>
        <w:rPr>
          <w:rFonts w:ascii="Times New Roman" w:hAnsi="Times New Roman"/>
          <w:b w:val="0"/>
          <w:i w:val="0"/>
          <w:sz w:val="20"/>
        </w:rPr>
        <w:t>22거래일 기준으로 Pooled R</w:t>
      </w:r>
      <w:r>
        <w:rPr>
          <w:rFonts w:ascii="Times New Roman" w:hAnsi="Times New Roman"/>
          <w:b w:val="0"/>
          <w:i w:val="0"/>
          <w:sz w:val="20"/>
          <w:vertAlign w:val="superscript"/>
        </w:rPr>
        <w:t>2</w:t>
      </w:r>
      <w:r>
        <w:rPr>
          <w:rFonts w:ascii="Times New Roman" w:hAnsi="Times New Roman"/>
          <w:b w:val="0"/>
          <w:i w:val="0"/>
          <w:sz w:val="20"/>
        </w:rPr>
        <w:t>는 0.8041인 반면 R</w:t>
      </w:r>
      <w:r>
        <w:rPr>
          <w:rFonts w:ascii="Times New Roman" w:hAnsi="Times New Roman"/>
          <w:b w:val="0"/>
          <w:i w:val="0"/>
          <w:sz w:val="20"/>
          <w:vertAlign w:val="superscript"/>
        </w:rPr>
        <w:t>2</w:t>
      </w:r>
      <w:r>
        <w:rPr>
          <w:rFonts w:ascii="Times New Roman" w:hAnsi="Times New Roman"/>
          <w:b w:val="0"/>
          <w:i w:val="0"/>
          <w:sz w:val="20"/>
        </w:rPr>
        <w:t>_Within은 0.3831로, 두 지표의 차이가 0.421이다. 이 차이는 장기로 갈수록 확대되어 252d에서는 1.574에 이른다. 1~22거래일 구간에서는 R</w:t>
      </w:r>
      <w:r>
        <w:rPr>
          <w:rFonts w:ascii="Times New Roman" w:hAnsi="Times New Roman"/>
          <w:b w:val="0"/>
          <w:i w:val="0"/>
          <w:sz w:val="20"/>
          <w:vertAlign w:val="superscript"/>
        </w:rPr>
        <w:t>2</w:t>
      </w:r>
      <w:r>
        <w:rPr>
          <w:rFonts w:ascii="Times New Roman" w:hAnsi="Times New Roman"/>
          <w:b w:val="0"/>
          <w:i w:val="0"/>
          <w:sz w:val="20"/>
        </w:rPr>
        <w:t>_Within이 0.034~0.383 범위의 양수로 시계열 예측력이 존재하나, 60거래일 이상에서는 R</w:t>
      </w:r>
      <w:r>
        <w:rPr>
          <w:rFonts w:ascii="Times New Roman" w:hAnsi="Times New Roman"/>
          <w:b w:val="0"/>
          <w:i w:val="0"/>
          <w:sz w:val="20"/>
          <w:vertAlign w:val="superscript"/>
        </w:rPr>
        <w:t>2</w:t>
      </w:r>
      <w:r>
        <w:rPr>
          <w:rFonts w:ascii="Times New Roman" w:hAnsi="Times New Roman"/>
          <w:b w:val="0"/>
          <w:i w:val="0"/>
          <w:sz w:val="20"/>
        </w:rPr>
        <w:t>_Within이 0.166 이하로 하락하고 90d부터 음수로 전환된다.</w:t>
      </w:r>
    </w:p>
    <w:p>
      <w:pPr>
        <w:spacing w:before="0" w:after="120" w:lineRule="auto" w:line="360"/>
        <w:ind w:firstLine="400"/>
        <w:jc w:val="both"/>
      </w:pPr>
      <w:r>
        <w:rPr>
          <w:rFonts w:ascii="Times New Roman" w:hAnsi="Times New Roman"/>
          <w:b w:val="0"/>
          <w:i w:val="0"/>
          <w:sz w:val="20"/>
        </w:rPr>
        <w:t>R</w:t>
      </w:r>
      <w:r>
        <w:rPr>
          <w:rFonts w:ascii="Times New Roman" w:hAnsi="Times New Roman"/>
          <w:b w:val="0"/>
          <w:i w:val="0"/>
          <w:sz w:val="20"/>
          <w:vertAlign w:val="superscript"/>
        </w:rPr>
        <w:t>2</w:t>
      </w:r>
      <w:r>
        <w:rPr>
          <w:rFonts w:ascii="Times New Roman" w:hAnsi="Times New Roman"/>
          <w:b w:val="0"/>
          <w:i w:val="0"/>
          <w:sz w:val="20"/>
        </w:rPr>
        <w:t>_Within이 음수라는 것은 모형의 예측값이 각 자산별 표본 평균보다 시계열 방향 예측 정확도가 낮음을 의미한다. 즉, 90거래일 이상의 장기 구간에서 WEns를 포함한 모든 모형은 시계열 변동성 타이밍 예측 면에서는 사실상 한계에 이르며, 높은 Pooled R</w:t>
      </w:r>
      <w:r>
        <w:rPr>
          <w:rFonts w:ascii="Times New Roman" w:hAnsi="Times New Roman"/>
          <w:b w:val="0"/>
          <w:i w:val="0"/>
          <w:sz w:val="20"/>
          <w:vertAlign w:val="superscript"/>
        </w:rPr>
        <w:t>2</w:t>
      </w:r>
      <w:r>
        <w:rPr>
          <w:rFonts w:ascii="Times New Roman" w:hAnsi="Times New Roman"/>
          <w:b w:val="0"/>
          <w:i w:val="0"/>
          <w:sz w:val="20"/>
        </w:rPr>
        <w:t>는 주로 '어느 자산이 평균적으로 더 변동성이 높은가'를 반영하는 횡단면 수준 차이의 설명력에서 비롯된다. 따라서 장기 예측 결과는 개별 자산의 시계열 변동성 타이밍 예측력이 아닌, 자산군 간 평균 변동성 수준 차이의 예측 가능성으로 해석해야 하며, Pooled R</w:t>
      </w:r>
      <w:r>
        <w:rPr>
          <w:rFonts w:ascii="Times New Roman" w:hAnsi="Times New Roman"/>
          <w:b w:val="0"/>
          <w:i w:val="0"/>
          <w:sz w:val="20"/>
          <w:vertAlign w:val="superscript"/>
        </w:rPr>
        <w:t>2</w:t>
      </w:r>
      <w:r>
        <w:rPr>
          <w:rFonts w:ascii="Times New Roman" w:hAnsi="Times New Roman"/>
          <w:b w:val="0"/>
          <w:i w:val="0"/>
          <w:sz w:val="20"/>
        </w:rPr>
        <w:t>를 해석할 때는 이 분해를 반드시 함께 고려해야 한다.</w:t>
      </w:r>
    </w:p>
    <w:p>
      <w:pPr>
        <w:spacing w:before="0" w:after="120" w:lineRule="auto" w:line="360"/>
        <w:ind w:firstLine="400"/>
        <w:jc w:val="both"/>
      </w:pPr>
      <w:r>
        <w:rPr>
          <w:rFonts w:ascii="Times New Roman" w:hAnsi="Times New Roman"/>
          <w:b w:val="0"/>
          <w:i w:val="0"/>
          <w:sz w:val="20"/>
        </w:rPr>
        <w:t>그림 4는 예측 기간별 WEns의 Pooled R</w:t>
      </w:r>
      <w:r>
        <w:rPr>
          <w:rFonts w:ascii="Times New Roman" w:hAnsi="Times New Roman"/>
          <w:b w:val="0"/>
          <w:i w:val="0"/>
          <w:sz w:val="20"/>
          <w:vertAlign w:val="superscript"/>
        </w:rPr>
        <w:t>2</w:t>
      </w:r>
      <w:r>
        <w:rPr>
          <w:rFonts w:ascii="Times New Roman" w:hAnsi="Times New Roman"/>
          <w:b w:val="0"/>
          <w:i w:val="0"/>
          <w:sz w:val="20"/>
        </w:rPr>
        <w:t>와 R</w:t>
      </w:r>
      <w:r>
        <w:rPr>
          <w:rFonts w:ascii="Times New Roman" w:hAnsi="Times New Roman"/>
          <w:b w:val="0"/>
          <w:i w:val="0"/>
          <w:sz w:val="20"/>
          <w:vertAlign w:val="superscript"/>
        </w:rPr>
        <w:t>2</w:t>
      </w:r>
      <w:r>
        <w:rPr>
          <w:rFonts w:ascii="Times New Roman" w:hAnsi="Times New Roman"/>
          <w:b w:val="0"/>
          <w:i w:val="0"/>
          <w:sz w:val="20"/>
        </w:rPr>
        <w:t>_Within을 함께 나타낸 것으로, 장기 기간으로 갈수록 두 지표의 괴리가 확대되는 양상을 보여준다.</w:t>
      </w:r>
    </w:p>
    <w:p>
      <w:pPr>
        <w:spacing w:before="120" w:after="60" w:lineRule="auto" w:line="288"/>
        <w:jc w:val="center"/>
      </w:pPr>
      <w:r>
        <w:rPr>
          <w:rFonts w:ascii="Times New Roman" w:hAnsi="Times New Roman"/>
          <w:b w:val="0"/>
          <w:i/>
          <w:sz w:val="20"/>
        </w:rPr>
        <w:t>[이미지 삽입 위치]</w:t>
      </w:r>
    </w:p>
    <w:p>
      <w:pPr>
        <w:spacing w:before="60" w:after="60" w:lineRule="auto" w:line="288"/>
        <w:jc w:val="center"/>
      </w:pPr>
      <w:r>
        <w:rPr>
          <w:rFonts w:ascii="Times New Roman" w:hAnsi="Times New Roman"/>
          <w:b w:val="0"/>
          <w:i w:val="0"/>
          <w:sz w:val="20"/>
        </w:rPr>
        <w:t>그림 4. 기간별 WEns Pooled R</w:t>
      </w:r>
      <w:r>
        <w:rPr>
          <w:rFonts w:ascii="Times New Roman" w:hAnsi="Times New Roman"/>
          <w:b w:val="0"/>
          <w:i w:val="0"/>
          <w:sz w:val="20"/>
          <w:vertAlign w:val="superscript"/>
        </w:rPr>
        <w:t>2</w:t>
      </w:r>
      <w:r>
        <w:rPr>
          <w:rFonts w:ascii="Times New Roman" w:hAnsi="Times New Roman"/>
          <w:b w:val="0"/>
          <w:i w:val="0"/>
          <w:sz w:val="20"/>
        </w:rPr>
        <w:t xml:space="preserve"> vs R</w:t>
      </w:r>
      <w:r>
        <w:rPr>
          <w:rFonts w:ascii="Times New Roman" w:hAnsi="Times New Roman"/>
          <w:b w:val="0"/>
          <w:i w:val="0"/>
          <w:sz w:val="20"/>
          <w:vertAlign w:val="superscript"/>
        </w:rPr>
        <w:t>2</w:t>
      </w:r>
      <w:r>
        <w:rPr>
          <w:rFonts w:ascii="Times New Roman" w:hAnsi="Times New Roman"/>
          <w:b w:val="0"/>
          <w:i w:val="0"/>
          <w:sz w:val="20"/>
        </w:rPr>
        <w:t>_Within  /  Fig. 4. WEns Pooled R</w:t>
      </w:r>
      <w:r>
        <w:rPr>
          <w:rFonts w:ascii="Times New Roman" w:hAnsi="Times New Roman"/>
          <w:b w:val="0"/>
          <w:i w:val="0"/>
          <w:sz w:val="20"/>
          <w:vertAlign w:val="superscript"/>
        </w:rPr>
        <w:t>2</w:t>
      </w:r>
      <w:r>
        <w:rPr>
          <w:rFonts w:ascii="Times New Roman" w:hAnsi="Times New Roman"/>
          <w:b w:val="0"/>
          <w:i w:val="0"/>
          <w:sz w:val="20"/>
        </w:rPr>
        <w:t xml:space="preserve"> vs R</w:t>
      </w:r>
      <w:r>
        <w:rPr>
          <w:rFonts w:ascii="Times New Roman" w:hAnsi="Times New Roman"/>
          <w:b w:val="0"/>
          <w:i w:val="0"/>
          <w:sz w:val="20"/>
          <w:vertAlign w:val="superscript"/>
        </w:rPr>
        <w:t>2</w:t>
      </w:r>
      <w:r>
        <w:rPr>
          <w:rFonts w:ascii="Times New Roman" w:hAnsi="Times New Roman"/>
          <w:b w:val="0"/>
          <w:i w:val="0"/>
          <w:sz w:val="20"/>
        </w:rPr>
        <w:t>_Within by Horizon</w:t>
      </w:r>
    </w:p>
    <w:p>
      <w:pPr>
        <w:spacing w:before="160" w:after="80" w:lineRule="auto" w:line="360"/>
        <w:jc w:val="left"/>
      </w:pPr>
      <w:r>
        <w:rPr>
          <w:rFonts w:ascii="Times New Roman" w:hAnsi="Times New Roman"/>
          <w:b/>
          <w:i w:val="0"/>
          <w:sz w:val="22"/>
        </w:rPr>
        <w:t>2) 기간별 최적 모형 분석</w:t>
      </w:r>
    </w:p>
    <w:p>
      <w:pPr>
        <w:spacing w:before="0" w:after="120" w:lineRule="auto" w:line="360"/>
        <w:ind w:firstLine="400"/>
        <w:jc w:val="both"/>
      </w:pPr>
      <w:r>
        <w:rPr>
          <w:rFonts w:ascii="Times New Roman" w:hAnsi="Times New Roman"/>
          <w:b w:val="0"/>
          <w:i w:val="0"/>
          <w:sz w:val="20"/>
        </w:rPr>
        <w:t>동일한 35개 피처, 동일한 자산군별 내부 검증 절차, 동일한 학습-테스트 분할을 적용하여 모든 모델을 공정하게 비교한 결과를 22거래일 기간 기준으로 제시한다.</w:t>
      </w:r>
    </w:p>
    <w:p>
      <w:pPr>
        <w:spacing w:before="0" w:after="120" w:lineRule="auto" w:line="360"/>
        <w:ind w:firstLine="400"/>
        <w:jc w:val="both"/>
      </w:pPr>
      <w:r>
        <w:rPr>
          <w:rFonts w:ascii="Times New Roman" w:hAnsi="Times New Roman"/>
          <w:b w:val="0"/>
          <w:i w:val="0"/>
          <w:sz w:val="20"/>
        </w:rPr>
        <w:t>22d Pooled R</w:t>
      </w:r>
      <w:r>
        <w:rPr>
          <w:rFonts w:ascii="Times New Roman" w:hAnsi="Times New Roman"/>
          <w:b w:val="0"/>
          <w:i w:val="0"/>
          <w:sz w:val="20"/>
          <w:vertAlign w:val="superscript"/>
        </w:rPr>
        <w:t>2</w:t>
      </w:r>
      <w:r>
        <w:rPr>
          <w:rFonts w:ascii="Times New Roman" w:hAnsi="Times New Roman"/>
          <w:b w:val="0"/>
          <w:i w:val="0"/>
          <w:sz w:val="20"/>
        </w:rPr>
        <w:t xml:space="preserve"> 기준으로 WEns(0.8041) &gt; Ridge(0.8026) &gt; ENet(0.8009) &gt; LASSO(0.7973) 순으로 규제 선형 계열이 상위 4위를 차지했으며, 트리 기반 모델인 RF(0.7775), XGBoost(0.7758), LightGBM(0.7697)이 5~7위를 기록했다. BiLSTM-A(0.5217)와 MLP(0.5644)는 최하위로, 1위 대비 각각 0.282p, 0.240p 낮았다. 이는 자산군별 독립 피팅 구조에서 표본 크기가 제한적인 반면 모델 파라미터 수가 많아 과적합이 발생하기 쉬운 점이 복합적으로 작용한 결과로 해석된다.</w:t>
      </w:r>
    </w:p>
    <w:p>
      <w:pPr>
        <w:spacing w:before="60" w:after="60" w:lineRule="auto" w:line="288"/>
        <w:jc w:val="center"/>
      </w:pPr>
      <w:r>
        <w:rPr>
          <w:rFonts w:ascii="Times New Roman" w:hAnsi="Times New Roman"/>
          <w:b w:val="0"/>
          <w:i w:val="0"/>
          <w:sz w:val="20"/>
        </w:rPr>
        <w:t>표 6. 22거래일 기간 모델별 성능 비교  /  Table 6. 22-day Model Performance Comparison</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tcPr>
          <w:p>
            <w:pPr>
              <w:spacing w:before="20" w:after="20"/>
              <w:jc w:val="center"/>
            </w:pPr>
            <w:r/>
            <w:r>
              <w:rPr>
                <w:rFonts w:ascii="Times New Roman" w:hAnsi="Times New Roman"/>
                <w:b/>
                <w:i w:val="0"/>
                <w:sz w:val="18"/>
              </w:rPr>
              <w:t>Model</w:t>
            </w:r>
          </w:p>
        </w:tc>
        <w:tc>
          <w:tcPr>
            <w:tcW w:type="dxa" w:w="2055"/>
          </w:tcPr>
          <w:p>
            <w:pPr>
              <w:spacing w:before="20" w:after="20"/>
              <w:jc w:val="center"/>
            </w:pPr>
            <w:r/>
            <w:r>
              <w:rPr>
                <w:rFonts w:ascii="Times New Roman" w:hAnsi="Times New Roman"/>
                <w:b/>
                <w:i w:val="0"/>
                <w:sz w:val="18"/>
              </w:rPr>
              <w:t>Pooled R²</w:t>
            </w:r>
          </w:p>
        </w:tc>
        <w:tc>
          <w:tcPr>
            <w:tcW w:type="dxa" w:w="2055"/>
          </w:tcPr>
          <w:p>
            <w:pPr>
              <w:spacing w:before="20" w:after="20"/>
              <w:jc w:val="center"/>
            </w:pPr>
            <w:r/>
            <w:r>
              <w:rPr>
                <w:rFonts w:ascii="Times New Roman" w:hAnsi="Times New Roman"/>
                <w:b/>
                <w:i w:val="0"/>
                <w:sz w:val="18"/>
              </w:rPr>
              <w:t>Median R²</w:t>
            </w:r>
          </w:p>
        </w:tc>
        <w:tc>
          <w:tcPr>
            <w:tcW w:type="dxa" w:w="2055"/>
          </w:tcPr>
          <w:p>
            <w:pPr>
              <w:spacing w:before="20" w:after="20"/>
              <w:jc w:val="center"/>
            </w:pPr>
            <w:r/>
            <w:r>
              <w:rPr>
                <w:rFonts w:ascii="Times New Roman" w:hAnsi="Times New Roman"/>
                <w:b/>
                <w:i w:val="0"/>
                <w:sz w:val="18"/>
              </w:rPr>
              <w:t>RMSE</w:t>
            </w:r>
          </w:p>
        </w:tc>
      </w:tr>
      <w:tr>
        <w:tc>
          <w:tcPr>
            <w:tcW w:type="dxa" w:w="2055"/>
          </w:tcPr>
          <w:p>
            <w:pPr>
              <w:spacing w:before="20" w:after="20"/>
              <w:jc w:val="center"/>
            </w:pPr>
            <w:r/>
            <w:r>
              <w:rPr>
                <w:rFonts w:ascii="Times New Roman" w:hAnsi="Times New Roman"/>
                <w:b w:val="0"/>
                <w:i w:val="0"/>
                <w:sz w:val="18"/>
              </w:rPr>
              <w:t>HAR-3</w:t>
            </w:r>
          </w:p>
        </w:tc>
        <w:tc>
          <w:tcPr>
            <w:tcW w:type="dxa" w:w="2055"/>
          </w:tcPr>
          <w:p>
            <w:pPr>
              <w:spacing w:before="20" w:after="20"/>
              <w:jc w:val="center"/>
            </w:pPr>
            <w:r/>
            <w:r>
              <w:rPr>
                <w:rFonts w:ascii="Times New Roman" w:hAnsi="Times New Roman"/>
                <w:b w:val="0"/>
                <w:i w:val="0"/>
                <w:sz w:val="18"/>
              </w:rPr>
              <w:t>0.7659</w:t>
            </w:r>
          </w:p>
        </w:tc>
        <w:tc>
          <w:tcPr>
            <w:tcW w:type="dxa" w:w="2055"/>
          </w:tcPr>
          <w:p>
            <w:pPr>
              <w:spacing w:before="20" w:after="20"/>
              <w:jc w:val="center"/>
            </w:pPr>
            <w:r/>
            <w:r>
              <w:rPr>
                <w:rFonts w:ascii="Times New Roman" w:hAnsi="Times New Roman"/>
                <w:b w:val="0"/>
                <w:i w:val="0"/>
                <w:sz w:val="18"/>
              </w:rPr>
              <w:t>0.1702</w:t>
            </w:r>
          </w:p>
        </w:tc>
        <w:tc>
          <w:tcPr>
            <w:tcW w:type="dxa" w:w="2055"/>
          </w:tcPr>
          <w:p>
            <w:pPr>
              <w:spacing w:before="20" w:after="20"/>
              <w:jc w:val="center"/>
            </w:pPr>
            <w:r/>
            <w:r>
              <w:rPr>
                <w:rFonts w:ascii="Times New Roman" w:hAnsi="Times New Roman"/>
                <w:b w:val="0"/>
                <w:i w:val="0"/>
                <w:sz w:val="18"/>
              </w:rPr>
              <w:t>0.5023</w:t>
            </w:r>
          </w:p>
        </w:tc>
      </w:tr>
      <w:tr>
        <w:tc>
          <w:tcPr>
            <w:tcW w:type="dxa" w:w="2055"/>
          </w:tcPr>
          <w:p>
            <w:pPr>
              <w:spacing w:before="20" w:after="20"/>
              <w:jc w:val="center"/>
            </w:pPr>
            <w:r/>
            <w:r>
              <w:rPr>
                <w:rFonts w:ascii="Times New Roman" w:hAnsi="Times New Roman"/>
                <w:b w:val="0"/>
                <w:i w:val="0"/>
                <w:sz w:val="18"/>
              </w:rPr>
              <w:t>Ridge</w:t>
            </w:r>
          </w:p>
        </w:tc>
        <w:tc>
          <w:tcPr>
            <w:tcW w:type="dxa" w:w="2055"/>
          </w:tcPr>
          <w:p>
            <w:pPr>
              <w:spacing w:before="20" w:after="20"/>
              <w:jc w:val="center"/>
            </w:pPr>
            <w:r/>
            <w:r>
              <w:rPr>
                <w:rFonts w:ascii="Times New Roman" w:hAnsi="Times New Roman"/>
                <w:b w:val="0"/>
                <w:i w:val="0"/>
                <w:sz w:val="18"/>
              </w:rPr>
              <w:t>0.8026</w:t>
            </w:r>
          </w:p>
        </w:tc>
        <w:tc>
          <w:tcPr>
            <w:tcW w:type="dxa" w:w="2055"/>
          </w:tcPr>
          <w:p>
            <w:pPr>
              <w:spacing w:before="20" w:after="20"/>
              <w:jc w:val="center"/>
            </w:pPr>
            <w:r/>
            <w:r>
              <w:rPr>
                <w:rFonts w:ascii="Times New Roman" w:hAnsi="Times New Roman"/>
                <w:b w:val="0"/>
                <w:i w:val="0"/>
                <w:sz w:val="18"/>
              </w:rPr>
              <w:t>0.2583</w:t>
            </w:r>
          </w:p>
        </w:tc>
        <w:tc>
          <w:tcPr>
            <w:tcW w:type="dxa" w:w="2055"/>
          </w:tcPr>
          <w:p>
            <w:pPr>
              <w:spacing w:before="20" w:after="20"/>
              <w:jc w:val="center"/>
            </w:pPr>
            <w:r/>
            <w:r>
              <w:rPr>
                <w:rFonts w:ascii="Times New Roman" w:hAnsi="Times New Roman"/>
                <w:b w:val="0"/>
                <w:i w:val="0"/>
                <w:sz w:val="18"/>
              </w:rPr>
              <w:t>0.4612</w:t>
            </w:r>
          </w:p>
        </w:tc>
      </w:tr>
      <w:tr>
        <w:tc>
          <w:tcPr>
            <w:tcW w:type="dxa" w:w="2055"/>
          </w:tcPr>
          <w:p>
            <w:pPr>
              <w:spacing w:before="20" w:after="20"/>
              <w:jc w:val="center"/>
            </w:pPr>
            <w:r/>
            <w:r>
              <w:rPr>
                <w:rFonts w:ascii="Times New Roman" w:hAnsi="Times New Roman"/>
                <w:b w:val="0"/>
                <w:i w:val="0"/>
                <w:sz w:val="18"/>
              </w:rPr>
              <w:t>ENet</w:t>
            </w:r>
          </w:p>
        </w:tc>
        <w:tc>
          <w:tcPr>
            <w:tcW w:type="dxa" w:w="2055"/>
          </w:tcPr>
          <w:p>
            <w:pPr>
              <w:spacing w:before="20" w:after="20"/>
              <w:jc w:val="center"/>
            </w:pPr>
            <w:r/>
            <w:r>
              <w:rPr>
                <w:rFonts w:ascii="Times New Roman" w:hAnsi="Times New Roman"/>
                <w:b w:val="0"/>
                <w:i w:val="0"/>
                <w:sz w:val="18"/>
              </w:rPr>
              <w:t>0.8009</w:t>
            </w:r>
          </w:p>
        </w:tc>
        <w:tc>
          <w:tcPr>
            <w:tcW w:type="dxa" w:w="2055"/>
          </w:tcPr>
          <w:p>
            <w:pPr>
              <w:spacing w:before="20" w:after="20"/>
              <w:jc w:val="center"/>
            </w:pPr>
            <w:r/>
            <w:r>
              <w:rPr>
                <w:rFonts w:ascii="Times New Roman" w:hAnsi="Times New Roman"/>
                <w:b w:val="0"/>
                <w:i w:val="0"/>
                <w:sz w:val="18"/>
              </w:rPr>
              <w:t>0.2619</w:t>
            </w:r>
          </w:p>
        </w:tc>
        <w:tc>
          <w:tcPr>
            <w:tcW w:type="dxa" w:w="2055"/>
          </w:tcPr>
          <w:p>
            <w:pPr>
              <w:spacing w:before="20" w:after="20"/>
              <w:jc w:val="center"/>
            </w:pPr>
            <w:r/>
            <w:r>
              <w:rPr>
                <w:rFonts w:ascii="Times New Roman" w:hAnsi="Times New Roman"/>
                <w:b w:val="0"/>
                <w:i w:val="0"/>
                <w:sz w:val="18"/>
              </w:rPr>
              <w:t>0.4632</w:t>
            </w:r>
          </w:p>
        </w:tc>
      </w:tr>
      <w:tr>
        <w:tc>
          <w:tcPr>
            <w:tcW w:type="dxa" w:w="2055"/>
          </w:tcPr>
          <w:p>
            <w:pPr>
              <w:spacing w:before="20" w:after="20"/>
              <w:jc w:val="center"/>
            </w:pPr>
            <w:r/>
            <w:r>
              <w:rPr>
                <w:rFonts w:ascii="Times New Roman" w:hAnsi="Times New Roman"/>
                <w:b w:val="0"/>
                <w:i w:val="0"/>
                <w:sz w:val="18"/>
              </w:rPr>
              <w:t>LASSO</w:t>
            </w:r>
          </w:p>
        </w:tc>
        <w:tc>
          <w:tcPr>
            <w:tcW w:type="dxa" w:w="2055"/>
          </w:tcPr>
          <w:p>
            <w:pPr>
              <w:spacing w:before="20" w:after="20"/>
              <w:jc w:val="center"/>
            </w:pPr>
            <w:r/>
            <w:r>
              <w:rPr>
                <w:rFonts w:ascii="Times New Roman" w:hAnsi="Times New Roman"/>
                <w:b w:val="0"/>
                <w:i w:val="0"/>
                <w:sz w:val="18"/>
              </w:rPr>
              <w:t>0.7973</w:t>
            </w:r>
          </w:p>
        </w:tc>
        <w:tc>
          <w:tcPr>
            <w:tcW w:type="dxa" w:w="2055"/>
          </w:tcPr>
          <w:p>
            <w:pPr>
              <w:spacing w:before="20" w:after="20"/>
              <w:jc w:val="center"/>
            </w:pPr>
            <w:r/>
            <w:r>
              <w:rPr>
                <w:rFonts w:ascii="Times New Roman" w:hAnsi="Times New Roman"/>
                <w:b w:val="0"/>
                <w:i w:val="0"/>
                <w:sz w:val="18"/>
              </w:rPr>
              <w:t>0.2420</w:t>
            </w:r>
          </w:p>
        </w:tc>
        <w:tc>
          <w:tcPr>
            <w:tcW w:type="dxa" w:w="2055"/>
          </w:tcPr>
          <w:p>
            <w:pPr>
              <w:spacing w:before="20" w:after="20"/>
              <w:jc w:val="center"/>
            </w:pPr>
            <w:r/>
            <w:r>
              <w:rPr>
                <w:rFonts w:ascii="Times New Roman" w:hAnsi="Times New Roman"/>
                <w:b w:val="0"/>
                <w:i w:val="0"/>
                <w:sz w:val="18"/>
              </w:rPr>
              <w:t>0.4674</w:t>
            </w:r>
          </w:p>
        </w:tc>
      </w:tr>
      <w:tr>
        <w:tc>
          <w:tcPr>
            <w:tcW w:type="dxa" w:w="2055"/>
          </w:tcPr>
          <w:p>
            <w:pPr>
              <w:spacing w:before="20" w:after="20"/>
              <w:jc w:val="center"/>
            </w:pPr>
            <w:r/>
            <w:r>
              <w:rPr>
                <w:rFonts w:ascii="Times New Roman" w:hAnsi="Times New Roman"/>
                <w:b w:val="0"/>
                <w:i w:val="0"/>
                <w:sz w:val="18"/>
              </w:rPr>
              <w:t>RF</w:t>
            </w:r>
          </w:p>
        </w:tc>
        <w:tc>
          <w:tcPr>
            <w:tcW w:type="dxa" w:w="2055"/>
          </w:tcPr>
          <w:p>
            <w:pPr>
              <w:spacing w:before="20" w:after="20"/>
              <w:jc w:val="center"/>
            </w:pPr>
            <w:r/>
            <w:r>
              <w:rPr>
                <w:rFonts w:ascii="Times New Roman" w:hAnsi="Times New Roman"/>
                <w:b w:val="0"/>
                <w:i w:val="0"/>
                <w:sz w:val="18"/>
              </w:rPr>
              <w:t>0.7775</w:t>
            </w:r>
          </w:p>
        </w:tc>
        <w:tc>
          <w:tcPr>
            <w:tcW w:type="dxa" w:w="2055"/>
          </w:tcPr>
          <w:p>
            <w:pPr>
              <w:spacing w:before="20" w:after="20"/>
              <w:jc w:val="center"/>
            </w:pPr>
            <w:r/>
            <w:r>
              <w:rPr>
                <w:rFonts w:ascii="Times New Roman" w:hAnsi="Times New Roman"/>
                <w:b w:val="0"/>
                <w:i w:val="0"/>
                <w:sz w:val="18"/>
              </w:rPr>
              <w:t>0.1659</w:t>
            </w:r>
          </w:p>
        </w:tc>
        <w:tc>
          <w:tcPr>
            <w:tcW w:type="dxa" w:w="2055"/>
          </w:tcPr>
          <w:p>
            <w:pPr>
              <w:spacing w:before="20" w:after="20"/>
              <w:jc w:val="center"/>
            </w:pPr>
            <w:r/>
            <w:r>
              <w:rPr>
                <w:rFonts w:ascii="Times New Roman" w:hAnsi="Times New Roman"/>
                <w:b w:val="0"/>
                <w:i w:val="0"/>
                <w:sz w:val="18"/>
              </w:rPr>
              <w:t>0.4896</w:t>
            </w:r>
          </w:p>
        </w:tc>
      </w:tr>
      <w:tr>
        <w:tc>
          <w:tcPr>
            <w:tcW w:type="dxa" w:w="2055"/>
          </w:tcPr>
          <w:p>
            <w:pPr>
              <w:spacing w:before="20" w:after="20"/>
              <w:jc w:val="center"/>
            </w:pPr>
            <w:r/>
            <w:r>
              <w:rPr>
                <w:rFonts w:ascii="Times New Roman" w:hAnsi="Times New Roman"/>
                <w:b w:val="0"/>
                <w:i w:val="0"/>
                <w:sz w:val="18"/>
              </w:rPr>
              <w:t>XGBoost</w:t>
            </w:r>
          </w:p>
        </w:tc>
        <w:tc>
          <w:tcPr>
            <w:tcW w:type="dxa" w:w="2055"/>
          </w:tcPr>
          <w:p>
            <w:pPr>
              <w:spacing w:before="20" w:after="20"/>
              <w:jc w:val="center"/>
            </w:pPr>
            <w:r/>
            <w:r>
              <w:rPr>
                <w:rFonts w:ascii="Times New Roman" w:hAnsi="Times New Roman"/>
                <w:b w:val="0"/>
                <w:i w:val="0"/>
                <w:sz w:val="18"/>
              </w:rPr>
              <w:t>0.7758</w:t>
            </w:r>
          </w:p>
        </w:tc>
        <w:tc>
          <w:tcPr>
            <w:tcW w:type="dxa" w:w="2055"/>
          </w:tcPr>
          <w:p>
            <w:pPr>
              <w:spacing w:before="20" w:after="20"/>
              <w:jc w:val="center"/>
            </w:pPr>
            <w:r/>
            <w:r>
              <w:rPr>
                <w:rFonts w:ascii="Times New Roman" w:hAnsi="Times New Roman"/>
                <w:b w:val="0"/>
                <w:i w:val="0"/>
                <w:sz w:val="18"/>
              </w:rPr>
              <w:t>0.1271</w:t>
            </w:r>
          </w:p>
        </w:tc>
        <w:tc>
          <w:tcPr>
            <w:tcW w:type="dxa" w:w="2055"/>
          </w:tcPr>
          <w:p>
            <w:pPr>
              <w:spacing w:before="20" w:after="20"/>
              <w:jc w:val="center"/>
            </w:pPr>
            <w:r/>
            <w:r>
              <w:rPr>
                <w:rFonts w:ascii="Times New Roman" w:hAnsi="Times New Roman"/>
                <w:b w:val="0"/>
                <w:i w:val="0"/>
                <w:sz w:val="18"/>
              </w:rPr>
              <w:t>0.4915</w:t>
            </w:r>
          </w:p>
        </w:tc>
      </w:tr>
      <w:tr>
        <w:tc>
          <w:tcPr>
            <w:tcW w:type="dxa" w:w="2055"/>
          </w:tcPr>
          <w:p>
            <w:pPr>
              <w:spacing w:before="20" w:after="20"/>
              <w:jc w:val="center"/>
            </w:pPr>
            <w:r/>
            <w:r>
              <w:rPr>
                <w:rFonts w:ascii="Times New Roman" w:hAnsi="Times New Roman"/>
                <w:b w:val="0"/>
                <w:i w:val="0"/>
                <w:sz w:val="18"/>
              </w:rPr>
              <w:t>LightGBM</w:t>
            </w:r>
          </w:p>
        </w:tc>
        <w:tc>
          <w:tcPr>
            <w:tcW w:type="dxa" w:w="2055"/>
          </w:tcPr>
          <w:p>
            <w:pPr>
              <w:spacing w:before="20" w:after="20"/>
              <w:jc w:val="center"/>
            </w:pPr>
            <w:r/>
            <w:r>
              <w:rPr>
                <w:rFonts w:ascii="Times New Roman" w:hAnsi="Times New Roman"/>
                <w:b w:val="0"/>
                <w:i w:val="0"/>
                <w:sz w:val="18"/>
              </w:rPr>
              <w:t>0.7697</w:t>
            </w:r>
          </w:p>
        </w:tc>
        <w:tc>
          <w:tcPr>
            <w:tcW w:type="dxa" w:w="2055"/>
          </w:tcPr>
          <w:p>
            <w:pPr>
              <w:spacing w:before="20" w:after="20"/>
              <w:jc w:val="center"/>
            </w:pPr>
            <w:r/>
            <w:r>
              <w:rPr>
                <w:rFonts w:ascii="Times New Roman" w:hAnsi="Times New Roman"/>
                <w:b w:val="0"/>
                <w:i w:val="0"/>
                <w:sz w:val="18"/>
              </w:rPr>
              <w:t>0.1255</w:t>
            </w:r>
          </w:p>
        </w:tc>
        <w:tc>
          <w:tcPr>
            <w:tcW w:type="dxa" w:w="2055"/>
          </w:tcPr>
          <w:p>
            <w:pPr>
              <w:spacing w:before="20" w:after="20"/>
              <w:jc w:val="center"/>
            </w:pPr>
            <w:r/>
            <w:r>
              <w:rPr>
                <w:rFonts w:ascii="Times New Roman" w:hAnsi="Times New Roman"/>
                <w:b w:val="0"/>
                <w:i w:val="0"/>
                <w:sz w:val="18"/>
              </w:rPr>
              <w:t>0.4982</w:t>
            </w:r>
          </w:p>
        </w:tc>
      </w:tr>
      <w:tr>
        <w:tc>
          <w:tcPr>
            <w:tcW w:type="dxa" w:w="2055"/>
          </w:tcPr>
          <w:p>
            <w:pPr>
              <w:spacing w:before="20" w:after="20"/>
              <w:jc w:val="center"/>
            </w:pPr>
            <w:r/>
            <w:r>
              <w:rPr>
                <w:rFonts w:ascii="Times New Roman" w:hAnsi="Times New Roman"/>
                <w:b w:val="0"/>
                <w:i w:val="0"/>
                <w:sz w:val="18"/>
              </w:rPr>
              <w:t>BiLSTM-A</w:t>
            </w:r>
          </w:p>
        </w:tc>
        <w:tc>
          <w:tcPr>
            <w:tcW w:type="dxa" w:w="2055"/>
          </w:tcPr>
          <w:p>
            <w:pPr>
              <w:spacing w:before="20" w:after="20"/>
              <w:jc w:val="center"/>
            </w:pPr>
            <w:r/>
            <w:r>
              <w:rPr>
                <w:rFonts w:ascii="Times New Roman" w:hAnsi="Times New Roman"/>
                <w:b w:val="0"/>
                <w:i w:val="0"/>
                <w:sz w:val="18"/>
              </w:rPr>
              <w:t>0.5217</w:t>
            </w:r>
          </w:p>
        </w:tc>
        <w:tc>
          <w:tcPr>
            <w:tcW w:type="dxa" w:w="2055"/>
          </w:tcPr>
          <w:p>
            <w:pPr>
              <w:spacing w:before="20" w:after="20"/>
              <w:jc w:val="center"/>
            </w:pPr>
            <w:r/>
            <w:r>
              <w:rPr>
                <w:rFonts w:ascii="Times New Roman" w:hAnsi="Times New Roman"/>
                <w:b w:val="0"/>
                <w:i w:val="0"/>
                <w:sz w:val="18"/>
              </w:rPr>
              <w:t>-0.6121</w:t>
            </w:r>
          </w:p>
        </w:tc>
        <w:tc>
          <w:tcPr>
            <w:tcW w:type="dxa" w:w="2055"/>
          </w:tcPr>
          <w:p>
            <w:pPr>
              <w:spacing w:before="20" w:after="20"/>
              <w:jc w:val="center"/>
            </w:pPr>
            <w:r/>
            <w:r>
              <w:rPr>
                <w:rFonts w:ascii="Times New Roman" w:hAnsi="Times New Roman"/>
                <w:b w:val="0"/>
                <w:i w:val="0"/>
                <w:sz w:val="18"/>
              </w:rPr>
              <w:t>0.7111</w:t>
            </w:r>
          </w:p>
        </w:tc>
      </w:tr>
      <w:tr>
        <w:tc>
          <w:tcPr>
            <w:tcW w:type="dxa" w:w="2055"/>
          </w:tcPr>
          <w:p>
            <w:pPr>
              <w:spacing w:before="20" w:after="20"/>
              <w:jc w:val="center"/>
            </w:pPr>
            <w:r/>
            <w:r>
              <w:rPr>
                <w:rFonts w:ascii="Times New Roman" w:hAnsi="Times New Roman"/>
                <w:b w:val="0"/>
                <w:i w:val="0"/>
                <w:sz w:val="18"/>
              </w:rPr>
              <w:t>MLP</w:t>
            </w:r>
          </w:p>
        </w:tc>
        <w:tc>
          <w:tcPr>
            <w:tcW w:type="dxa" w:w="2055"/>
          </w:tcPr>
          <w:p>
            <w:pPr>
              <w:spacing w:before="20" w:after="20"/>
              <w:jc w:val="center"/>
            </w:pPr>
            <w:r/>
            <w:r>
              <w:rPr>
                <w:rFonts w:ascii="Times New Roman" w:hAnsi="Times New Roman"/>
                <w:b w:val="0"/>
                <w:i w:val="0"/>
                <w:sz w:val="18"/>
              </w:rPr>
              <w:t>0.5644</w:t>
            </w:r>
          </w:p>
        </w:tc>
        <w:tc>
          <w:tcPr>
            <w:tcW w:type="dxa" w:w="2055"/>
          </w:tcPr>
          <w:p>
            <w:pPr>
              <w:spacing w:before="20" w:after="20"/>
              <w:jc w:val="center"/>
            </w:pPr>
            <w:r/>
            <w:r>
              <w:rPr>
                <w:rFonts w:ascii="Times New Roman" w:hAnsi="Times New Roman"/>
                <w:b w:val="0"/>
                <w:i w:val="0"/>
                <w:sz w:val="18"/>
              </w:rPr>
              <w:t>-0.5295</w:t>
            </w:r>
          </w:p>
        </w:tc>
        <w:tc>
          <w:tcPr>
            <w:tcW w:type="dxa" w:w="2055"/>
          </w:tcPr>
          <w:p>
            <w:pPr>
              <w:spacing w:before="20" w:after="20"/>
              <w:jc w:val="center"/>
            </w:pPr>
            <w:r/>
            <w:r>
              <w:rPr>
                <w:rFonts w:ascii="Times New Roman" w:hAnsi="Times New Roman"/>
                <w:b w:val="0"/>
                <w:i w:val="0"/>
                <w:sz w:val="18"/>
              </w:rPr>
              <w:t>0.6852</w:t>
            </w:r>
          </w:p>
        </w:tc>
      </w:tr>
      <w:tr>
        <w:tc>
          <w:tcPr>
            <w:tcW w:type="dxa" w:w="2055"/>
          </w:tcPr>
          <w:p>
            <w:pPr>
              <w:spacing w:before="20" w:after="20"/>
              <w:jc w:val="center"/>
            </w:pPr>
            <w:r/>
            <w:r>
              <w:rPr>
                <w:rFonts w:ascii="Times New Roman" w:hAnsi="Times New Roman"/>
                <w:b w:val="0"/>
                <w:i w:val="0"/>
                <w:sz w:val="18"/>
              </w:rPr>
              <w:t>WEns</w:t>
            </w:r>
          </w:p>
        </w:tc>
        <w:tc>
          <w:tcPr>
            <w:tcW w:type="dxa" w:w="2055"/>
          </w:tcPr>
          <w:p>
            <w:pPr>
              <w:spacing w:before="20" w:after="20"/>
              <w:jc w:val="center"/>
            </w:pPr>
            <w:r/>
            <w:r>
              <w:rPr>
                <w:rFonts w:ascii="Times New Roman" w:hAnsi="Times New Roman"/>
                <w:b w:val="0"/>
                <w:i w:val="0"/>
                <w:sz w:val="18"/>
              </w:rPr>
              <w:t>0.8041</w:t>
            </w:r>
          </w:p>
        </w:tc>
        <w:tc>
          <w:tcPr>
            <w:tcW w:type="dxa" w:w="2055"/>
          </w:tcPr>
          <w:p>
            <w:pPr>
              <w:spacing w:before="20" w:after="20"/>
              <w:jc w:val="center"/>
            </w:pPr>
            <w:r/>
            <w:r>
              <w:rPr>
                <w:rFonts w:ascii="Times New Roman" w:hAnsi="Times New Roman"/>
                <w:b w:val="0"/>
                <w:i w:val="0"/>
                <w:sz w:val="18"/>
              </w:rPr>
              <w:t>0.2457</w:t>
            </w:r>
          </w:p>
        </w:tc>
        <w:tc>
          <w:tcPr>
            <w:tcW w:type="dxa" w:w="2055"/>
          </w:tcPr>
          <w:p>
            <w:pPr>
              <w:spacing w:before="20" w:after="20"/>
              <w:jc w:val="center"/>
            </w:pPr>
            <w:r/>
            <w:r>
              <w:rPr>
                <w:rFonts w:ascii="Times New Roman" w:hAnsi="Times New Roman"/>
                <w:b w:val="0"/>
                <w:i w:val="0"/>
                <w:sz w:val="18"/>
              </w:rPr>
              <w:t>0.4595</w:t>
            </w:r>
          </w:p>
        </w:tc>
      </w:tr>
    </w:tbl>
    <w:p/>
    <w:p>
      <w:pPr>
        <w:spacing w:before="0" w:after="120" w:lineRule="auto" w:line="360"/>
        <w:ind w:firstLine="400"/>
        <w:jc w:val="both"/>
      </w:pPr>
      <w:r>
        <w:rPr>
          <w:rFonts w:ascii="Times New Roman" w:hAnsi="Times New Roman"/>
          <w:b w:val="0"/>
          <w:i w:val="0"/>
          <w:sz w:val="20"/>
        </w:rPr>
        <w:t>한편 Median R</w:t>
      </w:r>
      <w:r>
        <w:rPr>
          <w:rFonts w:ascii="Times New Roman" w:hAnsi="Times New Roman"/>
          <w:b w:val="0"/>
          <w:i w:val="0"/>
          <w:sz w:val="20"/>
          <w:vertAlign w:val="superscript"/>
        </w:rPr>
        <w:t>2</w:t>
      </w:r>
      <w:r>
        <w:rPr>
          <w:rFonts w:ascii="Times New Roman" w:hAnsi="Times New Roman"/>
          <w:b w:val="0"/>
          <w:i w:val="0"/>
          <w:sz w:val="20"/>
        </w:rPr>
        <w:t xml:space="preserve"> 기준으로는 ElasticNet이 0.2619, Ridge가 0.2583으로 WEns의 0.2457보다 소폭 높게 나타났다. 즉, WEns는 Pooled R</w:t>
      </w:r>
      <w:r>
        <w:rPr>
          <w:rFonts w:ascii="Times New Roman" w:hAnsi="Times New Roman"/>
          <w:b w:val="0"/>
          <w:i w:val="0"/>
          <w:sz w:val="20"/>
          <w:vertAlign w:val="superscript"/>
        </w:rPr>
        <w:t>2</w:t>
      </w:r>
      <w:r>
        <w:rPr>
          <w:rFonts w:ascii="Times New Roman" w:hAnsi="Times New Roman"/>
          <w:b w:val="0"/>
          <w:i w:val="0"/>
          <w:sz w:val="20"/>
        </w:rPr>
        <w:t xml:space="preserve"> 기준 최상위이나 Median R</w:t>
      </w:r>
      <w:r>
        <w:rPr>
          <w:rFonts w:ascii="Times New Roman" w:hAnsi="Times New Roman"/>
          <w:b w:val="0"/>
          <w:i w:val="0"/>
          <w:sz w:val="20"/>
          <w:vertAlign w:val="superscript"/>
        </w:rPr>
        <w:t>2</w:t>
      </w:r>
      <w:r>
        <w:rPr>
          <w:rFonts w:ascii="Times New Roman" w:hAnsi="Times New Roman"/>
          <w:b w:val="0"/>
          <w:i w:val="0"/>
          <w:sz w:val="20"/>
        </w:rPr>
        <w:t xml:space="preserve"> 기준으로는 ElasticNet·Ridge에 미치지 못한다. 따라서 RQ2의 "WEns가 개별 모형 대비 통계적으로 유의한 성능 우위를 가지는가"에 대한 답은 지표에 따라 구분해야 한다. 전통적 벤치마크(HAR-3, NaiveRV, GARCH) 대비로는 Pooled R</w:t>
      </w:r>
      <w:r>
        <w:rPr>
          <w:rFonts w:ascii="Times New Roman" w:hAnsi="Times New Roman"/>
          <w:b w:val="0"/>
          <w:i w:val="0"/>
          <w:sz w:val="20"/>
          <w:vertAlign w:val="superscript"/>
        </w:rPr>
        <w:t>2</w:t>
      </w:r>
      <w:r>
        <w:rPr>
          <w:rFonts w:ascii="Times New Roman" w:hAnsi="Times New Roman"/>
          <w:b w:val="0"/>
          <w:i w:val="0"/>
          <w:sz w:val="20"/>
        </w:rPr>
        <w:t xml:space="preserve"> 및 DM 검정 모두에서 명확한 우위가 확인된다. 반면 동일 피처·동일 검증 절차로 학습된 정규화 선형 모델(ElasticNet, Ridge) 대비로는 Pooled R</w:t>
      </w:r>
      <w:r>
        <w:rPr>
          <w:rFonts w:ascii="Times New Roman" w:hAnsi="Times New Roman"/>
          <w:b w:val="0"/>
          <w:i w:val="0"/>
          <w:sz w:val="20"/>
          <w:vertAlign w:val="superscript"/>
        </w:rPr>
        <w:t>2</w:t>
      </w:r>
      <w:r>
        <w:rPr>
          <w:rFonts w:ascii="Times New Roman" w:hAnsi="Times New Roman"/>
          <w:b w:val="0"/>
          <w:i w:val="0"/>
          <w:sz w:val="20"/>
        </w:rPr>
        <w:t xml:space="preserve"> 기준 소폭 우위(+0.0018~+0.0035p)가 통계적으로 유의하지만, Median R</w:t>
      </w:r>
      <w:r>
        <w:rPr>
          <w:rFonts w:ascii="Times New Roman" w:hAnsi="Times New Roman"/>
          <w:b w:val="0"/>
          <w:i w:val="0"/>
          <w:sz w:val="20"/>
          <w:vertAlign w:val="superscript"/>
        </w:rPr>
        <w:t>2</w:t>
      </w:r>
      <w:r>
        <w:rPr>
          <w:rFonts w:ascii="Times New Roman" w:hAnsi="Times New Roman"/>
          <w:b w:val="0"/>
          <w:i w:val="0"/>
          <w:sz w:val="20"/>
        </w:rPr>
        <w:t xml:space="preserve"> 기준에서는 ElasticNet과 Ridge가 소폭 앞서 단일 지표로 최고 모델을 결론 내리기 어렵다. 본 연구는 Pooled R</w:t>
      </w:r>
      <w:r>
        <w:rPr>
          <w:rFonts w:ascii="Times New Roman" w:hAnsi="Times New Roman"/>
          <w:b w:val="0"/>
          <w:i w:val="0"/>
          <w:sz w:val="20"/>
          <w:vertAlign w:val="superscript"/>
        </w:rPr>
        <w:t>2</w:t>
      </w:r>
      <w:r>
        <w:rPr>
          <w:rFonts w:ascii="Times New Roman" w:hAnsi="Times New Roman"/>
          <w:b w:val="0"/>
          <w:i w:val="0"/>
          <w:sz w:val="20"/>
        </w:rPr>
        <w:t>를 주 지표로 설정하였으므로 WEns를 최고 성능 모델로 보고하되, Median R</w:t>
      </w:r>
      <w:r>
        <w:rPr>
          <w:rFonts w:ascii="Times New Roman" w:hAnsi="Times New Roman"/>
          <w:b w:val="0"/>
          <w:i w:val="0"/>
          <w:sz w:val="20"/>
          <w:vertAlign w:val="superscript"/>
        </w:rPr>
        <w:t>2</w:t>
      </w:r>
      <w:r>
        <w:rPr>
          <w:rFonts w:ascii="Times New Roman" w:hAnsi="Times New Roman"/>
          <w:b w:val="0"/>
          <w:i w:val="0"/>
          <w:sz w:val="20"/>
        </w:rPr>
        <w:t xml:space="preserve"> 관점의 한계를 함께 명시한다. WEns와 Ridge의 Pooled R</w:t>
      </w:r>
      <w:r>
        <w:rPr>
          <w:rFonts w:ascii="Times New Roman" w:hAnsi="Times New Roman"/>
          <w:b w:val="0"/>
          <w:i w:val="0"/>
          <w:sz w:val="20"/>
          <w:vertAlign w:val="superscript"/>
        </w:rPr>
        <w:t>2</w:t>
      </w:r>
      <w:r>
        <w:rPr>
          <w:rFonts w:ascii="Times New Roman" w:hAnsi="Times New Roman"/>
          <w:b w:val="0"/>
          <w:i w:val="0"/>
          <w:sz w:val="20"/>
        </w:rPr>
        <w:t xml:space="preserve"> 차이는 0.0015p로 수치상 작으나, DM 검정(+5.395, p&lt;0.001)에서 통계적으로 유의하며, 고변동성 구간(VIX 상위 10%)에서 WEns의 개선폭이 +0.163으로 확대되어 위기 국면에서의 실용적 우위를 일부 뒷받침한다.</w:t>
      </w:r>
    </w:p>
    <w:p>
      <w:pPr>
        <w:spacing w:before="240" w:after="120" w:lineRule="auto" w:line="360"/>
        <w:jc w:val="left"/>
      </w:pPr>
      <w:r>
        <w:rPr>
          <w:rFonts w:ascii="Times New Roman" w:hAnsi="Times New Roman"/>
          <w:b/>
          <w:i w:val="0"/>
          <w:sz w:val="24"/>
        </w:rPr>
        <w:t>2. 자산별·자산군별 성능 분석</w:t>
      </w:r>
    </w:p>
    <w:p>
      <w:pPr>
        <w:spacing w:before="160" w:after="80" w:lineRule="auto" w:line="360"/>
        <w:jc w:val="left"/>
      </w:pPr>
      <w:r>
        <w:rPr>
          <w:rFonts w:ascii="Times New Roman" w:hAnsi="Times New Roman"/>
          <w:b/>
          <w:i w:val="0"/>
          <w:sz w:val="22"/>
        </w:rPr>
        <w:t>1) 자산별 R</w:t>
      </w:r>
      <w:r>
        <w:rPr>
          <w:rFonts w:ascii="Times New Roman" w:hAnsi="Times New Roman"/>
          <w:b/>
          <w:i w:val="0"/>
          <w:sz w:val="22"/>
          <w:vertAlign w:val="superscript"/>
        </w:rPr>
        <w:t>2</w:t>
      </w:r>
      <w:r>
        <w:rPr>
          <w:rFonts w:ascii="Times New Roman" w:hAnsi="Times New Roman"/>
          <w:b/>
          <w:i w:val="0"/>
          <w:sz w:val="22"/>
        </w:rPr>
        <w:t xml:space="preserve"> 비교</w:t>
      </w:r>
    </w:p>
    <w:p>
      <w:pPr>
        <w:spacing w:before="0" w:after="120" w:lineRule="auto" w:line="360"/>
        <w:ind w:firstLine="400"/>
        <w:jc w:val="both"/>
      </w:pPr>
      <w:r>
        <w:rPr>
          <w:rFonts w:ascii="Times New Roman" w:hAnsi="Times New Roman"/>
          <w:b w:val="0"/>
          <w:i w:val="0"/>
          <w:sz w:val="20"/>
        </w:rPr>
        <w:t>22거래일 기간 WEns의 자산별 R</w:t>
      </w:r>
      <w:r>
        <w:rPr>
          <w:rFonts w:ascii="Times New Roman" w:hAnsi="Times New Roman"/>
          <w:b w:val="0"/>
          <w:i w:val="0"/>
          <w:sz w:val="20"/>
          <w:vertAlign w:val="superscript"/>
        </w:rPr>
        <w:t>2</w:t>
      </w:r>
      <w:r>
        <w:rPr>
          <w:rFonts w:ascii="Times New Roman" w:hAnsi="Times New Roman"/>
          <w:b w:val="0"/>
          <w:i w:val="0"/>
          <w:sz w:val="20"/>
        </w:rPr>
        <w:t>를 제시한다. 주식 자산군에서는 SPY(0.569), QQQ(0.454), EFA(0.415)가 상대적으로 높은 예측력을 보였으며, 원자재 중 USO(0.381)도 양호한 수준을 나타냈다. 반면 채권(TLT 0.123, IEF 0.152, AGG 0.159)과 SLV(0.003)는 낮은 R</w:t>
      </w:r>
      <w:r>
        <w:rPr>
          <w:rFonts w:ascii="Times New Roman" w:hAnsi="Times New Roman"/>
          <w:b w:val="0"/>
          <w:i w:val="0"/>
          <w:sz w:val="20"/>
          <w:vertAlign w:val="superscript"/>
        </w:rPr>
        <w:t>2</w:t>
      </w:r>
      <w:r>
        <w:rPr>
          <w:rFonts w:ascii="Times New Roman" w:hAnsi="Times New Roman"/>
          <w:b w:val="0"/>
          <w:i w:val="0"/>
          <w:sz w:val="20"/>
        </w:rPr>
        <w:t>를 보였다.</w:t>
      </w:r>
    </w:p>
    <w:p>
      <w:pPr>
        <w:spacing w:before="60" w:after="60" w:lineRule="auto" w:line="288"/>
        <w:jc w:val="center"/>
      </w:pPr>
      <w:r>
        <w:rPr>
          <w:rFonts w:ascii="Times New Roman" w:hAnsi="Times New Roman"/>
          <w:b w:val="0"/>
          <w:i w:val="0"/>
          <w:sz w:val="20"/>
        </w:rPr>
        <w:t>표 7. WEns 자산별 R</w:t>
      </w:r>
      <w:r>
        <w:rPr>
          <w:rFonts w:ascii="Times New Roman" w:hAnsi="Times New Roman"/>
          <w:b w:val="0"/>
          <w:i w:val="0"/>
          <w:sz w:val="20"/>
          <w:vertAlign w:val="superscript"/>
        </w:rPr>
        <w:t>2</w:t>
      </w:r>
      <w:r>
        <w:rPr>
          <w:rFonts w:ascii="Times New Roman" w:hAnsi="Times New Roman"/>
          <w:b w:val="0"/>
          <w:i w:val="0"/>
          <w:sz w:val="20"/>
        </w:rPr>
        <w:t xml:space="preserve"> (22d 예측 기간)  /  Table 7. WEns Per-Asset R</w:t>
      </w:r>
      <w:r>
        <w:rPr>
          <w:rFonts w:ascii="Times New Roman" w:hAnsi="Times New Roman"/>
          <w:b w:val="0"/>
          <w:i w:val="0"/>
          <w:sz w:val="20"/>
          <w:vertAlign w:val="superscript"/>
        </w:rPr>
        <w:t>2</w:t>
      </w:r>
      <w:r>
        <w:rPr>
          <w:rFonts w:ascii="Times New Roman" w:hAnsi="Times New Roman"/>
          <w:b w:val="0"/>
          <w:i w:val="0"/>
          <w:sz w:val="20"/>
        </w:rPr>
        <w:t xml:space="preserve"> (22d Forecast Horizon)</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pPr>
              <w:spacing w:before="20" w:after="20"/>
              <w:jc w:val="center"/>
            </w:pPr>
            <w:r/>
            <w:r>
              <w:rPr>
                <w:rFonts w:ascii="Times New Roman" w:hAnsi="Times New Roman"/>
                <w:b/>
                <w:i w:val="0"/>
                <w:sz w:val="18"/>
              </w:rPr>
              <w:t>Asset</w:t>
            </w:r>
          </w:p>
        </w:tc>
        <w:tc>
          <w:tcPr>
            <w:tcW w:type="dxa" w:w="2740"/>
          </w:tcPr>
          <w:p>
            <w:pPr>
              <w:spacing w:before="20" w:after="20"/>
              <w:jc w:val="center"/>
            </w:pPr>
            <w:r/>
            <w:r>
              <w:rPr>
                <w:rFonts w:ascii="Times New Roman" w:hAnsi="Times New Roman"/>
                <w:b/>
                <w:i w:val="0"/>
                <w:sz w:val="18"/>
              </w:rPr>
              <w:t>Class</w:t>
            </w:r>
          </w:p>
        </w:tc>
        <w:tc>
          <w:tcPr>
            <w:tcW w:type="dxa" w:w="2740"/>
          </w:tcPr>
          <w:p>
            <w:pPr>
              <w:spacing w:before="20" w:after="20"/>
              <w:jc w:val="center"/>
            </w:pPr>
            <w:r/>
            <w:r>
              <w:rPr>
                <w:rFonts w:ascii="Times New Roman" w:hAnsi="Times New Roman"/>
                <w:b/>
                <w:i w:val="0"/>
                <w:sz w:val="18"/>
              </w:rPr>
              <w:t>R²</w:t>
            </w:r>
          </w:p>
        </w:tc>
      </w:tr>
      <w:tr>
        <w:tc>
          <w:tcPr>
            <w:tcW w:type="dxa" w:w="2740"/>
          </w:tcPr>
          <w:p>
            <w:pPr>
              <w:spacing w:before="20" w:after="20"/>
              <w:jc w:val="center"/>
            </w:pPr>
            <w:r/>
            <w:r>
              <w:rPr>
                <w:rFonts w:ascii="Times New Roman" w:hAnsi="Times New Roman"/>
                <w:b w:val="0"/>
                <w:i w:val="0"/>
                <w:sz w:val="18"/>
              </w:rPr>
              <w:t>SPY</w:t>
            </w:r>
          </w:p>
        </w:tc>
        <w:tc>
          <w:tcPr>
            <w:tcW w:type="dxa" w:w="2740"/>
          </w:tcPr>
          <w:p>
            <w:pPr>
              <w:spacing w:before="20" w:after="20"/>
              <w:jc w:val="center"/>
            </w:pPr>
            <w:r/>
            <w:r>
              <w:rPr>
                <w:rFonts w:ascii="Times New Roman" w:hAnsi="Times New Roman"/>
                <w:b w:val="0"/>
                <w:i w:val="0"/>
                <w:sz w:val="18"/>
              </w:rPr>
              <w:t>Equity</w:t>
            </w:r>
          </w:p>
        </w:tc>
        <w:tc>
          <w:tcPr>
            <w:tcW w:type="dxa" w:w="2740"/>
          </w:tcPr>
          <w:p>
            <w:pPr>
              <w:spacing w:before="20" w:after="20"/>
              <w:jc w:val="center"/>
            </w:pPr>
            <w:r/>
            <w:r>
              <w:rPr>
                <w:rFonts w:ascii="Times New Roman" w:hAnsi="Times New Roman"/>
                <w:b w:val="0"/>
                <w:i w:val="0"/>
                <w:sz w:val="18"/>
              </w:rPr>
              <w:t>0.569</w:t>
            </w:r>
          </w:p>
        </w:tc>
      </w:tr>
      <w:tr>
        <w:tc>
          <w:tcPr>
            <w:tcW w:type="dxa" w:w="2740"/>
          </w:tcPr>
          <w:p>
            <w:pPr>
              <w:spacing w:before="20" w:after="20"/>
              <w:jc w:val="center"/>
            </w:pPr>
            <w:r/>
            <w:r>
              <w:rPr>
                <w:rFonts w:ascii="Times New Roman" w:hAnsi="Times New Roman"/>
                <w:b w:val="0"/>
                <w:i w:val="0"/>
                <w:sz w:val="18"/>
              </w:rPr>
              <w:t>QQQ</w:t>
            </w:r>
          </w:p>
        </w:tc>
        <w:tc>
          <w:tcPr>
            <w:tcW w:type="dxa" w:w="2740"/>
          </w:tcPr>
          <w:p>
            <w:pPr>
              <w:spacing w:before="20" w:after="20"/>
              <w:jc w:val="center"/>
            </w:pPr>
            <w:r/>
            <w:r>
              <w:rPr>
                <w:rFonts w:ascii="Times New Roman" w:hAnsi="Times New Roman"/>
                <w:b w:val="0"/>
                <w:i w:val="0"/>
                <w:sz w:val="18"/>
              </w:rPr>
              <w:t>Equity</w:t>
            </w:r>
          </w:p>
        </w:tc>
        <w:tc>
          <w:tcPr>
            <w:tcW w:type="dxa" w:w="2740"/>
          </w:tcPr>
          <w:p>
            <w:pPr>
              <w:spacing w:before="20" w:after="20"/>
              <w:jc w:val="center"/>
            </w:pPr>
            <w:r/>
            <w:r>
              <w:rPr>
                <w:rFonts w:ascii="Times New Roman" w:hAnsi="Times New Roman"/>
                <w:b w:val="0"/>
                <w:i w:val="0"/>
                <w:sz w:val="18"/>
              </w:rPr>
              <w:t>0.454</w:t>
            </w:r>
          </w:p>
        </w:tc>
      </w:tr>
      <w:tr>
        <w:tc>
          <w:tcPr>
            <w:tcW w:type="dxa" w:w="2740"/>
          </w:tcPr>
          <w:p>
            <w:pPr>
              <w:spacing w:before="20" w:after="20"/>
              <w:jc w:val="center"/>
            </w:pPr>
            <w:r/>
            <w:r>
              <w:rPr>
                <w:rFonts w:ascii="Times New Roman" w:hAnsi="Times New Roman"/>
                <w:b w:val="0"/>
                <w:i w:val="0"/>
                <w:sz w:val="18"/>
              </w:rPr>
              <w:t>EFA</w:t>
            </w:r>
          </w:p>
        </w:tc>
        <w:tc>
          <w:tcPr>
            <w:tcW w:type="dxa" w:w="2740"/>
          </w:tcPr>
          <w:p>
            <w:pPr>
              <w:spacing w:before="20" w:after="20"/>
              <w:jc w:val="center"/>
            </w:pPr>
            <w:r/>
            <w:r>
              <w:rPr>
                <w:rFonts w:ascii="Times New Roman" w:hAnsi="Times New Roman"/>
                <w:b w:val="0"/>
                <w:i w:val="0"/>
                <w:sz w:val="18"/>
              </w:rPr>
              <w:t>Equity</w:t>
            </w:r>
          </w:p>
        </w:tc>
        <w:tc>
          <w:tcPr>
            <w:tcW w:type="dxa" w:w="2740"/>
          </w:tcPr>
          <w:p>
            <w:pPr>
              <w:spacing w:before="20" w:after="20"/>
              <w:jc w:val="center"/>
            </w:pPr>
            <w:r/>
            <w:r>
              <w:rPr>
                <w:rFonts w:ascii="Times New Roman" w:hAnsi="Times New Roman"/>
                <w:b w:val="0"/>
                <w:i w:val="0"/>
                <w:sz w:val="18"/>
              </w:rPr>
              <w:t>0.415</w:t>
            </w:r>
          </w:p>
        </w:tc>
      </w:tr>
      <w:tr>
        <w:tc>
          <w:tcPr>
            <w:tcW w:type="dxa" w:w="2740"/>
          </w:tcPr>
          <w:p>
            <w:pPr>
              <w:spacing w:before="20" w:after="20"/>
              <w:jc w:val="center"/>
            </w:pPr>
            <w:r/>
            <w:r>
              <w:rPr>
                <w:rFonts w:ascii="Times New Roman" w:hAnsi="Times New Roman"/>
                <w:b w:val="0"/>
                <w:i w:val="0"/>
                <w:sz w:val="18"/>
              </w:rPr>
              <w:t>EEM</w:t>
            </w:r>
          </w:p>
        </w:tc>
        <w:tc>
          <w:tcPr>
            <w:tcW w:type="dxa" w:w="2740"/>
          </w:tcPr>
          <w:p>
            <w:pPr>
              <w:spacing w:before="20" w:after="20"/>
              <w:jc w:val="center"/>
            </w:pPr>
            <w:r/>
            <w:r>
              <w:rPr>
                <w:rFonts w:ascii="Times New Roman" w:hAnsi="Times New Roman"/>
                <w:b w:val="0"/>
                <w:i w:val="0"/>
                <w:sz w:val="18"/>
              </w:rPr>
              <w:t>Equity</w:t>
            </w:r>
          </w:p>
        </w:tc>
        <w:tc>
          <w:tcPr>
            <w:tcW w:type="dxa" w:w="2740"/>
          </w:tcPr>
          <w:p>
            <w:pPr>
              <w:spacing w:before="20" w:after="20"/>
              <w:jc w:val="center"/>
            </w:pPr>
            <w:r/>
            <w:r>
              <w:rPr>
                <w:rFonts w:ascii="Times New Roman" w:hAnsi="Times New Roman"/>
                <w:b w:val="0"/>
                <w:i w:val="0"/>
                <w:sz w:val="18"/>
              </w:rPr>
              <w:t>0.274</w:t>
            </w:r>
          </w:p>
        </w:tc>
      </w:tr>
      <w:tr>
        <w:tc>
          <w:tcPr>
            <w:tcW w:type="dxa" w:w="2740"/>
          </w:tcPr>
          <w:p>
            <w:pPr>
              <w:spacing w:before="20" w:after="20"/>
              <w:jc w:val="center"/>
            </w:pPr>
            <w:r/>
            <w:r>
              <w:rPr>
                <w:rFonts w:ascii="Times New Roman" w:hAnsi="Times New Roman"/>
                <w:b w:val="0"/>
                <w:i w:val="0"/>
                <w:sz w:val="18"/>
              </w:rPr>
              <w:t>IWM</w:t>
            </w:r>
          </w:p>
        </w:tc>
        <w:tc>
          <w:tcPr>
            <w:tcW w:type="dxa" w:w="2740"/>
          </w:tcPr>
          <w:p>
            <w:pPr>
              <w:spacing w:before="20" w:after="20"/>
              <w:jc w:val="center"/>
            </w:pPr>
            <w:r/>
            <w:r>
              <w:rPr>
                <w:rFonts w:ascii="Times New Roman" w:hAnsi="Times New Roman"/>
                <w:b w:val="0"/>
                <w:i w:val="0"/>
                <w:sz w:val="18"/>
              </w:rPr>
              <w:t>Equity</w:t>
            </w:r>
          </w:p>
        </w:tc>
        <w:tc>
          <w:tcPr>
            <w:tcW w:type="dxa" w:w="2740"/>
          </w:tcPr>
          <w:p>
            <w:pPr>
              <w:spacing w:before="20" w:after="20"/>
              <w:jc w:val="center"/>
            </w:pPr>
            <w:r/>
            <w:r>
              <w:rPr>
                <w:rFonts w:ascii="Times New Roman" w:hAnsi="Times New Roman"/>
                <w:b w:val="0"/>
                <w:i w:val="0"/>
                <w:sz w:val="18"/>
              </w:rPr>
              <w:t>0.185</w:t>
            </w:r>
          </w:p>
        </w:tc>
      </w:tr>
      <w:tr>
        <w:tc>
          <w:tcPr>
            <w:tcW w:type="dxa" w:w="2740"/>
          </w:tcPr>
          <w:p>
            <w:pPr>
              <w:spacing w:before="20" w:after="20"/>
              <w:jc w:val="center"/>
            </w:pPr>
            <w:r/>
            <w:r>
              <w:rPr>
                <w:rFonts w:ascii="Times New Roman" w:hAnsi="Times New Roman"/>
                <w:b w:val="0"/>
                <w:i w:val="0"/>
                <w:sz w:val="18"/>
              </w:rPr>
              <w:t>AGG</w:t>
            </w:r>
          </w:p>
        </w:tc>
        <w:tc>
          <w:tcPr>
            <w:tcW w:type="dxa" w:w="2740"/>
          </w:tcPr>
          <w:p>
            <w:pPr>
              <w:spacing w:before="20" w:after="20"/>
              <w:jc w:val="center"/>
            </w:pPr>
            <w:r/>
            <w:r>
              <w:rPr>
                <w:rFonts w:ascii="Times New Roman" w:hAnsi="Times New Roman"/>
                <w:b w:val="0"/>
                <w:i w:val="0"/>
                <w:sz w:val="18"/>
              </w:rPr>
              <w:t>Bond</w:t>
            </w:r>
          </w:p>
        </w:tc>
        <w:tc>
          <w:tcPr>
            <w:tcW w:type="dxa" w:w="2740"/>
          </w:tcPr>
          <w:p>
            <w:pPr>
              <w:spacing w:before="20" w:after="20"/>
              <w:jc w:val="center"/>
            </w:pPr>
            <w:r/>
            <w:r>
              <w:rPr>
                <w:rFonts w:ascii="Times New Roman" w:hAnsi="Times New Roman"/>
                <w:b w:val="0"/>
                <w:i w:val="0"/>
                <w:sz w:val="18"/>
              </w:rPr>
              <w:t>0.159</w:t>
            </w:r>
          </w:p>
        </w:tc>
      </w:tr>
      <w:tr>
        <w:tc>
          <w:tcPr>
            <w:tcW w:type="dxa" w:w="2740"/>
          </w:tcPr>
          <w:p>
            <w:pPr>
              <w:spacing w:before="20" w:after="20"/>
              <w:jc w:val="center"/>
            </w:pPr>
            <w:r/>
            <w:r>
              <w:rPr>
                <w:rFonts w:ascii="Times New Roman" w:hAnsi="Times New Roman"/>
                <w:b w:val="0"/>
                <w:i w:val="0"/>
                <w:sz w:val="18"/>
              </w:rPr>
              <w:t>IEF</w:t>
            </w:r>
          </w:p>
        </w:tc>
        <w:tc>
          <w:tcPr>
            <w:tcW w:type="dxa" w:w="2740"/>
          </w:tcPr>
          <w:p>
            <w:pPr>
              <w:spacing w:before="20" w:after="20"/>
              <w:jc w:val="center"/>
            </w:pPr>
            <w:r/>
            <w:r>
              <w:rPr>
                <w:rFonts w:ascii="Times New Roman" w:hAnsi="Times New Roman"/>
                <w:b w:val="0"/>
                <w:i w:val="0"/>
                <w:sz w:val="18"/>
              </w:rPr>
              <w:t>Bond</w:t>
            </w:r>
          </w:p>
        </w:tc>
        <w:tc>
          <w:tcPr>
            <w:tcW w:type="dxa" w:w="2740"/>
          </w:tcPr>
          <w:p>
            <w:pPr>
              <w:spacing w:before="20" w:after="20"/>
              <w:jc w:val="center"/>
            </w:pPr>
            <w:r/>
            <w:r>
              <w:rPr>
                <w:rFonts w:ascii="Times New Roman" w:hAnsi="Times New Roman"/>
                <w:b w:val="0"/>
                <w:i w:val="0"/>
                <w:sz w:val="18"/>
              </w:rPr>
              <w:t>0.152</w:t>
            </w:r>
          </w:p>
        </w:tc>
      </w:tr>
      <w:tr>
        <w:tc>
          <w:tcPr>
            <w:tcW w:type="dxa" w:w="2740"/>
          </w:tcPr>
          <w:p>
            <w:pPr>
              <w:spacing w:before="20" w:after="20"/>
              <w:jc w:val="center"/>
            </w:pPr>
            <w:r/>
            <w:r>
              <w:rPr>
                <w:rFonts w:ascii="Times New Roman" w:hAnsi="Times New Roman"/>
                <w:b w:val="0"/>
                <w:i w:val="0"/>
                <w:sz w:val="18"/>
              </w:rPr>
              <w:t>TLT</w:t>
            </w:r>
          </w:p>
        </w:tc>
        <w:tc>
          <w:tcPr>
            <w:tcW w:type="dxa" w:w="2740"/>
          </w:tcPr>
          <w:p>
            <w:pPr>
              <w:spacing w:before="20" w:after="20"/>
              <w:jc w:val="center"/>
            </w:pPr>
            <w:r/>
            <w:r>
              <w:rPr>
                <w:rFonts w:ascii="Times New Roman" w:hAnsi="Times New Roman"/>
                <w:b w:val="0"/>
                <w:i w:val="0"/>
                <w:sz w:val="18"/>
              </w:rPr>
              <w:t>Bond</w:t>
            </w:r>
          </w:p>
        </w:tc>
        <w:tc>
          <w:tcPr>
            <w:tcW w:type="dxa" w:w="2740"/>
          </w:tcPr>
          <w:p>
            <w:pPr>
              <w:spacing w:before="20" w:after="20"/>
              <w:jc w:val="center"/>
            </w:pPr>
            <w:r/>
            <w:r>
              <w:rPr>
                <w:rFonts w:ascii="Times New Roman" w:hAnsi="Times New Roman"/>
                <w:b w:val="0"/>
                <w:i w:val="0"/>
                <w:sz w:val="18"/>
              </w:rPr>
              <w:t>0.123</w:t>
            </w:r>
          </w:p>
        </w:tc>
      </w:tr>
      <w:tr>
        <w:tc>
          <w:tcPr>
            <w:tcW w:type="dxa" w:w="2740"/>
          </w:tcPr>
          <w:p>
            <w:pPr>
              <w:spacing w:before="20" w:after="20"/>
              <w:jc w:val="center"/>
            </w:pPr>
            <w:r/>
            <w:r>
              <w:rPr>
                <w:rFonts w:ascii="Times New Roman" w:hAnsi="Times New Roman"/>
                <w:b w:val="0"/>
                <w:i w:val="0"/>
                <w:sz w:val="18"/>
              </w:rPr>
              <w:t>USO</w:t>
            </w:r>
          </w:p>
        </w:tc>
        <w:tc>
          <w:tcPr>
            <w:tcW w:type="dxa" w:w="2740"/>
          </w:tcPr>
          <w:p>
            <w:pPr>
              <w:spacing w:before="20" w:after="20"/>
              <w:jc w:val="center"/>
            </w:pPr>
            <w:r/>
            <w:r>
              <w:rPr>
                <w:rFonts w:ascii="Times New Roman" w:hAnsi="Times New Roman"/>
                <w:b w:val="0"/>
                <w:i w:val="0"/>
                <w:sz w:val="18"/>
              </w:rPr>
              <w:t>Commodity</w:t>
            </w:r>
          </w:p>
        </w:tc>
        <w:tc>
          <w:tcPr>
            <w:tcW w:type="dxa" w:w="2740"/>
          </w:tcPr>
          <w:p>
            <w:pPr>
              <w:spacing w:before="20" w:after="20"/>
              <w:jc w:val="center"/>
            </w:pPr>
            <w:r/>
            <w:r>
              <w:rPr>
                <w:rFonts w:ascii="Times New Roman" w:hAnsi="Times New Roman"/>
                <w:b w:val="0"/>
                <w:i w:val="0"/>
                <w:sz w:val="18"/>
              </w:rPr>
              <w:t>0.381</w:t>
            </w:r>
          </w:p>
        </w:tc>
      </w:tr>
      <w:tr>
        <w:tc>
          <w:tcPr>
            <w:tcW w:type="dxa" w:w="2740"/>
          </w:tcPr>
          <w:p>
            <w:pPr>
              <w:spacing w:before="20" w:after="20"/>
              <w:jc w:val="center"/>
            </w:pPr>
            <w:r/>
            <w:r>
              <w:rPr>
                <w:rFonts w:ascii="Times New Roman" w:hAnsi="Times New Roman"/>
                <w:b w:val="0"/>
                <w:i w:val="0"/>
                <w:sz w:val="18"/>
              </w:rPr>
              <w:t>GLD</w:t>
            </w:r>
          </w:p>
        </w:tc>
        <w:tc>
          <w:tcPr>
            <w:tcW w:type="dxa" w:w="2740"/>
          </w:tcPr>
          <w:p>
            <w:pPr>
              <w:spacing w:before="20" w:after="20"/>
              <w:jc w:val="center"/>
            </w:pPr>
            <w:r/>
            <w:r>
              <w:rPr>
                <w:rFonts w:ascii="Times New Roman" w:hAnsi="Times New Roman"/>
                <w:b w:val="0"/>
                <w:i w:val="0"/>
                <w:sz w:val="18"/>
              </w:rPr>
              <w:t>Commodity</w:t>
            </w:r>
          </w:p>
        </w:tc>
        <w:tc>
          <w:tcPr>
            <w:tcW w:type="dxa" w:w="2740"/>
          </w:tcPr>
          <w:p>
            <w:pPr>
              <w:spacing w:before="20" w:after="20"/>
              <w:jc w:val="center"/>
            </w:pPr>
            <w:r/>
            <w:r>
              <w:rPr>
                <w:rFonts w:ascii="Times New Roman" w:hAnsi="Times New Roman"/>
                <w:b w:val="0"/>
                <w:i w:val="0"/>
                <w:sz w:val="18"/>
              </w:rPr>
              <w:t>0.093</w:t>
            </w:r>
          </w:p>
        </w:tc>
      </w:tr>
      <w:tr>
        <w:tc>
          <w:tcPr>
            <w:tcW w:type="dxa" w:w="2740"/>
          </w:tcPr>
          <w:p>
            <w:pPr>
              <w:spacing w:before="20" w:after="20"/>
              <w:jc w:val="center"/>
            </w:pPr>
            <w:r/>
            <w:r>
              <w:rPr>
                <w:rFonts w:ascii="Times New Roman" w:hAnsi="Times New Roman"/>
                <w:b w:val="0"/>
                <w:i w:val="0"/>
                <w:sz w:val="18"/>
              </w:rPr>
              <w:t>SLV</w:t>
            </w:r>
          </w:p>
        </w:tc>
        <w:tc>
          <w:tcPr>
            <w:tcW w:type="dxa" w:w="2740"/>
          </w:tcPr>
          <w:p>
            <w:pPr>
              <w:spacing w:before="20" w:after="20"/>
              <w:jc w:val="center"/>
            </w:pPr>
            <w:r/>
            <w:r>
              <w:rPr>
                <w:rFonts w:ascii="Times New Roman" w:hAnsi="Times New Roman"/>
                <w:b w:val="0"/>
                <w:i w:val="0"/>
                <w:sz w:val="18"/>
              </w:rPr>
              <w:t>Commodity</w:t>
            </w:r>
          </w:p>
        </w:tc>
        <w:tc>
          <w:tcPr>
            <w:tcW w:type="dxa" w:w="2740"/>
          </w:tcPr>
          <w:p>
            <w:pPr>
              <w:spacing w:before="20" w:after="20"/>
              <w:jc w:val="center"/>
            </w:pPr>
            <w:r/>
            <w:r>
              <w:rPr>
                <w:rFonts w:ascii="Times New Roman" w:hAnsi="Times New Roman"/>
                <w:b w:val="0"/>
                <w:i w:val="0"/>
                <w:sz w:val="18"/>
              </w:rPr>
              <w:t>0.003</w:t>
            </w:r>
          </w:p>
        </w:tc>
      </w:tr>
    </w:tbl>
    <w:p/>
    <w:p>
      <w:pPr>
        <w:spacing w:before="160" w:after="80" w:lineRule="auto" w:line="360"/>
        <w:jc w:val="left"/>
      </w:pPr>
      <w:r>
        <w:rPr>
          <w:rFonts w:ascii="Times New Roman" w:hAnsi="Times New Roman"/>
          <w:b/>
          <w:i w:val="0"/>
          <w:sz w:val="22"/>
        </w:rPr>
        <w:t>2) 자산군별 성능 패턴 해석</w:t>
      </w:r>
    </w:p>
    <w:p>
      <w:pPr>
        <w:spacing w:before="0" w:after="120" w:lineRule="auto" w:line="360"/>
        <w:ind w:firstLine="400"/>
        <w:jc w:val="both"/>
      </w:pPr>
      <w:r>
        <w:rPr>
          <w:rFonts w:ascii="Times New Roman" w:hAnsi="Times New Roman"/>
          <w:b w:val="0"/>
          <w:i w:val="0"/>
          <w:sz w:val="20"/>
        </w:rPr>
        <w:t>90일 이상 기간에서 중위 R</w:t>
      </w:r>
      <w:r>
        <w:rPr>
          <w:rFonts w:ascii="Times New Roman" w:hAnsi="Times New Roman"/>
          <w:b w:val="0"/>
          <w:i w:val="0"/>
          <w:sz w:val="20"/>
          <w:vertAlign w:val="superscript"/>
        </w:rPr>
        <w:t>2</w:t>
      </w:r>
      <w:r>
        <w:rPr>
          <w:rFonts w:ascii="Times New Roman" w:hAnsi="Times New Roman"/>
          <w:b w:val="0"/>
          <w:i w:val="0"/>
          <w:sz w:val="20"/>
        </w:rPr>
        <w:t>가 음수로 전환되는 현상은 자산군 간 이질성에서 비롯된다. 채권(TLT 0.123, IEF 0.152, AGG 0.159)과 SLV(0.003)의 22d R</w:t>
      </w:r>
      <w:r>
        <w:rPr>
          <w:rFonts w:ascii="Times New Roman" w:hAnsi="Times New Roman"/>
          <w:b w:val="0"/>
          <w:i w:val="0"/>
          <w:sz w:val="20"/>
          <w:vertAlign w:val="superscript"/>
        </w:rPr>
        <w:t>2</w:t>
      </w:r>
      <w:r>
        <w:rPr>
          <w:rFonts w:ascii="Times New Roman" w:hAnsi="Times New Roman"/>
          <w:b w:val="0"/>
          <w:i w:val="0"/>
          <w:sz w:val="20"/>
        </w:rPr>
        <w:t>가 주식(SPY 0.569, QQQ 0.454) 대비 현저히 낮아, 단일 풀링 모델의 중위 R</w:t>
      </w:r>
      <w:r>
        <w:rPr>
          <w:rFonts w:ascii="Times New Roman" w:hAnsi="Times New Roman"/>
          <w:b w:val="0"/>
          <w:i w:val="0"/>
          <w:sz w:val="20"/>
          <w:vertAlign w:val="superscript"/>
        </w:rPr>
        <w:t>2</w:t>
      </w:r>
      <w:r>
        <w:rPr>
          <w:rFonts w:ascii="Times New Roman" w:hAnsi="Times New Roman"/>
          <w:b w:val="0"/>
          <w:i w:val="0"/>
          <w:sz w:val="20"/>
        </w:rPr>
        <w:t>를 음수 방향으로 끌어내린다. 이는 채권 자산군의 변동성 구조가 주식과 다른 체제를 따르며, VIX 기반 IV proxy가 채권 자산의 변동성 기대를 충분히 포착하지 못하는 한계를 반영한다.</w:t>
      </w:r>
    </w:p>
    <w:p>
      <w:pPr>
        <w:spacing w:before="240" w:after="120" w:lineRule="auto" w:line="360"/>
        <w:jc w:val="left"/>
      </w:pPr>
      <w:r>
        <w:rPr>
          <w:rFonts w:ascii="Times New Roman" w:hAnsi="Times New Roman"/>
          <w:b/>
          <w:i w:val="0"/>
          <w:sz w:val="24"/>
        </w:rPr>
        <w:t>3. 피처 기여도 및 중요도 분석</w:t>
      </w:r>
    </w:p>
    <w:p>
      <w:pPr>
        <w:spacing w:before="160" w:after="80" w:lineRule="auto" w:line="360"/>
        <w:jc w:val="left"/>
      </w:pPr>
      <w:r>
        <w:rPr>
          <w:rFonts w:ascii="Times New Roman" w:hAnsi="Times New Roman"/>
          <w:b/>
          <w:i w:val="0"/>
          <w:sz w:val="22"/>
        </w:rPr>
        <w:t>1) 피처 그룹 제거 실험</w:t>
      </w:r>
    </w:p>
    <w:p>
      <w:pPr>
        <w:spacing w:before="0" w:after="120" w:lineRule="auto" w:line="360"/>
        <w:ind w:firstLine="400"/>
        <w:jc w:val="both"/>
      </w:pPr>
      <w:r>
        <w:rPr>
          <w:rFonts w:ascii="Times New Roman" w:hAnsi="Times New Roman"/>
          <w:b w:val="0"/>
          <w:i w:val="0"/>
          <w:sz w:val="20"/>
        </w:rPr>
        <w:t>피처 그룹이 실제로 예측력에 기여하는지 확인하기 위해 Ridge 기반 서브셋 실험과 WEns 기반 그룹 제거 실험을 수행했다.</w:t>
      </w:r>
    </w:p>
    <w:p>
      <w:pPr>
        <w:spacing w:before="60" w:after="60" w:lineRule="auto" w:line="288"/>
        <w:jc w:val="center"/>
      </w:pPr>
      <w:r>
        <w:rPr>
          <w:rFonts w:ascii="Times New Roman" w:hAnsi="Times New Roman"/>
          <w:b w:val="0"/>
          <w:i w:val="0"/>
          <w:sz w:val="20"/>
        </w:rPr>
        <w:t>표 8. Ridge 22거래일 피처 그룹 서브셋 실험  /  Table 8. 22-day Feature Group Subset Experiment (Ridge)</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tcPr>
          <w:p>
            <w:pPr>
              <w:spacing w:before="20" w:after="20"/>
              <w:jc w:val="center"/>
            </w:pPr>
            <w:r/>
            <w:r>
              <w:rPr>
                <w:rFonts w:ascii="Times New Roman" w:hAnsi="Times New Roman"/>
                <w:b/>
                <w:i w:val="0"/>
                <w:sz w:val="18"/>
              </w:rPr>
              <w:t>Ridge_22day</w:t>
            </w:r>
          </w:p>
        </w:tc>
        <w:tc>
          <w:tcPr>
            <w:tcW w:type="dxa" w:w="2055"/>
          </w:tcPr>
          <w:p>
            <w:pPr>
              <w:spacing w:before="20" w:after="20"/>
              <w:jc w:val="center"/>
            </w:pPr>
            <w:r/>
            <w:r>
              <w:rPr>
                <w:rFonts w:ascii="Times New Roman" w:hAnsi="Times New Roman"/>
                <w:b/>
                <w:i w:val="0"/>
                <w:sz w:val="18"/>
              </w:rPr>
              <w:t>Feature Count</w:t>
            </w:r>
          </w:p>
        </w:tc>
        <w:tc>
          <w:tcPr>
            <w:tcW w:type="dxa" w:w="2055"/>
          </w:tcPr>
          <w:p>
            <w:pPr>
              <w:spacing w:before="20" w:after="20"/>
              <w:jc w:val="center"/>
            </w:pPr>
            <w:r/>
            <w:r>
              <w:rPr>
                <w:rFonts w:ascii="Times New Roman" w:hAnsi="Times New Roman"/>
                <w:b/>
                <w:i w:val="0"/>
                <w:sz w:val="18"/>
              </w:rPr>
              <w:t>Pooled R²</w:t>
            </w:r>
          </w:p>
        </w:tc>
        <w:tc>
          <w:tcPr>
            <w:tcW w:type="dxa" w:w="2055"/>
          </w:tcPr>
          <w:p>
            <w:pPr>
              <w:spacing w:before="20" w:after="20"/>
              <w:jc w:val="center"/>
            </w:pPr>
            <w:r/>
            <w:r>
              <w:rPr>
                <w:rFonts w:ascii="Times New Roman" w:hAnsi="Times New Roman"/>
                <w:b/>
                <w:i w:val="0"/>
                <w:sz w:val="18"/>
              </w:rPr>
              <w:t>Median R²</w:t>
            </w:r>
          </w:p>
        </w:tc>
      </w:tr>
      <w:tr>
        <w:tc>
          <w:tcPr>
            <w:tcW w:type="dxa" w:w="2055"/>
          </w:tcPr>
          <w:p>
            <w:pPr>
              <w:spacing w:before="20" w:after="20"/>
              <w:jc w:val="center"/>
            </w:pPr>
            <w:r/>
            <w:r>
              <w:rPr>
                <w:rFonts w:ascii="Times New Roman" w:hAnsi="Times New Roman"/>
                <w:b w:val="0"/>
                <w:i w:val="0"/>
                <w:sz w:val="18"/>
              </w:rPr>
              <w:t>HAR</w:t>
            </w:r>
          </w:p>
        </w:tc>
        <w:tc>
          <w:tcPr>
            <w:tcW w:type="dxa" w:w="2055"/>
          </w:tcPr>
          <w:p>
            <w:pPr>
              <w:spacing w:before="20" w:after="20"/>
              <w:jc w:val="center"/>
            </w:pPr>
            <w:r/>
            <w:r>
              <w:rPr>
                <w:rFonts w:ascii="Times New Roman" w:hAnsi="Times New Roman"/>
                <w:b w:val="0"/>
                <w:i w:val="0"/>
                <w:sz w:val="18"/>
              </w:rPr>
              <w:t>3</w:t>
            </w:r>
          </w:p>
        </w:tc>
        <w:tc>
          <w:tcPr>
            <w:tcW w:type="dxa" w:w="2055"/>
          </w:tcPr>
          <w:p>
            <w:pPr>
              <w:spacing w:before="20" w:after="20"/>
              <w:jc w:val="center"/>
            </w:pPr>
            <w:r/>
            <w:r>
              <w:rPr>
                <w:rFonts w:ascii="Times New Roman" w:hAnsi="Times New Roman"/>
                <w:b w:val="0"/>
                <w:i w:val="0"/>
                <w:sz w:val="18"/>
              </w:rPr>
              <w:t>0.7573</w:t>
            </w:r>
          </w:p>
        </w:tc>
        <w:tc>
          <w:tcPr>
            <w:tcW w:type="dxa" w:w="2055"/>
          </w:tcPr>
          <w:p>
            <w:pPr>
              <w:spacing w:before="20" w:after="20"/>
              <w:jc w:val="center"/>
            </w:pPr>
            <w:r/>
            <w:r>
              <w:rPr>
                <w:rFonts w:ascii="Times New Roman" w:hAnsi="Times New Roman"/>
                <w:b w:val="0"/>
                <w:i w:val="0"/>
                <w:sz w:val="18"/>
              </w:rPr>
              <w:t>0.1931</w:t>
            </w:r>
          </w:p>
        </w:tc>
      </w:tr>
      <w:tr>
        <w:tc>
          <w:tcPr>
            <w:tcW w:type="dxa" w:w="2055"/>
          </w:tcPr>
          <w:p>
            <w:pPr>
              <w:spacing w:before="20" w:after="20"/>
              <w:jc w:val="center"/>
            </w:pPr>
            <w:r/>
            <w:r>
              <w:rPr>
                <w:rFonts w:ascii="Times New Roman" w:hAnsi="Times New Roman"/>
                <w:b w:val="0"/>
                <w:i w:val="0"/>
                <w:sz w:val="18"/>
              </w:rPr>
              <w:t>Range only</w:t>
            </w:r>
          </w:p>
        </w:tc>
        <w:tc>
          <w:tcPr>
            <w:tcW w:type="dxa" w:w="2055"/>
          </w:tcPr>
          <w:p>
            <w:pPr>
              <w:spacing w:before="20" w:after="20"/>
              <w:jc w:val="center"/>
            </w:pPr>
            <w:r/>
            <w:r>
              <w:rPr>
                <w:rFonts w:ascii="Times New Roman" w:hAnsi="Times New Roman"/>
                <w:b w:val="0"/>
                <w:i w:val="0"/>
                <w:sz w:val="18"/>
              </w:rPr>
              <w:t>5</w:t>
            </w:r>
          </w:p>
        </w:tc>
        <w:tc>
          <w:tcPr>
            <w:tcW w:type="dxa" w:w="2055"/>
          </w:tcPr>
          <w:p>
            <w:pPr>
              <w:spacing w:before="20" w:after="20"/>
              <w:jc w:val="center"/>
            </w:pPr>
            <w:r/>
            <w:r>
              <w:rPr>
                <w:rFonts w:ascii="Times New Roman" w:hAnsi="Times New Roman"/>
                <w:b w:val="0"/>
                <w:i w:val="0"/>
                <w:sz w:val="18"/>
              </w:rPr>
              <w:t>0.7749</w:t>
            </w:r>
          </w:p>
        </w:tc>
        <w:tc>
          <w:tcPr>
            <w:tcW w:type="dxa" w:w="2055"/>
          </w:tcPr>
          <w:p>
            <w:pPr>
              <w:spacing w:before="20" w:after="20"/>
              <w:jc w:val="center"/>
            </w:pPr>
            <w:r/>
            <w:r>
              <w:rPr>
                <w:rFonts w:ascii="Times New Roman" w:hAnsi="Times New Roman"/>
                <w:b w:val="0"/>
                <w:i w:val="0"/>
                <w:sz w:val="18"/>
              </w:rPr>
              <w:t>0.0918</w:t>
            </w:r>
          </w:p>
        </w:tc>
      </w:tr>
      <w:tr>
        <w:tc>
          <w:tcPr>
            <w:tcW w:type="dxa" w:w="2055"/>
          </w:tcPr>
          <w:p>
            <w:pPr>
              <w:spacing w:before="20" w:after="20"/>
              <w:jc w:val="center"/>
            </w:pPr>
            <w:r/>
            <w:r>
              <w:rPr>
                <w:rFonts w:ascii="Times New Roman" w:hAnsi="Times New Roman"/>
                <w:b w:val="0"/>
                <w:i w:val="0"/>
                <w:sz w:val="18"/>
              </w:rPr>
              <w:t>IV Surface only</w:t>
            </w:r>
          </w:p>
        </w:tc>
        <w:tc>
          <w:tcPr>
            <w:tcW w:type="dxa" w:w="2055"/>
          </w:tcPr>
          <w:p>
            <w:pPr>
              <w:spacing w:before="20" w:after="20"/>
              <w:jc w:val="center"/>
            </w:pPr>
            <w:r/>
            <w:r>
              <w:rPr>
                <w:rFonts w:ascii="Times New Roman" w:hAnsi="Times New Roman"/>
                <w:b w:val="0"/>
                <w:i w:val="0"/>
                <w:sz w:val="18"/>
              </w:rPr>
              <w:t>10</w:t>
            </w:r>
          </w:p>
        </w:tc>
        <w:tc>
          <w:tcPr>
            <w:tcW w:type="dxa" w:w="2055"/>
          </w:tcPr>
          <w:p>
            <w:pPr>
              <w:spacing w:before="20" w:after="20"/>
              <w:jc w:val="center"/>
            </w:pPr>
            <w:r/>
            <w:r>
              <w:rPr>
                <w:rFonts w:ascii="Times New Roman" w:hAnsi="Times New Roman"/>
                <w:b w:val="0"/>
                <w:i w:val="0"/>
                <w:sz w:val="18"/>
              </w:rPr>
              <w:t>0.2101</w:t>
            </w:r>
          </w:p>
        </w:tc>
        <w:tc>
          <w:tcPr>
            <w:tcW w:type="dxa" w:w="2055"/>
          </w:tcPr>
          <w:p>
            <w:pPr>
              <w:spacing w:before="20" w:after="20"/>
              <w:jc w:val="center"/>
            </w:pPr>
            <w:r/>
            <w:r>
              <w:rPr>
                <w:rFonts w:ascii="Times New Roman" w:hAnsi="Times New Roman"/>
                <w:b w:val="0"/>
                <w:i w:val="0"/>
                <w:sz w:val="18"/>
              </w:rPr>
              <w:t>-0.7032</w:t>
            </w:r>
          </w:p>
        </w:tc>
      </w:tr>
      <w:tr>
        <w:tc>
          <w:tcPr>
            <w:tcW w:type="dxa" w:w="2055"/>
          </w:tcPr>
          <w:p>
            <w:pPr>
              <w:spacing w:before="20" w:after="20"/>
              <w:jc w:val="center"/>
            </w:pPr>
            <w:r/>
            <w:r>
              <w:rPr>
                <w:rFonts w:ascii="Times New Roman" w:hAnsi="Times New Roman"/>
                <w:b w:val="0"/>
                <w:i w:val="0"/>
                <w:sz w:val="18"/>
              </w:rPr>
              <w:t>HAR+Range</w:t>
            </w:r>
          </w:p>
        </w:tc>
        <w:tc>
          <w:tcPr>
            <w:tcW w:type="dxa" w:w="2055"/>
          </w:tcPr>
          <w:p>
            <w:pPr>
              <w:spacing w:before="20" w:after="20"/>
              <w:jc w:val="center"/>
            </w:pPr>
            <w:r/>
            <w:r>
              <w:rPr>
                <w:rFonts w:ascii="Times New Roman" w:hAnsi="Times New Roman"/>
                <w:b w:val="0"/>
                <w:i w:val="0"/>
                <w:sz w:val="18"/>
              </w:rPr>
              <w:t>8</w:t>
            </w:r>
          </w:p>
        </w:tc>
        <w:tc>
          <w:tcPr>
            <w:tcW w:type="dxa" w:w="2055"/>
          </w:tcPr>
          <w:p>
            <w:pPr>
              <w:spacing w:before="20" w:after="20"/>
              <w:jc w:val="center"/>
            </w:pPr>
            <w:r/>
            <w:r>
              <w:rPr>
                <w:rFonts w:ascii="Times New Roman" w:hAnsi="Times New Roman"/>
                <w:b w:val="0"/>
                <w:i w:val="0"/>
                <w:sz w:val="18"/>
              </w:rPr>
              <w:t>0.7899</w:t>
            </w:r>
          </w:p>
        </w:tc>
        <w:tc>
          <w:tcPr>
            <w:tcW w:type="dxa" w:w="2055"/>
          </w:tcPr>
          <w:p>
            <w:pPr>
              <w:spacing w:before="20" w:after="20"/>
              <w:jc w:val="center"/>
            </w:pPr>
            <w:r/>
            <w:r>
              <w:rPr>
                <w:rFonts w:ascii="Times New Roman" w:hAnsi="Times New Roman"/>
                <w:b w:val="0"/>
                <w:i w:val="0"/>
                <w:sz w:val="18"/>
              </w:rPr>
              <w:t>0.2127</w:t>
            </w:r>
          </w:p>
        </w:tc>
      </w:tr>
      <w:tr>
        <w:tc>
          <w:tcPr>
            <w:tcW w:type="dxa" w:w="2055"/>
          </w:tcPr>
          <w:p>
            <w:pPr>
              <w:spacing w:before="20" w:after="20"/>
              <w:jc w:val="center"/>
            </w:pPr>
            <w:r/>
            <w:r>
              <w:rPr>
                <w:rFonts w:ascii="Times New Roman" w:hAnsi="Times New Roman"/>
                <w:b w:val="0"/>
                <w:i w:val="0"/>
                <w:sz w:val="18"/>
              </w:rPr>
              <w:t>Full</w:t>
            </w:r>
          </w:p>
        </w:tc>
        <w:tc>
          <w:tcPr>
            <w:tcW w:type="dxa" w:w="2055"/>
          </w:tcPr>
          <w:p>
            <w:pPr>
              <w:spacing w:before="20" w:after="20"/>
              <w:jc w:val="center"/>
            </w:pPr>
            <w:r/>
            <w:r>
              <w:rPr>
                <w:rFonts w:ascii="Times New Roman" w:hAnsi="Times New Roman"/>
                <w:b w:val="0"/>
                <w:i w:val="0"/>
                <w:sz w:val="18"/>
              </w:rPr>
              <w:t>35</w:t>
            </w:r>
          </w:p>
        </w:tc>
        <w:tc>
          <w:tcPr>
            <w:tcW w:type="dxa" w:w="2055"/>
          </w:tcPr>
          <w:p>
            <w:pPr>
              <w:spacing w:before="20" w:after="20"/>
              <w:jc w:val="center"/>
            </w:pPr>
            <w:r/>
            <w:r>
              <w:rPr>
                <w:rFonts w:ascii="Times New Roman" w:hAnsi="Times New Roman"/>
                <w:b w:val="0"/>
                <w:i w:val="0"/>
                <w:sz w:val="18"/>
              </w:rPr>
              <w:t>0.8026</w:t>
            </w:r>
          </w:p>
        </w:tc>
        <w:tc>
          <w:tcPr>
            <w:tcW w:type="dxa" w:w="2055"/>
          </w:tcPr>
          <w:p>
            <w:pPr>
              <w:spacing w:before="20" w:after="20"/>
              <w:jc w:val="center"/>
            </w:pPr>
            <w:r/>
            <w:r>
              <w:rPr>
                <w:rFonts w:ascii="Times New Roman" w:hAnsi="Times New Roman"/>
                <w:b w:val="0"/>
                <w:i w:val="0"/>
                <w:sz w:val="18"/>
              </w:rPr>
              <w:t>0.2583</w:t>
            </w:r>
          </w:p>
        </w:tc>
      </w:tr>
    </w:tbl>
    <w:p/>
    <w:p>
      <w:pPr>
        <w:spacing w:before="0" w:after="120" w:lineRule="auto" w:line="360"/>
        <w:ind w:firstLine="400"/>
        <w:jc w:val="both"/>
      </w:pPr>
      <w:r>
        <w:rPr>
          <w:rFonts w:ascii="Times New Roman" w:hAnsi="Times New Roman"/>
          <w:b w:val="0"/>
          <w:i w:val="0"/>
          <w:sz w:val="20"/>
        </w:rPr>
        <w:t>HAR 기본 3개 피처의 Pooled R</w:t>
      </w:r>
      <w:r>
        <w:rPr>
          <w:rFonts w:ascii="Times New Roman" w:hAnsi="Times New Roman"/>
          <w:b w:val="0"/>
          <w:i w:val="0"/>
          <w:sz w:val="20"/>
          <w:vertAlign w:val="superscript"/>
        </w:rPr>
        <w:t>2</w:t>
      </w:r>
      <w:r>
        <w:rPr>
          <w:rFonts w:ascii="Times New Roman" w:hAnsi="Times New Roman"/>
          <w:b w:val="0"/>
          <w:i w:val="0"/>
          <w:sz w:val="20"/>
        </w:rPr>
        <w:t>가 0.757인 상태에서 출발하여(Ridge 기준; OLS 기반 HAR-3 벤치마크는 표 6의 0.7659 참조), HAR+Range의 8피처 조합이 0.790으로 상승하고, 35개 전체 피처를 사용한 Full 모델이 0.8026에 이르렀다. Range 5피처만으로도 0.775에 달해 단기 변동성 패턴 포착에 효과적임을 보였으며, IV Surface 10피처 단독으로는 0.210에 그쳐 과거 RV 정보 없이는 예측력이 크게 제한됨을 확인했다.</w:t>
      </w:r>
    </w:p>
    <w:p>
      <w:pPr>
        <w:spacing w:before="0" w:after="120" w:lineRule="auto" w:line="360"/>
        <w:ind w:firstLine="400"/>
        <w:jc w:val="both"/>
      </w:pPr>
      <w:r>
        <w:rPr>
          <w:rFonts w:ascii="Times New Roman" w:hAnsi="Times New Roman"/>
          <w:b w:val="0"/>
          <w:i w:val="0"/>
          <w:sz w:val="20"/>
        </w:rPr>
        <w:t>WEns 기반 그룹 제거 실험 결과는 표 9에 제시한다.</w:t>
      </w:r>
    </w:p>
    <w:p>
      <w:pPr>
        <w:spacing w:before="60" w:after="60" w:lineRule="auto" w:line="288"/>
        <w:jc w:val="center"/>
      </w:pPr>
      <w:r>
        <w:rPr>
          <w:rFonts w:ascii="Times New Roman" w:hAnsi="Times New Roman"/>
          <w:b w:val="0"/>
          <w:i w:val="0"/>
          <w:sz w:val="20"/>
        </w:rPr>
        <w:t>표 9. WEns 22d 기준 피처 그룹 제거 실험  /  Table 9. WEns 22d Feature Group Removal Experiment</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tcPr>
          <w:p>
            <w:pPr>
              <w:spacing w:before="20" w:after="20"/>
              <w:jc w:val="center"/>
            </w:pPr>
            <w:r/>
            <w:r>
              <w:rPr>
                <w:rFonts w:ascii="Times New Roman" w:hAnsi="Times New Roman"/>
                <w:b/>
                <w:i w:val="0"/>
                <w:sz w:val="18"/>
              </w:rPr>
              <w:t>Removed Group</w:t>
            </w:r>
          </w:p>
        </w:tc>
        <w:tc>
          <w:tcPr>
            <w:tcW w:type="dxa" w:w="1644"/>
          </w:tcPr>
          <w:p>
            <w:pPr>
              <w:spacing w:before="20" w:after="20"/>
              <w:jc w:val="center"/>
            </w:pPr>
            <w:r/>
            <w:r>
              <w:rPr>
                <w:rFonts w:ascii="Times New Roman" w:hAnsi="Times New Roman"/>
                <w:b/>
                <w:i w:val="0"/>
                <w:sz w:val="18"/>
              </w:rPr>
              <w:t>Feature Count</w:t>
            </w:r>
          </w:p>
        </w:tc>
        <w:tc>
          <w:tcPr>
            <w:tcW w:type="dxa" w:w="1644"/>
          </w:tcPr>
          <w:p>
            <w:pPr>
              <w:spacing w:before="20" w:after="20"/>
              <w:jc w:val="center"/>
            </w:pPr>
            <w:r/>
            <w:r>
              <w:rPr>
                <w:rFonts w:ascii="Times New Roman" w:hAnsi="Times New Roman"/>
                <w:b/>
                <w:i w:val="0"/>
                <w:sz w:val="18"/>
              </w:rPr>
              <w:t>Full R²</w:t>
            </w:r>
          </w:p>
        </w:tc>
        <w:tc>
          <w:tcPr>
            <w:tcW w:type="dxa" w:w="1644"/>
          </w:tcPr>
          <w:p>
            <w:pPr>
              <w:spacing w:before="20" w:after="20"/>
              <w:jc w:val="center"/>
            </w:pPr>
            <w:r/>
            <w:r>
              <w:rPr>
                <w:rFonts w:ascii="Times New Roman" w:hAnsi="Times New Roman"/>
                <w:b/>
                <w:i w:val="0"/>
                <w:sz w:val="18"/>
              </w:rPr>
              <w:t>w/o Group R²</w:t>
            </w:r>
          </w:p>
        </w:tc>
        <w:tc>
          <w:tcPr>
            <w:tcW w:type="dxa" w:w="1644"/>
          </w:tcPr>
          <w:p>
            <w:pPr>
              <w:spacing w:before="20" w:after="20"/>
              <w:jc w:val="center"/>
            </w:pPr>
            <w:r/>
            <w:r>
              <w:rPr>
                <w:rFonts w:ascii="Times New Roman" w:hAnsi="Times New Roman"/>
                <w:b/>
                <w:i w:val="0"/>
                <w:sz w:val="18"/>
              </w:rPr>
              <w:t>ΔR²</w:t>
            </w:r>
          </w:p>
        </w:tc>
      </w:tr>
      <w:tr>
        <w:tc>
          <w:tcPr>
            <w:tcW w:type="dxa" w:w="1644"/>
          </w:tcPr>
          <w:p>
            <w:pPr>
              <w:spacing w:before="20" w:after="20"/>
              <w:jc w:val="center"/>
            </w:pPr>
            <w:r/>
            <w:r>
              <w:rPr>
                <w:rFonts w:ascii="Times New Roman" w:hAnsi="Times New Roman"/>
                <w:b w:val="0"/>
                <w:i w:val="0"/>
                <w:sz w:val="18"/>
              </w:rPr>
              <w:t>IV Surface</w:t>
            </w:r>
          </w:p>
        </w:tc>
        <w:tc>
          <w:tcPr>
            <w:tcW w:type="dxa" w:w="1644"/>
          </w:tcPr>
          <w:p>
            <w:pPr>
              <w:spacing w:before="20" w:after="20"/>
              <w:jc w:val="center"/>
            </w:pPr>
            <w:r/>
            <w:r>
              <w:rPr>
                <w:rFonts w:ascii="Times New Roman" w:hAnsi="Times New Roman"/>
                <w:b w:val="0"/>
                <w:i w:val="0"/>
                <w:sz w:val="18"/>
              </w:rPr>
              <w:t>10</w:t>
            </w:r>
          </w:p>
        </w:tc>
        <w:tc>
          <w:tcPr>
            <w:tcW w:type="dxa" w:w="1644"/>
          </w:tcPr>
          <w:p>
            <w:pPr>
              <w:spacing w:before="20" w:after="20"/>
              <w:jc w:val="center"/>
            </w:pPr>
            <w:r/>
            <w:r>
              <w:rPr>
                <w:rFonts w:ascii="Times New Roman" w:hAnsi="Times New Roman"/>
                <w:b w:val="0"/>
                <w:i w:val="0"/>
                <w:sz w:val="18"/>
              </w:rPr>
              <w:t>0.8036</w:t>
            </w:r>
          </w:p>
        </w:tc>
        <w:tc>
          <w:tcPr>
            <w:tcW w:type="dxa" w:w="1644"/>
          </w:tcPr>
          <w:p>
            <w:pPr>
              <w:spacing w:before="20" w:after="20"/>
              <w:jc w:val="center"/>
            </w:pPr>
            <w:r/>
            <w:r>
              <w:rPr>
                <w:rFonts w:ascii="Times New Roman" w:hAnsi="Times New Roman"/>
                <w:b w:val="0"/>
                <w:i w:val="0"/>
                <w:sz w:val="18"/>
              </w:rPr>
              <w:t>0.7872</w:t>
            </w:r>
          </w:p>
        </w:tc>
        <w:tc>
          <w:tcPr>
            <w:tcW w:type="dxa" w:w="1644"/>
          </w:tcPr>
          <w:p>
            <w:pPr>
              <w:spacing w:before="20" w:after="20"/>
              <w:jc w:val="center"/>
            </w:pPr>
            <w:r/>
            <w:r>
              <w:rPr>
                <w:rFonts w:ascii="Times New Roman" w:hAnsi="Times New Roman"/>
                <w:b w:val="0"/>
                <w:i w:val="0"/>
                <w:sz w:val="18"/>
              </w:rPr>
              <w:t>+0.0164</w:t>
            </w:r>
          </w:p>
        </w:tc>
      </w:tr>
      <w:tr>
        <w:tc>
          <w:tcPr>
            <w:tcW w:type="dxa" w:w="1644"/>
          </w:tcPr>
          <w:p>
            <w:pPr>
              <w:spacing w:before="20" w:after="20"/>
              <w:jc w:val="center"/>
            </w:pPr>
            <w:r/>
            <w:r>
              <w:rPr>
                <w:rFonts w:ascii="Times New Roman" w:hAnsi="Times New Roman"/>
                <w:b w:val="0"/>
                <w:i w:val="0"/>
                <w:sz w:val="18"/>
              </w:rPr>
              <w:t>HF Proxy</w:t>
            </w:r>
          </w:p>
        </w:tc>
        <w:tc>
          <w:tcPr>
            <w:tcW w:type="dxa" w:w="1644"/>
          </w:tcPr>
          <w:p>
            <w:pPr>
              <w:spacing w:before="20" w:after="20"/>
              <w:jc w:val="center"/>
            </w:pPr>
            <w:r/>
            <w:r>
              <w:rPr>
                <w:rFonts w:ascii="Times New Roman" w:hAnsi="Times New Roman"/>
                <w:b w:val="0"/>
                <w:i w:val="0"/>
                <w:sz w:val="18"/>
              </w:rPr>
              <w:t>7</w:t>
            </w:r>
          </w:p>
        </w:tc>
        <w:tc>
          <w:tcPr>
            <w:tcW w:type="dxa" w:w="1644"/>
          </w:tcPr>
          <w:p>
            <w:pPr>
              <w:spacing w:before="20" w:after="20"/>
              <w:jc w:val="center"/>
            </w:pPr>
            <w:r/>
            <w:r>
              <w:rPr>
                <w:rFonts w:ascii="Times New Roman" w:hAnsi="Times New Roman"/>
                <w:b w:val="0"/>
                <w:i w:val="0"/>
                <w:sz w:val="18"/>
              </w:rPr>
              <w:t>0.8036</w:t>
            </w:r>
          </w:p>
        </w:tc>
        <w:tc>
          <w:tcPr>
            <w:tcW w:type="dxa" w:w="1644"/>
          </w:tcPr>
          <w:p>
            <w:pPr>
              <w:spacing w:before="20" w:after="20"/>
              <w:jc w:val="center"/>
            </w:pPr>
            <w:r/>
            <w:r>
              <w:rPr>
                <w:rFonts w:ascii="Times New Roman" w:hAnsi="Times New Roman"/>
                <w:b w:val="0"/>
                <w:i w:val="0"/>
                <w:sz w:val="18"/>
              </w:rPr>
              <w:t>0.7883</w:t>
            </w:r>
          </w:p>
        </w:tc>
        <w:tc>
          <w:tcPr>
            <w:tcW w:type="dxa" w:w="1644"/>
          </w:tcPr>
          <w:p>
            <w:pPr>
              <w:spacing w:before="20" w:after="20"/>
              <w:jc w:val="center"/>
            </w:pPr>
            <w:r/>
            <w:r>
              <w:rPr>
                <w:rFonts w:ascii="Times New Roman" w:hAnsi="Times New Roman"/>
                <w:b w:val="0"/>
                <w:i w:val="0"/>
                <w:sz w:val="18"/>
              </w:rPr>
              <w:t>+0.0153</w:t>
            </w:r>
          </w:p>
        </w:tc>
      </w:tr>
      <w:tr>
        <w:tc>
          <w:tcPr>
            <w:tcW w:type="dxa" w:w="1644"/>
          </w:tcPr>
          <w:p>
            <w:pPr>
              <w:spacing w:before="20" w:after="20"/>
              <w:jc w:val="center"/>
            </w:pPr>
            <w:r/>
            <w:r>
              <w:rPr>
                <w:rFonts w:ascii="Times New Roman" w:hAnsi="Times New Roman"/>
                <w:b w:val="0"/>
                <w:i w:val="0"/>
                <w:sz w:val="18"/>
              </w:rPr>
              <w:t>Alternative</w:t>
            </w:r>
          </w:p>
        </w:tc>
        <w:tc>
          <w:tcPr>
            <w:tcW w:type="dxa" w:w="1644"/>
          </w:tcPr>
          <w:p>
            <w:pPr>
              <w:spacing w:before="20" w:after="20"/>
              <w:jc w:val="center"/>
            </w:pPr>
            <w:r/>
            <w:r>
              <w:rPr>
                <w:rFonts w:ascii="Times New Roman" w:hAnsi="Times New Roman"/>
                <w:b w:val="0"/>
                <w:i w:val="0"/>
                <w:sz w:val="18"/>
              </w:rPr>
              <w:t>6</w:t>
            </w:r>
          </w:p>
        </w:tc>
        <w:tc>
          <w:tcPr>
            <w:tcW w:type="dxa" w:w="1644"/>
          </w:tcPr>
          <w:p>
            <w:pPr>
              <w:spacing w:before="20" w:after="20"/>
              <w:jc w:val="center"/>
            </w:pPr>
            <w:r/>
            <w:r>
              <w:rPr>
                <w:rFonts w:ascii="Times New Roman" w:hAnsi="Times New Roman"/>
                <w:b w:val="0"/>
                <w:i w:val="0"/>
                <w:sz w:val="18"/>
              </w:rPr>
              <w:t>0.8036</w:t>
            </w:r>
          </w:p>
        </w:tc>
        <w:tc>
          <w:tcPr>
            <w:tcW w:type="dxa" w:w="1644"/>
          </w:tcPr>
          <w:p>
            <w:pPr>
              <w:spacing w:before="20" w:after="20"/>
              <w:jc w:val="center"/>
            </w:pPr>
            <w:r/>
            <w:r>
              <w:rPr>
                <w:rFonts w:ascii="Times New Roman" w:hAnsi="Times New Roman"/>
                <w:b w:val="0"/>
                <w:i w:val="0"/>
                <w:sz w:val="18"/>
              </w:rPr>
              <w:t>0.8020</w:t>
            </w:r>
          </w:p>
        </w:tc>
        <w:tc>
          <w:tcPr>
            <w:tcW w:type="dxa" w:w="1644"/>
          </w:tcPr>
          <w:p>
            <w:pPr>
              <w:spacing w:before="20" w:after="20"/>
              <w:jc w:val="center"/>
            </w:pPr>
            <w:r/>
            <w:r>
              <w:rPr>
                <w:rFonts w:ascii="Times New Roman" w:hAnsi="Times New Roman"/>
                <w:b w:val="0"/>
                <w:i w:val="0"/>
                <w:sz w:val="18"/>
              </w:rPr>
              <w:t>+0.0016</w:t>
            </w:r>
          </w:p>
        </w:tc>
      </w:tr>
    </w:tbl>
    <w:p/>
    <w:p>
      <w:pPr>
        <w:spacing w:before="0" w:after="120" w:lineRule="auto" w:line="360"/>
        <w:ind w:firstLine="400"/>
        <w:jc w:val="both"/>
      </w:pPr>
      <w:r>
        <w:rPr>
          <w:rFonts w:ascii="Times New Roman" w:hAnsi="Times New Roman"/>
          <w:b w:val="0"/>
          <w:i w:val="0"/>
          <w:sz w:val="20"/>
        </w:rPr>
        <w:t>WEns 기준으로, Pooled R</w:t>
      </w:r>
      <w:r>
        <w:rPr>
          <w:rFonts w:ascii="Times New Roman" w:hAnsi="Times New Roman"/>
          <w:b w:val="0"/>
          <w:i w:val="0"/>
          <w:sz w:val="20"/>
          <w:vertAlign w:val="superscript"/>
        </w:rPr>
        <w:t>2</w:t>
      </w:r>
      <w:r>
        <w:rPr>
          <w:rFonts w:ascii="Times New Roman" w:hAnsi="Times New Roman"/>
          <w:b w:val="0"/>
          <w:i w:val="0"/>
          <w:sz w:val="20"/>
        </w:rPr>
        <w:t>가 0.8036인 상태에서 IV Surface 변수군의 증분 기여도는 +0.0164로 가장 컸고, HF Proxy는 +0.0153, Alternative Data는 +0.0016이었다. (주: 표 9의 Full R</w:t>
      </w:r>
      <w:r>
        <w:rPr>
          <w:rFonts w:ascii="Times New Roman" w:hAnsi="Times New Roman"/>
          <w:b w:val="0"/>
          <w:i w:val="0"/>
          <w:sz w:val="20"/>
          <w:vertAlign w:val="superscript"/>
        </w:rPr>
        <w:t>2</w:t>
      </w:r>
      <w:r>
        <w:rPr>
          <w:rFonts w:ascii="Times New Roman" w:hAnsi="Times New Roman"/>
          <w:b w:val="0"/>
          <w:i w:val="0"/>
          <w:sz w:val="20"/>
        </w:rPr>
        <w:t xml:space="preserve"> 0.8036은 그룹 제거 실험에서 재학습된 WEns의 값으로, 표 6의 전체 비교 기준 0.8041과 미세하게 다를 수 있다.) IV Surface(ΔR</w:t>
      </w:r>
      <w:r>
        <w:rPr>
          <w:rFonts w:ascii="Times New Roman" w:hAnsi="Times New Roman"/>
          <w:b w:val="0"/>
          <w:i w:val="0"/>
          <w:sz w:val="20"/>
          <w:vertAlign w:val="superscript"/>
        </w:rPr>
        <w:t>2</w:t>
      </w:r>
      <w:r>
        <w:rPr>
          <w:rFonts w:ascii="Times New Roman" w:hAnsi="Times New Roman"/>
          <w:b w:val="0"/>
          <w:i w:val="0"/>
          <w:sz w:val="20"/>
        </w:rPr>
        <w:t>=+0.0164)가 HF Proxy(+0.0153)보다 0.0011 큰 기여를 보였다. 이는 자산의 과거 실현 변동성 정보와 옵션시장이 반영하는 미래 기대 정보가 서로 다른 경로로 예측력에 기여할 수 있음을 보여준다. 한편 Alternative 피처군(ΔR</w:t>
      </w:r>
      <w:r>
        <w:rPr>
          <w:rFonts w:ascii="Times New Roman" w:hAnsi="Times New Roman"/>
          <w:b w:val="0"/>
          <w:i w:val="0"/>
          <w:sz w:val="20"/>
          <w:vertAlign w:val="superscript"/>
        </w:rPr>
        <w:t>2</w:t>
      </w:r>
      <w:r>
        <w:rPr>
          <w:rFonts w:ascii="Times New Roman" w:hAnsi="Times New Roman"/>
          <w:b w:val="0"/>
          <w:i w:val="0"/>
          <w:sz w:val="20"/>
        </w:rPr>
        <w:t>=+0.0016)은 증분 기여도가 거의 0에 가까워, Amihud 비유동성·Kyle Lambda 등 시장 미시구조 변수가 RV 예측에서는 독립적인 정보를 제공하지 못함을 보여준다. 이는 해당 변수들의 정보가 이미 HAR 기반 또는 HF Proxy 피처에 상당 부분 반영되어 있거나, 일별 데이터 기반 근사 계산의 한계로 신호 품질이 낮기 때문으로 해석된다.</w:t>
      </w:r>
    </w:p>
    <w:p>
      <w:pPr>
        <w:spacing w:before="160" w:after="80" w:lineRule="auto" w:line="360"/>
        <w:jc w:val="left"/>
      </w:pPr>
      <w:r>
        <w:rPr>
          <w:rFonts w:ascii="Times New Roman" w:hAnsi="Times New Roman"/>
          <w:b/>
          <w:i w:val="0"/>
          <w:sz w:val="22"/>
        </w:rPr>
        <w:t>2) 피처 중요도 합의 분석 (Kendall's W)</w:t>
      </w:r>
    </w:p>
    <w:p>
      <w:pPr>
        <w:spacing w:before="0" w:after="120" w:lineRule="auto" w:line="360"/>
        <w:ind w:firstLine="400"/>
        <w:jc w:val="both"/>
      </w:pPr>
      <w:r>
        <w:rPr>
          <w:rFonts w:ascii="Times New Roman" w:hAnsi="Times New Roman"/>
          <w:b w:val="0"/>
          <w:i w:val="0"/>
          <w:sz w:val="20"/>
        </w:rPr>
        <w:t>단일 방법의 편향을 줄이기 위해 Ridge 정규화 계수, XGBoost gain, permutation importance의 3개 방법에서 도출한 피처 중요도의 평균 순위를 합의 순위로 산출했다. 22거래일 기간에서는 RogersSatchell_22, LogRV_lag1, Parkinson_5, GarmanKlass_22, Range_Close_Ratio가 상위권을 차지했다.</w:t>
      </w:r>
    </w:p>
    <w:p>
      <w:pPr>
        <w:spacing w:before="0" w:after="120" w:lineRule="auto" w:line="360"/>
        <w:ind w:firstLine="400"/>
        <w:jc w:val="both"/>
      </w:pPr>
      <w:r>
        <w:rPr>
          <w:rFonts w:ascii="Times New Roman" w:hAnsi="Times New Roman"/>
          <w:b w:val="0"/>
          <w:i w:val="0"/>
          <w:sz w:val="20"/>
        </w:rPr>
        <w:t>그림 5는 22거래일 기간의 피처 중요도 합의 순위 상위 10개를 나타낸 것으로, HF Proxy 계열 피처가 상위권에 집중됨을 확인할 수 있다.</w:t>
      </w:r>
    </w:p>
    <w:p>
      <w:pPr>
        <w:spacing w:before="120" w:after="60" w:lineRule="auto" w:line="288"/>
        <w:jc w:val="center"/>
      </w:pPr>
      <w:r>
        <w:rPr>
          <w:rFonts w:ascii="Times New Roman" w:hAnsi="Times New Roman"/>
          <w:b w:val="0"/>
          <w:i/>
          <w:sz w:val="20"/>
        </w:rPr>
        <w:t>[이미지 삽입 위치]</w:t>
      </w:r>
    </w:p>
    <w:p>
      <w:pPr>
        <w:spacing w:before="60" w:after="60" w:lineRule="auto" w:line="288"/>
        <w:jc w:val="center"/>
      </w:pPr>
      <w:r>
        <w:rPr>
          <w:rFonts w:ascii="Times New Roman" w:hAnsi="Times New Roman"/>
          <w:b w:val="0"/>
          <w:i w:val="0"/>
          <w:sz w:val="20"/>
        </w:rPr>
        <w:t>그림 5. 22_d 피처 중요도 합의 순위 Top-10  /  Fig. 5. 22_d Feature Importance Consensus Top-10</w:t>
      </w:r>
    </w:p>
    <w:p>
      <w:pPr>
        <w:spacing w:before="0" w:after="120" w:lineRule="auto" w:line="360"/>
        <w:ind w:firstLine="400"/>
        <w:jc w:val="both"/>
      </w:pPr>
      <w:r>
        <w:rPr>
          <w:rFonts w:ascii="Times New Roman" w:hAnsi="Times New Roman"/>
          <w:b w:val="0"/>
          <w:i w:val="0"/>
          <w:sz w:val="20"/>
        </w:rPr>
        <w:t>순위 관점에서는 HF Proxy가 반복적으로 상위권에 등장하지만, 그룹별 제거 실험을 함께 고려하면 해석은 달라진다. HF Proxy 피처들은 서로 비슷한 정보를 공유하여 개별 순위는 높게 나타나지만 성능 하락이 상대적으로 작다. 반면 IV Surface는 개별 순위가 낮더라도 HF Proxy가 담지 못하는 옵션 시장 정보를 독립적으로 제공하기 때문에 제거 시 성능이 더 크게 떨어진다.</w:t>
      </w:r>
    </w:p>
    <w:p>
      <w:pPr>
        <w:spacing w:before="0" w:after="120" w:lineRule="auto" w:line="360"/>
        <w:ind w:firstLine="400"/>
        <w:jc w:val="both"/>
      </w:pPr>
      <w:r>
        <w:rPr>
          <w:rFonts w:ascii="Times New Roman" w:hAnsi="Times New Roman"/>
          <w:b w:val="0"/>
          <w:i w:val="0"/>
          <w:sz w:val="20"/>
        </w:rPr>
        <w:t>예측 기간별 합의도(Kendall's W) 결과는 표 10과 같다.</w:t>
      </w:r>
    </w:p>
    <w:p>
      <w:pPr>
        <w:spacing w:before="60" w:after="60" w:lineRule="auto" w:line="288"/>
        <w:jc w:val="center"/>
      </w:pPr>
      <w:r>
        <w:rPr>
          <w:rFonts w:ascii="Times New Roman" w:hAnsi="Times New Roman"/>
          <w:b w:val="0"/>
          <w:i w:val="0"/>
          <w:sz w:val="20"/>
        </w:rPr>
        <w:t>표 10. 예측 기간별 Kendall's W  /  Table 10. Kendall's W by Forecast Horizon</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pPr>
              <w:spacing w:before="20" w:after="20"/>
              <w:jc w:val="center"/>
            </w:pPr>
            <w:r/>
            <w:r>
              <w:rPr>
                <w:rFonts w:ascii="Times New Roman" w:hAnsi="Times New Roman"/>
                <w:b/>
                <w:i w:val="0"/>
                <w:sz w:val="18"/>
              </w:rPr>
              <w:t>Horizon</w:t>
            </w:r>
          </w:p>
        </w:tc>
        <w:tc>
          <w:tcPr>
            <w:tcW w:type="dxa" w:w="2740"/>
          </w:tcPr>
          <w:p>
            <w:pPr>
              <w:spacing w:before="20" w:after="20"/>
              <w:jc w:val="center"/>
            </w:pPr>
            <w:r/>
            <w:r>
              <w:rPr>
                <w:rFonts w:ascii="Times New Roman" w:hAnsi="Times New Roman"/>
                <w:b/>
                <w:i w:val="0"/>
                <w:sz w:val="18"/>
              </w:rPr>
              <w:t>Kendall W</w:t>
            </w:r>
          </w:p>
        </w:tc>
        <w:tc>
          <w:tcPr>
            <w:tcW w:type="dxa" w:w="2740"/>
          </w:tcPr>
          <w:p>
            <w:pPr>
              <w:spacing w:before="20" w:after="20"/>
              <w:jc w:val="center"/>
            </w:pPr>
            <w:r/>
            <w:r>
              <w:rPr>
                <w:rFonts w:ascii="Times New Roman" w:hAnsi="Times New Roman"/>
                <w:b/>
                <w:i w:val="0"/>
                <w:sz w:val="18"/>
              </w:rPr>
              <w:t>p-value</w:t>
            </w:r>
          </w:p>
        </w:tc>
      </w:tr>
      <w:tr>
        <w:tc>
          <w:tcPr>
            <w:tcW w:type="dxa" w:w="2740"/>
          </w:tcPr>
          <w:p>
            <w:pPr>
              <w:spacing w:before="20" w:after="20"/>
              <w:jc w:val="center"/>
            </w:pPr>
            <w:r/>
            <w:r>
              <w:rPr>
                <w:rFonts w:ascii="Times New Roman" w:hAnsi="Times New Roman"/>
                <w:b w:val="0"/>
                <w:i w:val="0"/>
                <w:sz w:val="18"/>
              </w:rPr>
              <w:t>1d</w:t>
            </w:r>
          </w:p>
        </w:tc>
        <w:tc>
          <w:tcPr>
            <w:tcW w:type="dxa" w:w="2740"/>
          </w:tcPr>
          <w:p>
            <w:pPr>
              <w:spacing w:before="20" w:after="20"/>
              <w:jc w:val="center"/>
            </w:pPr>
            <w:r/>
            <w:r>
              <w:rPr>
                <w:rFonts w:ascii="Times New Roman" w:hAnsi="Times New Roman"/>
                <w:b w:val="0"/>
                <w:i w:val="0"/>
                <w:sz w:val="18"/>
              </w:rPr>
              <w:t>0.666</w:t>
            </w:r>
          </w:p>
        </w:tc>
        <w:tc>
          <w:tcPr>
            <w:tcW w:type="dxa" w:w="2740"/>
          </w:tcPr>
          <w:p>
            <w:pPr>
              <w:spacing w:before="20" w:after="20"/>
              <w:jc w:val="center"/>
            </w:pPr>
            <w:r/>
            <w:r>
              <w:rPr>
                <w:rFonts w:ascii="Times New Roman" w:hAnsi="Times New Roman"/>
                <w:b w:val="0"/>
                <w:i w:val="0"/>
                <w:sz w:val="18"/>
              </w:rPr>
              <w:t>&lt;0.001</w:t>
            </w:r>
          </w:p>
        </w:tc>
      </w:tr>
      <w:tr>
        <w:tc>
          <w:tcPr>
            <w:tcW w:type="dxa" w:w="2740"/>
          </w:tcPr>
          <w:p>
            <w:pPr>
              <w:spacing w:before="20" w:after="20"/>
              <w:jc w:val="center"/>
            </w:pPr>
            <w:r/>
            <w:r>
              <w:rPr>
                <w:rFonts w:ascii="Times New Roman" w:hAnsi="Times New Roman"/>
                <w:b w:val="0"/>
                <w:i w:val="0"/>
                <w:sz w:val="18"/>
              </w:rPr>
              <w:t>5d</w:t>
            </w:r>
          </w:p>
        </w:tc>
        <w:tc>
          <w:tcPr>
            <w:tcW w:type="dxa" w:w="2740"/>
          </w:tcPr>
          <w:p>
            <w:pPr>
              <w:spacing w:before="20" w:after="20"/>
              <w:jc w:val="center"/>
            </w:pPr>
            <w:r/>
            <w:r>
              <w:rPr>
                <w:rFonts w:ascii="Times New Roman" w:hAnsi="Times New Roman"/>
                <w:b w:val="0"/>
                <w:i w:val="0"/>
                <w:sz w:val="18"/>
              </w:rPr>
              <w:t>0.758</w:t>
            </w:r>
          </w:p>
        </w:tc>
        <w:tc>
          <w:tcPr>
            <w:tcW w:type="dxa" w:w="2740"/>
          </w:tcPr>
          <w:p>
            <w:pPr>
              <w:spacing w:before="20" w:after="20"/>
              <w:jc w:val="center"/>
            </w:pPr>
            <w:r/>
            <w:r>
              <w:rPr>
                <w:rFonts w:ascii="Times New Roman" w:hAnsi="Times New Roman"/>
                <w:b w:val="0"/>
                <w:i w:val="0"/>
                <w:sz w:val="18"/>
              </w:rPr>
              <w:t>&lt;0.001</w:t>
            </w:r>
          </w:p>
        </w:tc>
      </w:tr>
      <w:tr>
        <w:tc>
          <w:tcPr>
            <w:tcW w:type="dxa" w:w="2740"/>
          </w:tcPr>
          <w:p>
            <w:pPr>
              <w:spacing w:before="20" w:after="20"/>
              <w:jc w:val="center"/>
            </w:pPr>
            <w:r/>
            <w:r>
              <w:rPr>
                <w:rFonts w:ascii="Times New Roman" w:hAnsi="Times New Roman"/>
                <w:b w:val="0"/>
                <w:i w:val="0"/>
                <w:sz w:val="18"/>
              </w:rPr>
              <w:t>22d</w:t>
            </w:r>
          </w:p>
        </w:tc>
        <w:tc>
          <w:tcPr>
            <w:tcW w:type="dxa" w:w="2740"/>
          </w:tcPr>
          <w:p>
            <w:pPr>
              <w:spacing w:before="20" w:after="20"/>
              <w:jc w:val="center"/>
            </w:pPr>
            <w:r/>
            <w:r>
              <w:rPr>
                <w:rFonts w:ascii="Times New Roman" w:hAnsi="Times New Roman"/>
                <w:b w:val="0"/>
                <w:i w:val="0"/>
                <w:sz w:val="18"/>
              </w:rPr>
              <w:t>0.822</w:t>
            </w:r>
          </w:p>
        </w:tc>
        <w:tc>
          <w:tcPr>
            <w:tcW w:type="dxa" w:w="2740"/>
          </w:tcPr>
          <w:p>
            <w:pPr>
              <w:spacing w:before="20" w:after="20"/>
              <w:jc w:val="center"/>
            </w:pPr>
            <w:r/>
            <w:r>
              <w:rPr>
                <w:rFonts w:ascii="Times New Roman" w:hAnsi="Times New Roman"/>
                <w:b w:val="0"/>
                <w:i w:val="0"/>
                <w:sz w:val="18"/>
              </w:rPr>
              <w:t>&lt;0.001</w:t>
            </w:r>
          </w:p>
        </w:tc>
      </w:tr>
      <w:tr>
        <w:tc>
          <w:tcPr>
            <w:tcW w:type="dxa" w:w="2740"/>
          </w:tcPr>
          <w:p>
            <w:pPr>
              <w:spacing w:before="20" w:after="20"/>
              <w:jc w:val="center"/>
            </w:pPr>
            <w:r/>
            <w:r>
              <w:rPr>
                <w:rFonts w:ascii="Times New Roman" w:hAnsi="Times New Roman"/>
                <w:b w:val="0"/>
                <w:i w:val="0"/>
                <w:sz w:val="18"/>
              </w:rPr>
              <w:t>60d</w:t>
            </w:r>
          </w:p>
        </w:tc>
        <w:tc>
          <w:tcPr>
            <w:tcW w:type="dxa" w:w="2740"/>
          </w:tcPr>
          <w:p>
            <w:pPr>
              <w:spacing w:before="20" w:after="20"/>
              <w:jc w:val="center"/>
            </w:pPr>
            <w:r/>
            <w:r>
              <w:rPr>
                <w:rFonts w:ascii="Times New Roman" w:hAnsi="Times New Roman"/>
                <w:b w:val="0"/>
                <w:i w:val="0"/>
                <w:sz w:val="18"/>
              </w:rPr>
              <w:t>0.807</w:t>
            </w:r>
          </w:p>
        </w:tc>
        <w:tc>
          <w:tcPr>
            <w:tcW w:type="dxa" w:w="2740"/>
          </w:tcPr>
          <w:p>
            <w:pPr>
              <w:spacing w:before="20" w:after="20"/>
              <w:jc w:val="center"/>
            </w:pPr>
            <w:r/>
            <w:r>
              <w:rPr>
                <w:rFonts w:ascii="Times New Roman" w:hAnsi="Times New Roman"/>
                <w:b w:val="0"/>
                <w:i w:val="0"/>
                <w:sz w:val="18"/>
              </w:rPr>
              <w:t>&lt;0.001</w:t>
            </w:r>
          </w:p>
        </w:tc>
      </w:tr>
      <w:tr>
        <w:tc>
          <w:tcPr>
            <w:tcW w:type="dxa" w:w="2740"/>
          </w:tcPr>
          <w:p>
            <w:pPr>
              <w:spacing w:before="20" w:after="20"/>
              <w:jc w:val="center"/>
            </w:pPr>
            <w:r/>
            <w:r>
              <w:rPr>
                <w:rFonts w:ascii="Times New Roman" w:hAnsi="Times New Roman"/>
                <w:b w:val="0"/>
                <w:i w:val="0"/>
                <w:sz w:val="18"/>
              </w:rPr>
              <w:t>90d</w:t>
            </w:r>
          </w:p>
        </w:tc>
        <w:tc>
          <w:tcPr>
            <w:tcW w:type="dxa" w:w="2740"/>
          </w:tcPr>
          <w:p>
            <w:pPr>
              <w:spacing w:before="20" w:after="20"/>
              <w:jc w:val="center"/>
            </w:pPr>
            <w:r/>
            <w:r>
              <w:rPr>
                <w:rFonts w:ascii="Times New Roman" w:hAnsi="Times New Roman"/>
                <w:b w:val="0"/>
                <w:i w:val="0"/>
                <w:sz w:val="18"/>
              </w:rPr>
              <w:t>0.808</w:t>
            </w:r>
          </w:p>
        </w:tc>
        <w:tc>
          <w:tcPr>
            <w:tcW w:type="dxa" w:w="2740"/>
          </w:tcPr>
          <w:p>
            <w:pPr>
              <w:spacing w:before="20" w:after="20"/>
              <w:jc w:val="center"/>
            </w:pPr>
            <w:r/>
            <w:r>
              <w:rPr>
                <w:rFonts w:ascii="Times New Roman" w:hAnsi="Times New Roman"/>
                <w:b w:val="0"/>
                <w:i w:val="0"/>
                <w:sz w:val="18"/>
              </w:rPr>
              <w:t>&lt;0.001</w:t>
            </w:r>
          </w:p>
        </w:tc>
      </w:tr>
      <w:tr>
        <w:tc>
          <w:tcPr>
            <w:tcW w:type="dxa" w:w="2740"/>
          </w:tcPr>
          <w:p>
            <w:pPr>
              <w:spacing w:before="20" w:after="20"/>
              <w:jc w:val="center"/>
            </w:pPr>
            <w:r/>
            <w:r>
              <w:rPr>
                <w:rFonts w:ascii="Times New Roman" w:hAnsi="Times New Roman"/>
                <w:b w:val="0"/>
                <w:i w:val="0"/>
                <w:sz w:val="18"/>
              </w:rPr>
              <w:t>120d</w:t>
            </w:r>
          </w:p>
        </w:tc>
        <w:tc>
          <w:tcPr>
            <w:tcW w:type="dxa" w:w="2740"/>
          </w:tcPr>
          <w:p>
            <w:pPr>
              <w:spacing w:before="20" w:after="20"/>
              <w:jc w:val="center"/>
            </w:pPr>
            <w:r/>
            <w:r>
              <w:rPr>
                <w:rFonts w:ascii="Times New Roman" w:hAnsi="Times New Roman"/>
                <w:b w:val="0"/>
                <w:i w:val="0"/>
                <w:sz w:val="18"/>
              </w:rPr>
              <w:t>0.774</w:t>
            </w:r>
          </w:p>
        </w:tc>
        <w:tc>
          <w:tcPr>
            <w:tcW w:type="dxa" w:w="2740"/>
          </w:tcPr>
          <w:p>
            <w:pPr>
              <w:spacing w:before="20" w:after="20"/>
              <w:jc w:val="center"/>
            </w:pPr>
            <w:r/>
            <w:r>
              <w:rPr>
                <w:rFonts w:ascii="Times New Roman" w:hAnsi="Times New Roman"/>
                <w:b w:val="0"/>
                <w:i w:val="0"/>
                <w:sz w:val="18"/>
              </w:rPr>
              <w:t>&lt;0.001</w:t>
            </w:r>
          </w:p>
        </w:tc>
      </w:tr>
      <w:tr>
        <w:tc>
          <w:tcPr>
            <w:tcW w:type="dxa" w:w="2740"/>
          </w:tcPr>
          <w:p>
            <w:pPr>
              <w:spacing w:before="20" w:after="20"/>
              <w:jc w:val="center"/>
            </w:pPr>
            <w:r/>
            <w:r>
              <w:rPr>
                <w:rFonts w:ascii="Times New Roman" w:hAnsi="Times New Roman"/>
                <w:b w:val="0"/>
                <w:i w:val="0"/>
                <w:sz w:val="18"/>
              </w:rPr>
              <w:t>180d</w:t>
            </w:r>
          </w:p>
        </w:tc>
        <w:tc>
          <w:tcPr>
            <w:tcW w:type="dxa" w:w="2740"/>
          </w:tcPr>
          <w:p>
            <w:pPr>
              <w:spacing w:before="20" w:after="20"/>
              <w:jc w:val="center"/>
            </w:pPr>
            <w:r/>
            <w:r>
              <w:rPr>
                <w:rFonts w:ascii="Times New Roman" w:hAnsi="Times New Roman"/>
                <w:b w:val="0"/>
                <w:i w:val="0"/>
                <w:sz w:val="18"/>
              </w:rPr>
              <w:t>0.781</w:t>
            </w:r>
          </w:p>
        </w:tc>
        <w:tc>
          <w:tcPr>
            <w:tcW w:type="dxa" w:w="2740"/>
          </w:tcPr>
          <w:p>
            <w:pPr>
              <w:spacing w:before="20" w:after="20"/>
              <w:jc w:val="center"/>
            </w:pPr>
            <w:r/>
            <w:r>
              <w:rPr>
                <w:rFonts w:ascii="Times New Roman" w:hAnsi="Times New Roman"/>
                <w:b w:val="0"/>
                <w:i w:val="0"/>
                <w:sz w:val="18"/>
              </w:rPr>
              <w:t>&lt;0.001</w:t>
            </w:r>
          </w:p>
        </w:tc>
      </w:tr>
      <w:tr>
        <w:tc>
          <w:tcPr>
            <w:tcW w:type="dxa" w:w="2740"/>
          </w:tcPr>
          <w:p>
            <w:pPr>
              <w:spacing w:before="20" w:after="20"/>
              <w:jc w:val="center"/>
            </w:pPr>
            <w:r/>
            <w:r>
              <w:rPr>
                <w:rFonts w:ascii="Times New Roman" w:hAnsi="Times New Roman"/>
                <w:b w:val="0"/>
                <w:i w:val="0"/>
                <w:sz w:val="18"/>
              </w:rPr>
              <w:t>252d</w:t>
            </w:r>
          </w:p>
        </w:tc>
        <w:tc>
          <w:tcPr>
            <w:tcW w:type="dxa" w:w="2740"/>
          </w:tcPr>
          <w:p>
            <w:pPr>
              <w:spacing w:before="20" w:after="20"/>
              <w:jc w:val="center"/>
            </w:pPr>
            <w:r/>
            <w:r>
              <w:rPr>
                <w:rFonts w:ascii="Times New Roman" w:hAnsi="Times New Roman"/>
                <w:b w:val="0"/>
                <w:i w:val="0"/>
                <w:sz w:val="18"/>
              </w:rPr>
              <w:t>0.766</w:t>
            </w:r>
          </w:p>
        </w:tc>
        <w:tc>
          <w:tcPr>
            <w:tcW w:type="dxa" w:w="2740"/>
          </w:tcPr>
          <w:p>
            <w:pPr>
              <w:spacing w:before="20" w:after="20"/>
              <w:jc w:val="center"/>
            </w:pPr>
            <w:r/>
            <w:r>
              <w:rPr>
                <w:rFonts w:ascii="Times New Roman" w:hAnsi="Times New Roman"/>
                <w:b w:val="0"/>
                <w:i w:val="0"/>
                <w:sz w:val="18"/>
              </w:rPr>
              <w:t>&lt;0.001</w:t>
            </w:r>
          </w:p>
        </w:tc>
      </w:tr>
    </w:tbl>
    <w:p/>
    <w:p>
      <w:pPr>
        <w:spacing w:before="0" w:after="120" w:lineRule="auto" w:line="360"/>
        <w:ind w:firstLine="400"/>
        <w:jc w:val="both"/>
      </w:pPr>
      <w:r>
        <w:rPr>
          <w:rFonts w:ascii="Times New Roman" w:hAnsi="Times New Roman"/>
          <w:b w:val="0"/>
          <w:i w:val="0"/>
          <w:sz w:val="20"/>
        </w:rPr>
        <w:t>모든 예측 기간에서 p값이 0.001 미만으로 나타나, 서로 다른 구조의 모델들이 중요하게 보는 변수 순위가 통계적으로 유의하게 일치함을 확인했다. 22일 기간에서 W=0.822로 가장 높은 합의도를 보였으며, 이는 중기 예측 구간에서 모델 구조와 무관하게 공통적으로 유효한 정보 변수가 존재함을 보여준다. 기간별 피처 중요도 합의 순위 상세는 부록 C-1을 참조한다.</w:t>
      </w:r>
    </w:p>
    <w:p>
      <w:pPr>
        <w:spacing w:before="240" w:after="120" w:lineRule="auto" w:line="360"/>
        <w:jc w:val="left"/>
      </w:pPr>
      <w:r>
        <w:rPr>
          <w:rFonts w:ascii="Times New Roman" w:hAnsi="Times New Roman"/>
          <w:b/>
          <w:i w:val="0"/>
          <w:sz w:val="24"/>
        </w:rPr>
        <w:t>4. 시장 레짐별 예측 성능</w:t>
      </w:r>
    </w:p>
    <w:p>
      <w:pPr>
        <w:spacing w:before="160" w:after="80" w:lineRule="auto" w:line="360"/>
        <w:jc w:val="left"/>
      </w:pPr>
      <w:r>
        <w:rPr>
          <w:rFonts w:ascii="Times New Roman" w:hAnsi="Times New Roman"/>
          <w:b/>
          <w:i w:val="0"/>
          <w:sz w:val="22"/>
        </w:rPr>
        <w:t>1) VIX 분위수 기반 레짐 정의</w:t>
      </w:r>
    </w:p>
    <w:p>
      <w:pPr>
        <w:spacing w:before="0" w:after="120" w:lineRule="auto" w:line="360"/>
        <w:ind w:firstLine="400"/>
        <w:jc w:val="both"/>
      </w:pPr>
      <w:r>
        <w:rPr>
          <w:rFonts w:ascii="Times New Roman" w:hAnsi="Times New Roman"/>
          <w:b w:val="0"/>
          <w:i w:val="0"/>
          <w:sz w:val="20"/>
        </w:rPr>
        <w:t>그림 6은 2010~2024년 VIX 수준을 시계열로 나타낸 것으로, 분위수 구간(하위 50%, 50~90%, 상위 10%)을 음영으로 표시했다. COVID-19(2020.03), 유럽 재정위기(2011.08) 등 급등 구간이 상위 10% 국면에 해당한다.</w:t>
      </w:r>
    </w:p>
    <w:p>
      <w:pPr>
        <w:spacing w:before="120" w:after="60" w:lineRule="auto" w:line="288"/>
        <w:jc w:val="center"/>
      </w:pPr>
      <w:r>
        <w:rPr>
          <w:rFonts w:ascii="Times New Roman" w:hAnsi="Times New Roman"/>
          <w:b w:val="0"/>
          <w:i/>
          <w:sz w:val="20"/>
        </w:rPr>
        <w:t>[이미지 삽입 위치]</w:t>
      </w:r>
    </w:p>
    <w:p>
      <w:pPr>
        <w:spacing w:before="60" w:after="60" w:lineRule="auto" w:line="288"/>
        <w:jc w:val="center"/>
      </w:pPr>
      <w:r>
        <w:rPr>
          <w:rFonts w:ascii="Times New Roman" w:hAnsi="Times New Roman"/>
          <w:b w:val="0"/>
          <w:i w:val="0"/>
          <w:sz w:val="20"/>
        </w:rPr>
        <w:t>그림 6. VIX 시계열 및 분위수 국면 구분 (2010–2024)  /  Fig. 6. VIX Time Series with Quantile Regime Shading</w:t>
      </w:r>
    </w:p>
    <w:p>
      <w:pPr>
        <w:spacing w:before="160" w:after="80" w:lineRule="auto" w:line="360"/>
        <w:jc w:val="left"/>
      </w:pPr>
      <w:r>
        <w:rPr>
          <w:rFonts w:ascii="Times New Roman" w:hAnsi="Times New Roman"/>
          <w:b/>
          <w:i w:val="0"/>
          <w:sz w:val="22"/>
        </w:rPr>
        <w:t>2) 레짐별 WEns vs HAR-3 성능 비교</w:t>
      </w:r>
    </w:p>
    <w:p>
      <w:pPr>
        <w:spacing w:before="0" w:after="120" w:lineRule="auto" w:line="360"/>
        <w:ind w:firstLine="400"/>
        <w:jc w:val="both"/>
      </w:pPr>
      <w:r>
        <w:rPr>
          <w:rFonts w:ascii="Times New Roman" w:hAnsi="Times New Roman"/>
          <w:b w:val="0"/>
          <w:i w:val="0"/>
          <w:sz w:val="20"/>
        </w:rPr>
        <w:t>표 11은 22거래일 기준으로 VIX 분위수 구간별 WEns와 HAR-3의 Pooled R</w:t>
      </w:r>
      <w:r>
        <w:rPr>
          <w:rFonts w:ascii="Times New Roman" w:hAnsi="Times New Roman"/>
          <w:b w:val="0"/>
          <w:i w:val="0"/>
          <w:sz w:val="20"/>
          <w:vertAlign w:val="superscript"/>
        </w:rPr>
        <w:t>2</w:t>
      </w:r>
      <w:r>
        <w:rPr>
          <w:rFonts w:ascii="Times New Roman" w:hAnsi="Times New Roman"/>
          <w:b w:val="0"/>
          <w:i w:val="0"/>
          <w:sz w:val="20"/>
        </w:rPr>
        <w:t>를 비교한 결과이다.</w:t>
      </w:r>
    </w:p>
    <w:p>
      <w:pPr>
        <w:spacing w:before="60" w:after="60" w:lineRule="auto" w:line="288"/>
        <w:jc w:val="center"/>
      </w:pPr>
      <w:r>
        <w:rPr>
          <w:rFonts w:ascii="Times New Roman" w:hAnsi="Times New Roman"/>
          <w:b w:val="0"/>
          <w:i w:val="0"/>
          <w:sz w:val="20"/>
        </w:rPr>
        <w:t>표 11. 22_d VIX 분위수 구간별 Pooled R</w:t>
      </w:r>
      <w:r>
        <w:rPr>
          <w:rFonts w:ascii="Times New Roman" w:hAnsi="Times New Roman"/>
          <w:b w:val="0"/>
          <w:i w:val="0"/>
          <w:sz w:val="20"/>
          <w:vertAlign w:val="superscript"/>
        </w:rPr>
        <w:t>2</w:t>
      </w:r>
      <w:r>
        <w:rPr>
          <w:rFonts w:ascii="Times New Roman" w:hAnsi="Times New Roman"/>
          <w:b w:val="0"/>
          <w:i w:val="0"/>
          <w:sz w:val="20"/>
        </w:rPr>
        <w:t xml:space="preserve">  /  Table 11. 22-day Pooled R</w:t>
      </w:r>
      <w:r>
        <w:rPr>
          <w:rFonts w:ascii="Times New Roman" w:hAnsi="Times New Roman"/>
          <w:b w:val="0"/>
          <w:i w:val="0"/>
          <w:sz w:val="20"/>
          <w:vertAlign w:val="superscript"/>
        </w:rPr>
        <w:t>2</w:t>
      </w:r>
      <w:r>
        <w:rPr>
          <w:rFonts w:ascii="Times New Roman" w:hAnsi="Times New Roman"/>
          <w:b w:val="0"/>
          <w:i w:val="0"/>
          <w:sz w:val="20"/>
        </w:rPr>
        <w:t xml:space="preserve"> by VIX Regime</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tcPr>
          <w:p>
            <w:pPr>
              <w:spacing w:before="20" w:after="20"/>
              <w:jc w:val="center"/>
            </w:pPr>
            <w:r/>
            <w:r>
              <w:rPr>
                <w:rFonts w:ascii="Times New Roman" w:hAnsi="Times New Roman"/>
                <w:b/>
                <w:i w:val="0"/>
                <w:sz w:val="18"/>
              </w:rPr>
              <w:t>VIX Regime</w:t>
            </w:r>
          </w:p>
        </w:tc>
        <w:tc>
          <w:tcPr>
            <w:tcW w:type="dxa" w:w="2055"/>
          </w:tcPr>
          <w:p>
            <w:pPr>
              <w:spacing w:before="20" w:after="20"/>
              <w:jc w:val="center"/>
            </w:pPr>
            <w:r/>
            <w:r>
              <w:rPr>
                <w:rFonts w:ascii="Times New Roman" w:hAnsi="Times New Roman"/>
                <w:b/>
                <w:i w:val="0"/>
                <w:sz w:val="18"/>
              </w:rPr>
              <w:t>HAR-3</w:t>
            </w:r>
          </w:p>
        </w:tc>
        <w:tc>
          <w:tcPr>
            <w:tcW w:type="dxa" w:w="2055"/>
          </w:tcPr>
          <w:p>
            <w:pPr>
              <w:spacing w:before="20" w:after="20"/>
              <w:jc w:val="center"/>
            </w:pPr>
            <w:r/>
            <w:r>
              <w:rPr>
                <w:rFonts w:ascii="Times New Roman" w:hAnsi="Times New Roman"/>
                <w:b/>
                <w:i w:val="0"/>
                <w:sz w:val="18"/>
              </w:rPr>
              <w:t>WEns</w:t>
            </w:r>
          </w:p>
        </w:tc>
        <w:tc>
          <w:tcPr>
            <w:tcW w:type="dxa" w:w="2055"/>
          </w:tcPr>
          <w:p>
            <w:pPr>
              <w:spacing w:before="20" w:after="20"/>
              <w:jc w:val="center"/>
            </w:pPr>
            <w:r/>
            <w:r>
              <w:rPr>
                <w:rFonts w:ascii="Times New Roman" w:hAnsi="Times New Roman"/>
                <w:b/>
                <w:i w:val="0"/>
                <w:sz w:val="18"/>
              </w:rPr>
              <w:t>ΔR²</w:t>
            </w:r>
          </w:p>
        </w:tc>
      </w:tr>
      <w:tr>
        <w:tc>
          <w:tcPr>
            <w:tcW w:type="dxa" w:w="2055"/>
          </w:tcPr>
          <w:p>
            <w:pPr>
              <w:spacing w:before="20" w:after="20"/>
              <w:jc w:val="center"/>
            </w:pPr>
            <w:r/>
            <w:r>
              <w:rPr>
                <w:rFonts w:ascii="Times New Roman" w:hAnsi="Times New Roman"/>
                <w:b w:val="0"/>
                <w:i w:val="0"/>
                <w:sz w:val="18"/>
              </w:rPr>
              <w:t>VIX bottom 50%</w:t>
            </w:r>
          </w:p>
        </w:tc>
        <w:tc>
          <w:tcPr>
            <w:tcW w:type="dxa" w:w="2055"/>
          </w:tcPr>
          <w:p>
            <w:pPr>
              <w:spacing w:before="20" w:after="20"/>
              <w:jc w:val="center"/>
            </w:pPr>
            <w:r/>
            <w:r>
              <w:rPr>
                <w:rFonts w:ascii="Times New Roman" w:hAnsi="Times New Roman"/>
                <w:b w:val="0"/>
                <w:i w:val="0"/>
                <w:sz w:val="18"/>
              </w:rPr>
              <w:t>0.739</w:t>
            </w:r>
          </w:p>
        </w:tc>
        <w:tc>
          <w:tcPr>
            <w:tcW w:type="dxa" w:w="2055"/>
          </w:tcPr>
          <w:p>
            <w:pPr>
              <w:spacing w:before="20" w:after="20"/>
              <w:jc w:val="center"/>
            </w:pPr>
            <w:r/>
            <w:r>
              <w:rPr>
                <w:rFonts w:ascii="Times New Roman" w:hAnsi="Times New Roman"/>
                <w:b w:val="0"/>
                <w:i w:val="0"/>
                <w:sz w:val="18"/>
              </w:rPr>
              <w:t>0.781</w:t>
            </w:r>
          </w:p>
        </w:tc>
        <w:tc>
          <w:tcPr>
            <w:tcW w:type="dxa" w:w="2055"/>
          </w:tcPr>
          <w:p>
            <w:pPr>
              <w:spacing w:before="20" w:after="20"/>
              <w:jc w:val="center"/>
            </w:pPr>
            <w:r/>
            <w:r>
              <w:rPr>
                <w:rFonts w:ascii="Times New Roman" w:hAnsi="Times New Roman"/>
                <w:b w:val="0"/>
                <w:i w:val="0"/>
                <w:sz w:val="18"/>
              </w:rPr>
              <w:t>+0.042</w:t>
            </w:r>
          </w:p>
        </w:tc>
      </w:tr>
      <w:tr>
        <w:tc>
          <w:tcPr>
            <w:tcW w:type="dxa" w:w="2055"/>
          </w:tcPr>
          <w:p>
            <w:pPr>
              <w:spacing w:before="20" w:after="20"/>
              <w:jc w:val="center"/>
            </w:pPr>
            <w:r/>
            <w:r>
              <w:rPr>
                <w:rFonts w:ascii="Times New Roman" w:hAnsi="Times New Roman"/>
                <w:b w:val="0"/>
                <w:i w:val="0"/>
                <w:sz w:val="18"/>
              </w:rPr>
              <w:t>VIX 50~90%</w:t>
            </w:r>
          </w:p>
        </w:tc>
        <w:tc>
          <w:tcPr>
            <w:tcW w:type="dxa" w:w="2055"/>
          </w:tcPr>
          <w:p>
            <w:pPr>
              <w:spacing w:before="20" w:after="20"/>
              <w:jc w:val="center"/>
            </w:pPr>
            <w:r/>
            <w:r>
              <w:rPr>
                <w:rFonts w:ascii="Times New Roman" w:hAnsi="Times New Roman"/>
                <w:b w:val="0"/>
                <w:i w:val="0"/>
                <w:sz w:val="18"/>
              </w:rPr>
              <w:t>0.698</w:t>
            </w:r>
          </w:p>
        </w:tc>
        <w:tc>
          <w:tcPr>
            <w:tcW w:type="dxa" w:w="2055"/>
          </w:tcPr>
          <w:p>
            <w:pPr>
              <w:spacing w:before="20" w:after="20"/>
              <w:jc w:val="center"/>
            </w:pPr>
            <w:r/>
            <w:r>
              <w:rPr>
                <w:rFonts w:ascii="Times New Roman" w:hAnsi="Times New Roman"/>
                <w:b w:val="0"/>
                <w:i w:val="0"/>
                <w:sz w:val="18"/>
              </w:rPr>
              <w:t>0.722</w:t>
            </w:r>
          </w:p>
        </w:tc>
        <w:tc>
          <w:tcPr>
            <w:tcW w:type="dxa" w:w="2055"/>
          </w:tcPr>
          <w:p>
            <w:pPr>
              <w:spacing w:before="20" w:after="20"/>
              <w:jc w:val="center"/>
            </w:pPr>
            <w:r/>
            <w:r>
              <w:rPr>
                <w:rFonts w:ascii="Times New Roman" w:hAnsi="Times New Roman"/>
                <w:b w:val="0"/>
                <w:i w:val="0"/>
                <w:sz w:val="18"/>
              </w:rPr>
              <w:t>+0.024</w:t>
            </w:r>
          </w:p>
        </w:tc>
      </w:tr>
      <w:tr>
        <w:tc>
          <w:tcPr>
            <w:tcW w:type="dxa" w:w="2055"/>
          </w:tcPr>
          <w:p>
            <w:pPr>
              <w:spacing w:before="20" w:after="20"/>
              <w:jc w:val="center"/>
            </w:pPr>
            <w:r/>
            <w:r>
              <w:rPr>
                <w:rFonts w:ascii="Times New Roman" w:hAnsi="Times New Roman"/>
                <w:b w:val="0"/>
                <w:i w:val="0"/>
                <w:sz w:val="18"/>
              </w:rPr>
              <w:t>VIX top 10%</w:t>
            </w:r>
          </w:p>
        </w:tc>
        <w:tc>
          <w:tcPr>
            <w:tcW w:type="dxa" w:w="2055"/>
          </w:tcPr>
          <w:p>
            <w:pPr>
              <w:spacing w:before="20" w:after="20"/>
              <w:jc w:val="center"/>
            </w:pPr>
            <w:r/>
            <w:r>
              <w:rPr>
                <w:rFonts w:ascii="Times New Roman" w:hAnsi="Times New Roman"/>
                <w:b w:val="0"/>
                <w:i w:val="0"/>
                <w:sz w:val="18"/>
              </w:rPr>
              <w:t>0.602</w:t>
            </w:r>
          </w:p>
        </w:tc>
        <w:tc>
          <w:tcPr>
            <w:tcW w:type="dxa" w:w="2055"/>
          </w:tcPr>
          <w:p>
            <w:pPr>
              <w:spacing w:before="20" w:after="20"/>
              <w:jc w:val="center"/>
            </w:pPr>
            <w:r/>
            <w:r>
              <w:rPr>
                <w:rFonts w:ascii="Times New Roman" w:hAnsi="Times New Roman"/>
                <w:b w:val="0"/>
                <w:i w:val="0"/>
                <w:sz w:val="18"/>
              </w:rPr>
              <w:t>0.765</w:t>
            </w:r>
          </w:p>
        </w:tc>
        <w:tc>
          <w:tcPr>
            <w:tcW w:type="dxa" w:w="2055"/>
          </w:tcPr>
          <w:p>
            <w:pPr>
              <w:spacing w:before="20" w:after="20"/>
              <w:jc w:val="center"/>
            </w:pPr>
            <w:r/>
            <w:r>
              <w:rPr>
                <w:rFonts w:ascii="Times New Roman" w:hAnsi="Times New Roman"/>
                <w:b w:val="0"/>
                <w:i w:val="0"/>
                <w:sz w:val="18"/>
              </w:rPr>
              <w:t>+0.163</w:t>
            </w:r>
          </w:p>
        </w:tc>
      </w:tr>
    </w:tbl>
    <w:p/>
    <w:p>
      <w:pPr>
        <w:spacing w:before="160" w:after="80" w:lineRule="auto" w:line="360"/>
        <w:jc w:val="left"/>
      </w:pPr>
      <w:r>
        <w:rPr>
          <w:rFonts w:ascii="Times New Roman" w:hAnsi="Times New Roman"/>
          <w:b/>
          <w:i w:val="0"/>
          <w:sz w:val="22"/>
        </w:rPr>
        <w:t>3) 고변동성 구간 예측력 개선 해석</w:t>
      </w:r>
    </w:p>
    <w:p>
      <w:pPr>
        <w:spacing w:before="0" w:after="120" w:lineRule="auto" w:line="360"/>
        <w:ind w:firstLine="400"/>
        <w:jc w:val="both"/>
      </w:pPr>
      <w:r>
        <w:rPr>
          <w:rFonts w:ascii="Times New Roman" w:hAnsi="Times New Roman"/>
          <w:b w:val="0"/>
          <w:i w:val="0"/>
          <w:sz w:val="20"/>
        </w:rPr>
        <w:t>VIX 하위 50% 구간에서는 R</w:t>
      </w:r>
      <w:r>
        <w:rPr>
          <w:rFonts w:ascii="Times New Roman" w:hAnsi="Times New Roman"/>
          <w:b w:val="0"/>
          <w:i w:val="0"/>
          <w:sz w:val="20"/>
          <w:vertAlign w:val="superscript"/>
        </w:rPr>
        <w:t>2</w:t>
      </w:r>
      <w:r>
        <w:rPr>
          <w:rFonts w:ascii="Times New Roman" w:hAnsi="Times New Roman"/>
          <w:b w:val="0"/>
          <w:i w:val="0"/>
          <w:sz w:val="20"/>
        </w:rPr>
        <w:t>가 0.739에서 0.781로, VIX 50~90% 구간에서는 0.698에서 0.722로 상승했다. 반면 VIX 상위 10% 구간에서는 0.602에서 0.765로 개선 폭이 가장 크게 나타났다. VIX 상위 10% 구간에서 WEns의 개선폭(+0.163)은 하위 50% 구간(+0.042)과 50~90% 구간(+0.024)보다 각각 3.9배, 6.8배 크다. 기간별 피처 중요도를 비교하면 핵심 변수군이 예측 기간에 따라 이동하는 패턴을 보였으며, 60일 이상의 중장기 구간에서 IV_VRP_ma22의 중요성이 상승하여 장기 예측에서 옵션시장 내재 정보의 역할이 커짐을 확인했다.</w:t>
      </w:r>
    </w:p>
    <w:p>
      <w:pPr>
        <w:spacing w:before="240" w:after="120" w:lineRule="auto" w:line="360"/>
        <w:jc w:val="left"/>
      </w:pPr>
      <w:r>
        <w:rPr>
          <w:rFonts w:ascii="Times New Roman" w:hAnsi="Times New Roman"/>
          <w:b/>
          <w:i w:val="0"/>
          <w:sz w:val="24"/>
        </w:rPr>
        <w:t>5. 베이스라인 및 변형 모형 비교</w:t>
      </w:r>
    </w:p>
    <w:p>
      <w:pPr>
        <w:spacing w:before="160" w:after="80" w:lineRule="auto" w:line="360"/>
        <w:jc w:val="left"/>
      </w:pPr>
      <w:r>
        <w:rPr>
          <w:rFonts w:ascii="Times New Roman" w:hAnsi="Times New Roman"/>
          <w:b/>
          <w:i w:val="0"/>
          <w:sz w:val="22"/>
        </w:rPr>
        <w:t>1) NaiveRV·GARCH·IV-only vs WEns</w:t>
      </w:r>
    </w:p>
    <w:p>
      <w:pPr>
        <w:spacing w:before="0" w:after="120" w:lineRule="auto" w:line="360"/>
        <w:ind w:firstLine="400"/>
        <w:jc w:val="both"/>
      </w:pPr>
      <w:r>
        <w:rPr>
          <w:rFonts w:ascii="Times New Roman" w:hAnsi="Times New Roman"/>
          <w:b w:val="0"/>
          <w:i w:val="0"/>
          <w:sz w:val="20"/>
        </w:rPr>
        <w:t>22거래일 기준 Pooled R</w:t>
      </w:r>
      <w:r>
        <w:rPr>
          <w:rFonts w:ascii="Times New Roman" w:hAnsi="Times New Roman"/>
          <w:b w:val="0"/>
          <w:i w:val="0"/>
          <w:sz w:val="20"/>
          <w:vertAlign w:val="superscript"/>
        </w:rPr>
        <w:t>2</w:t>
      </w:r>
      <w:r>
        <w:rPr>
          <w:rFonts w:ascii="Times New Roman" w:hAnsi="Times New Roman"/>
          <w:b w:val="0"/>
          <w:i w:val="0"/>
          <w:sz w:val="20"/>
        </w:rPr>
        <w:t xml:space="preserve"> 결과는 다음과 같다: NaiveRV = 0.7139, GARCH(1,1) = 0.6895, IV-only = 0.2094. 제안 모델 WEns는 Pooled R</w:t>
      </w:r>
      <w:r>
        <w:rPr>
          <w:rFonts w:ascii="Times New Roman" w:hAnsi="Times New Roman"/>
          <w:b w:val="0"/>
          <w:i w:val="0"/>
          <w:sz w:val="20"/>
          <w:vertAlign w:val="superscript"/>
        </w:rPr>
        <w:t>2</w:t>
      </w:r>
      <w:r>
        <w:rPr>
          <w:rFonts w:ascii="Times New Roman" w:hAnsi="Times New Roman"/>
          <w:b w:val="0"/>
          <w:i w:val="0"/>
          <w:sz w:val="20"/>
        </w:rPr>
        <w:t xml:space="preserve"> 0.8041로 모든 베이스라인을 넘어서며, 소표본 보정 DM 검정</w:t>
      </w:r>
      <w:r>
        <w:rPr>
          <w:rFonts w:ascii="Times New Roman" w:hAnsi="Times New Roman"/>
          <w:b w:val="0"/>
          <w:i w:val="0"/>
          <w:sz w:val="20"/>
          <w:vertAlign w:val="superscript"/>
        </w:rPr>
        <w:t>22</w:t>
      </w:r>
      <w:r>
        <w:rPr>
          <w:rFonts w:ascii="Times New Roman" w:hAnsi="Times New Roman"/>
          <w:b w:val="0"/>
          <w:i w:val="0"/>
          <w:sz w:val="20"/>
        </w:rPr>
        <w:t xml:space="preserve"> 결과 WEns vs HAR-3의 DM 통계량은 +5.395(p &lt; 0.001), WEns vs NaiveRV는 +8.698(p &lt; 0.001), WEns vs GARCH는 +12.136(p &lt; 0.001), WEns vs IV-only는 +39.456(p &lt; 0.001)으로 모두 통계적으로 유의한 우위가 확인되었다. 단, 60거래일 이상의 장기 구간에서는 WEns vs HAR-3의 DM 통계량이 유의하지 않거나 음수로 전환되어(예: 90d DM = -1.885, p = 0.059), 장기 예측에서 WEns의 HAR-3 대비 우위는 통계적으로 지지되지 않는다(부록 C-2 참조).</w:t>
      </w:r>
    </w:p>
    <w:p>
      <w:pPr>
        <w:spacing w:before="0" w:after="120" w:lineRule="auto" w:line="360"/>
        <w:ind w:firstLine="400"/>
        <w:jc w:val="both"/>
      </w:pPr>
      <w:r>
        <w:rPr>
          <w:rFonts w:ascii="Times New Roman" w:hAnsi="Times New Roman"/>
          <w:b w:val="0"/>
          <w:i w:val="0"/>
          <w:sz w:val="20"/>
        </w:rPr>
        <w:t>IV-only 모델의 RV 예측 성능은 R</w:t>
      </w:r>
      <w:r>
        <w:rPr>
          <w:rFonts w:ascii="Times New Roman" w:hAnsi="Times New Roman"/>
          <w:b w:val="0"/>
          <w:i w:val="0"/>
          <w:sz w:val="20"/>
          <w:vertAlign w:val="superscript"/>
        </w:rPr>
        <w:t>2</w:t>
      </w:r>
      <w:r>
        <w:rPr>
          <w:rFonts w:ascii="Times New Roman" w:hAnsi="Times New Roman"/>
          <w:b w:val="0"/>
          <w:i w:val="0"/>
          <w:sz w:val="20"/>
        </w:rPr>
        <w:t xml:space="preserve"> = 0.2094로, 이는 VIX 계열 피처가 11개 ETF 전체에 동일하게 적용되어 자산 간 횡단면 변동성 차이를 구분하지 못한 데 비롯된다. GARCH(1,1)의 성능은 R</w:t>
      </w:r>
      <w:r>
        <w:rPr>
          <w:rFonts w:ascii="Times New Roman" w:hAnsi="Times New Roman"/>
          <w:b w:val="0"/>
          <w:i w:val="0"/>
          <w:sz w:val="20"/>
          <w:vertAlign w:val="superscript"/>
        </w:rPr>
        <w:t>2</w:t>
      </w:r>
      <w:r>
        <w:rPr>
          <w:rFonts w:ascii="Times New Roman" w:hAnsi="Times New Roman"/>
          <w:b w:val="0"/>
          <w:i w:val="0"/>
          <w:sz w:val="20"/>
        </w:rPr>
        <w:t xml:space="preserve"> = 0.6895로 NaiveRV보다 낮게 나타났는데, 이는 다기간 예측 방법의 구조적 특성에서 비롯된다. GARCH(1,1)의 t 시점에서 k기 앞 조건부 분산 예측은 다음과 같이 장기 무조건부 분산 σ̄</w:t>
      </w:r>
      <w:r>
        <w:rPr>
          <w:rFonts w:ascii="Times New Roman" w:hAnsi="Times New Roman"/>
          <w:b w:val="0"/>
          <w:i w:val="0"/>
          <w:sz w:val="20"/>
          <w:vertAlign w:val="superscript"/>
        </w:rPr>
        <w:t>2</w:t>
      </w:r>
      <w:r>
        <w:rPr>
          <w:rFonts w:ascii="Times New Roman" w:hAnsi="Times New Roman"/>
          <w:b w:val="0"/>
          <w:i w:val="0"/>
          <w:sz w:val="20"/>
        </w:rPr>
        <w:t xml:space="preserve"> = ω/(1−α−β)로 회귀한다.</w:t>
      </w:r>
    </w:p>
    <w:p>
      <w:pPr>
        <w:spacing w:before="0" w:after="120" w:lineRule="auto" w:line="360"/>
        <w:ind w:firstLine="400"/>
        <w:jc w:val="both"/>
      </w:pPr>
      <w:r>
        <w:rPr>
          <w:rFonts w:ascii="Times New Roman" w:hAnsi="Times New Roman"/>
          <w:b w:val="0"/>
          <w:i w:val="0"/>
          <w:sz w:val="20"/>
        </w:rPr>
        <w:t>σ</w:t>
      </w:r>
      <w:r>
        <w:rPr>
          <w:rFonts w:ascii="Times New Roman" w:hAnsi="Times New Roman"/>
          <w:b w:val="0"/>
          <w:i w:val="0"/>
          <w:sz w:val="20"/>
          <w:vertAlign w:val="superscript"/>
        </w:rPr>
        <w:t>2</w:t>
      </w:r>
      <w:r>
        <w:rPr>
          <w:rFonts w:ascii="Times New Roman" w:hAnsi="Times New Roman"/>
          <w:b w:val="0"/>
          <w:i w:val="0"/>
          <w:sz w:val="20"/>
        </w:rPr>
        <w:t>_{t+k|t} = σ̄</w:t>
      </w:r>
      <w:r>
        <w:rPr>
          <w:rFonts w:ascii="Times New Roman" w:hAnsi="Times New Roman"/>
          <w:b w:val="0"/>
          <w:i w:val="0"/>
          <w:sz w:val="20"/>
          <w:vertAlign w:val="superscript"/>
        </w:rPr>
        <w:t>2</w:t>
      </w:r>
      <w:r>
        <w:rPr>
          <w:rFonts w:ascii="Times New Roman" w:hAnsi="Times New Roman"/>
          <w:b w:val="0"/>
          <w:i w:val="0"/>
          <w:sz w:val="20"/>
        </w:rPr>
        <w:t xml:space="preserve"> + (α+β)^k × (σ</w:t>
      </w:r>
      <w:r>
        <w:rPr>
          <w:rFonts w:ascii="Times New Roman" w:hAnsi="Times New Roman"/>
          <w:b w:val="0"/>
          <w:i w:val="0"/>
          <w:sz w:val="20"/>
          <w:vertAlign w:val="superscript"/>
        </w:rPr>
        <w:t>2</w:t>
      </w:r>
      <w:r>
        <w:rPr>
          <w:rFonts w:ascii="Times New Roman" w:hAnsi="Times New Roman"/>
          <w:b w:val="0"/>
          <w:i w:val="0"/>
          <w:sz w:val="20"/>
        </w:rPr>
        <w:t>_t − σ̄</w:t>
      </w:r>
      <w:r>
        <w:rPr>
          <w:rFonts w:ascii="Times New Roman" w:hAnsi="Times New Roman"/>
          <w:b w:val="0"/>
          <w:i w:val="0"/>
          <w:sz w:val="20"/>
          <w:vertAlign w:val="superscript"/>
        </w:rPr>
        <w:t>2</w:t>
      </w:r>
      <w:r>
        <w:rPr>
          <w:rFonts w:ascii="Times New Roman" w:hAnsi="Times New Roman"/>
          <w:b w:val="0"/>
          <w:i w:val="0"/>
          <w:sz w:val="20"/>
        </w:rPr>
        <w:t>)</w:t>
      </w:r>
    </w:p>
    <w:p>
      <w:pPr>
        <w:spacing w:before="0" w:after="120" w:lineRule="auto" w:line="360"/>
        <w:ind w:firstLine="400"/>
        <w:jc w:val="both"/>
      </w:pPr>
      <w:r>
        <w:rPr>
          <w:rFonts w:ascii="Times New Roman" w:hAnsi="Times New Roman"/>
          <w:b w:val="0"/>
          <w:i w:val="0"/>
          <w:sz w:val="20"/>
        </w:rPr>
        <w:t>h거래일 실현분산 예측값은 이를 연율화하여 산출한다.</w:t>
      </w:r>
    </w:p>
    <w:p>
      <w:pPr>
        <w:spacing w:before="0" w:after="120" w:lineRule="auto" w:line="360"/>
        <w:ind w:firstLine="400"/>
        <w:jc w:val="both"/>
      </w:pPr>
      <w:r>
        <w:rPr>
          <w:rFonts w:ascii="Times New Roman" w:hAnsi="Times New Roman"/>
          <w:b w:val="0"/>
          <w:i w:val="0"/>
          <w:sz w:val="20"/>
        </w:rPr>
        <w:t>RV^hat_{GARCH}(h) = (252/h) × Σ_{k=1}^{h} σ</w:t>
      </w:r>
      <w:r>
        <w:rPr>
          <w:rFonts w:ascii="Times New Roman" w:hAnsi="Times New Roman"/>
          <w:b w:val="0"/>
          <w:i w:val="0"/>
          <w:sz w:val="20"/>
          <w:vertAlign w:val="superscript"/>
        </w:rPr>
        <w:t>2</w:t>
      </w:r>
      <w:r>
        <w:rPr>
          <w:rFonts w:ascii="Times New Roman" w:hAnsi="Times New Roman"/>
          <w:b w:val="0"/>
          <w:i w:val="0"/>
          <w:sz w:val="20"/>
        </w:rPr>
        <w:t>_{t+k|t}</w:t>
      </w:r>
    </w:p>
    <w:p>
      <w:pPr>
        <w:spacing w:before="0" w:after="120" w:lineRule="auto" w:line="360"/>
        <w:ind w:firstLine="400"/>
        <w:jc w:val="both"/>
      </w:pPr>
      <w:r>
        <w:rPr>
          <w:rFonts w:ascii="Times New Roman" w:hAnsi="Times New Roman"/>
          <w:b w:val="0"/>
          <w:i w:val="0"/>
          <w:sz w:val="20"/>
        </w:rPr>
        <w:t>실증적으로 추정되는 α+β ≈ 0.97~0.99 범위에서는 h = 22이면 (α+β)^22 ≈ 0.50~0.63으로 절반 이하로 감소하여 예측값이 장기 평균으로 급격히 수렴한다. 이 평균 회귀 특성은 최근 RV 수준을 그대로 유지하는 NaiveRV와 달리, 최근 변동성 급등 구간에서 예측값을 체계적으로 하향 편향시킨다. 추가로, 개별 자산마다 σ̄</w:t>
      </w:r>
      <w:r>
        <w:rPr>
          <w:rFonts w:ascii="Times New Roman" w:hAnsi="Times New Roman"/>
          <w:b w:val="0"/>
          <w:i w:val="0"/>
          <w:sz w:val="20"/>
          <w:vertAlign w:val="superscript"/>
        </w:rPr>
        <w:t>2</w:t>
      </w:r>
      <w:r>
        <w:rPr>
          <w:rFonts w:ascii="Times New Roman" w:hAnsi="Times New Roman"/>
          <w:b w:val="0"/>
          <w:i w:val="0"/>
          <w:sz w:val="20"/>
        </w:rPr>
        <w:t>가 다르므로 장기 예측에서 자산 간 횡단면 분산이 축소되어 Pooled R</w:t>
      </w:r>
      <w:r>
        <w:rPr>
          <w:rFonts w:ascii="Times New Roman" w:hAnsi="Times New Roman"/>
          <w:b w:val="0"/>
          <w:i w:val="0"/>
          <w:sz w:val="20"/>
          <w:vertAlign w:val="superscript"/>
        </w:rPr>
        <w:t>2</w:t>
      </w:r>
      <w:r>
        <w:rPr>
          <w:rFonts w:ascii="Times New Roman" w:hAnsi="Times New Roman"/>
          <w:b w:val="0"/>
          <w:i w:val="0"/>
          <w:sz w:val="20"/>
        </w:rPr>
        <w:t>를 추가로 낮추는 효과가 발생한다. 극단적 변동성 국면에서의 모수 불안정성이 이를 심화시킨다.</w:t>
      </w:r>
    </w:p>
    <w:p>
      <w:pPr>
        <w:spacing w:before="160" w:after="80" w:lineRule="auto" w:line="360"/>
        <w:jc w:val="left"/>
      </w:pPr>
      <w:r>
        <w:rPr>
          <w:rFonts w:ascii="Times New Roman" w:hAnsi="Times New Roman"/>
          <w:b/>
          <w:i w:val="0"/>
          <w:sz w:val="22"/>
        </w:rPr>
        <w:t>2) HAR-3 vs LASSO-HAR vs LASSO-Full</w:t>
      </w:r>
    </w:p>
    <w:p>
      <w:pPr>
        <w:spacing w:before="0" w:after="120" w:lineRule="auto" w:line="360"/>
        <w:ind w:firstLine="400"/>
        <w:jc w:val="both"/>
      </w:pPr>
      <w:r>
        <w:rPr>
          <w:rFonts w:ascii="Times New Roman" w:hAnsi="Times New Roman"/>
          <w:b w:val="0"/>
          <w:i w:val="0"/>
          <w:sz w:val="20"/>
        </w:rPr>
        <w:t>표 12는 LASSO-HAR, HAR-3, LASSO(35피처), WEns의 기간별 Pooled R</w:t>
      </w:r>
      <w:r>
        <w:rPr>
          <w:rFonts w:ascii="Times New Roman" w:hAnsi="Times New Roman"/>
          <w:b w:val="0"/>
          <w:i w:val="0"/>
          <w:sz w:val="20"/>
          <w:vertAlign w:val="superscript"/>
        </w:rPr>
        <w:t>2</w:t>
      </w:r>
      <w:r>
        <w:rPr>
          <w:rFonts w:ascii="Times New Roman" w:hAnsi="Times New Roman"/>
          <w:b w:val="0"/>
          <w:i w:val="0"/>
          <w:sz w:val="20"/>
        </w:rPr>
        <w:t>를 비교한 결과이다.</w:t>
      </w:r>
    </w:p>
    <w:p>
      <w:pPr>
        <w:spacing w:before="60" w:after="60" w:lineRule="auto" w:line="288"/>
        <w:jc w:val="center"/>
      </w:pPr>
      <w:r>
        <w:rPr>
          <w:rFonts w:ascii="Times New Roman" w:hAnsi="Times New Roman"/>
          <w:b w:val="0"/>
          <w:i w:val="0"/>
          <w:sz w:val="20"/>
        </w:rPr>
        <w:t>표 12. LASSO-HAR vs LASSO 기간별 Pooled R</w:t>
      </w:r>
      <w:r>
        <w:rPr>
          <w:rFonts w:ascii="Times New Roman" w:hAnsi="Times New Roman"/>
          <w:b w:val="0"/>
          <w:i w:val="0"/>
          <w:sz w:val="20"/>
          <w:vertAlign w:val="superscript"/>
        </w:rPr>
        <w:t>2</w:t>
      </w:r>
      <w:r>
        <w:rPr>
          <w:rFonts w:ascii="Times New Roman" w:hAnsi="Times New Roman"/>
          <w:b w:val="0"/>
          <w:i w:val="0"/>
          <w:sz w:val="20"/>
        </w:rPr>
        <w:t xml:space="preserve">  /  Table 12. LASSO-HAR vs LASSO Pooled R</w:t>
      </w:r>
      <w:r>
        <w:rPr>
          <w:rFonts w:ascii="Times New Roman" w:hAnsi="Times New Roman"/>
          <w:b w:val="0"/>
          <w:i w:val="0"/>
          <w:sz w:val="20"/>
          <w:vertAlign w:val="superscript"/>
        </w:rPr>
        <w:t>2</w:t>
      </w:r>
      <w:r>
        <w:rPr>
          <w:rFonts w:ascii="Times New Roman" w:hAnsi="Times New Roman"/>
          <w:b w:val="0"/>
          <w:i w:val="0"/>
          <w:sz w:val="20"/>
        </w:rPr>
        <w:t xml:space="preserve"> by Horizon</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c>
          <w:tcPr>
            <w:tcW w:type="dxa" w:w="1370"/>
          </w:tcPr>
          <w:p>
            <w:pPr>
              <w:spacing w:before="20" w:after="20"/>
              <w:jc w:val="center"/>
            </w:pPr>
            <w:r/>
            <w:r>
              <w:rPr>
                <w:rFonts w:ascii="Times New Roman" w:hAnsi="Times New Roman"/>
                <w:b/>
                <w:i w:val="0"/>
                <w:sz w:val="18"/>
              </w:rPr>
              <w:t>Horizon</w:t>
            </w:r>
          </w:p>
        </w:tc>
        <w:tc>
          <w:tcPr>
            <w:tcW w:type="dxa" w:w="1370"/>
          </w:tcPr>
          <w:p>
            <w:pPr>
              <w:spacing w:before="20" w:after="20"/>
              <w:jc w:val="center"/>
            </w:pPr>
            <w:r/>
            <w:r>
              <w:rPr>
                <w:rFonts w:ascii="Times New Roman" w:hAnsi="Times New Roman"/>
                <w:b/>
                <w:i w:val="0"/>
                <w:sz w:val="18"/>
              </w:rPr>
              <w:t>LASSO-HAR</w:t>
            </w:r>
          </w:p>
        </w:tc>
        <w:tc>
          <w:tcPr>
            <w:tcW w:type="dxa" w:w="1370"/>
          </w:tcPr>
          <w:p>
            <w:pPr>
              <w:spacing w:before="20" w:after="20"/>
              <w:jc w:val="center"/>
            </w:pPr>
            <w:r/>
            <w:r>
              <w:rPr>
                <w:rFonts w:ascii="Times New Roman" w:hAnsi="Times New Roman"/>
                <w:b/>
                <w:i w:val="0"/>
                <w:sz w:val="18"/>
              </w:rPr>
              <w:t>HAR-3</w:t>
            </w:r>
          </w:p>
        </w:tc>
        <w:tc>
          <w:tcPr>
            <w:tcW w:type="dxa" w:w="1370"/>
          </w:tcPr>
          <w:p>
            <w:pPr>
              <w:spacing w:before="20" w:after="20"/>
              <w:jc w:val="center"/>
            </w:pPr>
            <w:r/>
            <w:r>
              <w:rPr>
                <w:rFonts w:ascii="Times New Roman" w:hAnsi="Times New Roman"/>
                <w:b/>
                <w:i w:val="0"/>
                <w:sz w:val="18"/>
              </w:rPr>
              <w:t>LASSO(35)</w:t>
            </w:r>
          </w:p>
        </w:tc>
        <w:tc>
          <w:tcPr>
            <w:tcW w:type="dxa" w:w="1370"/>
          </w:tcPr>
          <w:p>
            <w:pPr>
              <w:spacing w:before="20" w:after="20"/>
              <w:jc w:val="center"/>
            </w:pPr>
            <w:r/>
            <w:r>
              <w:rPr>
                <w:rFonts w:ascii="Times New Roman" w:hAnsi="Times New Roman"/>
                <w:b/>
                <w:i w:val="0"/>
                <w:sz w:val="18"/>
              </w:rPr>
              <w:t>WEns</w:t>
            </w:r>
          </w:p>
        </w:tc>
        <w:tc>
          <w:tcPr>
            <w:tcW w:type="dxa" w:w="1370"/>
          </w:tcPr>
          <w:p>
            <w:pPr>
              <w:spacing w:before="20" w:after="20"/>
              <w:jc w:val="center"/>
            </w:pPr>
            <w:r/>
            <w:r>
              <w:rPr>
                <w:rFonts w:ascii="Times New Roman" w:hAnsi="Times New Roman"/>
                <w:b/>
                <w:i w:val="0"/>
                <w:sz w:val="18"/>
              </w:rPr>
              <w:t>Δ(35-LH)</w:t>
            </w:r>
          </w:p>
        </w:tc>
      </w:tr>
      <w:tr>
        <w:tc>
          <w:tcPr>
            <w:tcW w:type="dxa" w:w="1370"/>
          </w:tcPr>
          <w:p>
            <w:pPr>
              <w:spacing w:before="20" w:after="20"/>
              <w:jc w:val="center"/>
            </w:pPr>
            <w:r/>
            <w:r>
              <w:rPr>
                <w:rFonts w:ascii="Times New Roman" w:hAnsi="Times New Roman"/>
                <w:b w:val="0"/>
                <w:i w:val="0"/>
                <w:sz w:val="18"/>
              </w:rPr>
              <w:t>1d</w:t>
            </w:r>
          </w:p>
        </w:tc>
        <w:tc>
          <w:tcPr>
            <w:tcW w:type="dxa" w:w="1370"/>
          </w:tcPr>
          <w:p>
            <w:pPr>
              <w:spacing w:before="20" w:after="20"/>
              <w:jc w:val="center"/>
            </w:pPr>
            <w:r/>
            <w:r>
              <w:rPr>
                <w:rFonts w:ascii="Times New Roman" w:hAnsi="Times New Roman"/>
                <w:b w:val="0"/>
                <w:i w:val="0"/>
                <w:sz w:val="18"/>
              </w:rPr>
              <w:t>0.1160</w:t>
            </w:r>
          </w:p>
        </w:tc>
        <w:tc>
          <w:tcPr>
            <w:tcW w:type="dxa" w:w="1370"/>
          </w:tcPr>
          <w:p>
            <w:pPr>
              <w:spacing w:before="20" w:after="20"/>
              <w:jc w:val="center"/>
            </w:pPr>
            <w:r/>
            <w:r>
              <w:rPr>
                <w:rFonts w:ascii="Times New Roman" w:hAnsi="Times New Roman"/>
                <w:b w:val="0"/>
                <w:i w:val="0"/>
                <w:sz w:val="18"/>
              </w:rPr>
              <w:t>0.1097</w:t>
            </w:r>
          </w:p>
        </w:tc>
        <w:tc>
          <w:tcPr>
            <w:tcW w:type="dxa" w:w="1370"/>
          </w:tcPr>
          <w:p>
            <w:pPr>
              <w:spacing w:before="20" w:after="20"/>
              <w:jc w:val="center"/>
            </w:pPr>
            <w:r/>
            <w:r>
              <w:rPr>
                <w:rFonts w:ascii="Times New Roman" w:hAnsi="Times New Roman"/>
                <w:b w:val="0"/>
                <w:i w:val="0"/>
                <w:sz w:val="18"/>
              </w:rPr>
              <w:t>0.1173</w:t>
            </w:r>
          </w:p>
        </w:tc>
        <w:tc>
          <w:tcPr>
            <w:tcW w:type="dxa" w:w="1370"/>
          </w:tcPr>
          <w:p>
            <w:pPr>
              <w:spacing w:before="20" w:after="20"/>
              <w:jc w:val="center"/>
            </w:pPr>
            <w:r/>
            <w:r>
              <w:rPr>
                <w:rFonts w:ascii="Times New Roman" w:hAnsi="Times New Roman"/>
                <w:b w:val="0"/>
                <w:i w:val="0"/>
                <w:sz w:val="18"/>
              </w:rPr>
              <w:t>0.1174</w:t>
            </w:r>
          </w:p>
        </w:tc>
        <w:tc>
          <w:tcPr>
            <w:tcW w:type="dxa" w:w="1370"/>
          </w:tcPr>
          <w:p>
            <w:pPr>
              <w:spacing w:before="20" w:after="20"/>
              <w:jc w:val="center"/>
            </w:pPr>
            <w:r/>
            <w:r>
              <w:rPr>
                <w:rFonts w:ascii="Times New Roman" w:hAnsi="Times New Roman"/>
                <w:b w:val="0"/>
                <w:i w:val="0"/>
                <w:sz w:val="18"/>
              </w:rPr>
              <w:t>+0.001</w:t>
            </w:r>
          </w:p>
        </w:tc>
      </w:tr>
      <w:tr>
        <w:tc>
          <w:tcPr>
            <w:tcW w:type="dxa" w:w="1370"/>
          </w:tcPr>
          <w:p>
            <w:pPr>
              <w:spacing w:before="20" w:after="20"/>
              <w:jc w:val="center"/>
            </w:pPr>
            <w:r/>
            <w:r>
              <w:rPr>
                <w:rFonts w:ascii="Times New Roman" w:hAnsi="Times New Roman"/>
                <w:b w:val="0"/>
                <w:i w:val="0"/>
                <w:sz w:val="18"/>
              </w:rPr>
              <w:t>5d</w:t>
            </w:r>
          </w:p>
        </w:tc>
        <w:tc>
          <w:tcPr>
            <w:tcW w:type="dxa" w:w="1370"/>
          </w:tcPr>
          <w:p>
            <w:pPr>
              <w:spacing w:before="20" w:after="20"/>
              <w:jc w:val="center"/>
            </w:pPr>
            <w:r/>
            <w:r>
              <w:rPr>
                <w:rFonts w:ascii="Times New Roman" w:hAnsi="Times New Roman"/>
                <w:b w:val="0"/>
                <w:i w:val="0"/>
                <w:sz w:val="18"/>
              </w:rPr>
              <w:t>0.5669</w:t>
            </w:r>
          </w:p>
        </w:tc>
        <w:tc>
          <w:tcPr>
            <w:tcW w:type="dxa" w:w="1370"/>
          </w:tcPr>
          <w:p>
            <w:pPr>
              <w:spacing w:before="20" w:after="20"/>
              <w:jc w:val="center"/>
            </w:pPr>
            <w:r/>
            <w:r>
              <w:rPr>
                <w:rFonts w:ascii="Times New Roman" w:hAnsi="Times New Roman"/>
                <w:b w:val="0"/>
                <w:i w:val="0"/>
                <w:sz w:val="18"/>
              </w:rPr>
              <w:t>0.5819</w:t>
            </w:r>
          </w:p>
        </w:tc>
        <w:tc>
          <w:tcPr>
            <w:tcW w:type="dxa" w:w="1370"/>
          </w:tcPr>
          <w:p>
            <w:pPr>
              <w:spacing w:before="20" w:after="20"/>
              <w:jc w:val="center"/>
            </w:pPr>
            <w:r/>
            <w:r>
              <w:rPr>
                <w:rFonts w:ascii="Times New Roman" w:hAnsi="Times New Roman"/>
                <w:b w:val="0"/>
                <w:i w:val="0"/>
                <w:sz w:val="18"/>
              </w:rPr>
              <w:t>0.6216</w:t>
            </w:r>
          </w:p>
        </w:tc>
        <w:tc>
          <w:tcPr>
            <w:tcW w:type="dxa" w:w="1370"/>
          </w:tcPr>
          <w:p>
            <w:pPr>
              <w:spacing w:before="20" w:after="20"/>
              <w:jc w:val="center"/>
            </w:pPr>
            <w:r/>
            <w:r>
              <w:rPr>
                <w:rFonts w:ascii="Times New Roman" w:hAnsi="Times New Roman"/>
                <w:b w:val="0"/>
                <w:i w:val="0"/>
                <w:sz w:val="18"/>
              </w:rPr>
              <w:t>0.6305</w:t>
            </w:r>
          </w:p>
        </w:tc>
        <w:tc>
          <w:tcPr>
            <w:tcW w:type="dxa" w:w="1370"/>
          </w:tcPr>
          <w:p>
            <w:pPr>
              <w:spacing w:before="20" w:after="20"/>
              <w:jc w:val="center"/>
            </w:pPr>
            <w:r/>
            <w:r>
              <w:rPr>
                <w:rFonts w:ascii="Times New Roman" w:hAnsi="Times New Roman"/>
                <w:b w:val="0"/>
                <w:i w:val="0"/>
                <w:sz w:val="18"/>
              </w:rPr>
              <w:t>+0.055</w:t>
            </w:r>
          </w:p>
        </w:tc>
      </w:tr>
      <w:tr>
        <w:tc>
          <w:tcPr>
            <w:tcW w:type="dxa" w:w="1370"/>
          </w:tcPr>
          <w:p>
            <w:pPr>
              <w:spacing w:before="20" w:after="20"/>
              <w:jc w:val="center"/>
            </w:pPr>
            <w:r/>
            <w:r>
              <w:rPr>
                <w:rFonts w:ascii="Times New Roman" w:hAnsi="Times New Roman"/>
                <w:b w:val="0"/>
                <w:i w:val="0"/>
                <w:sz w:val="18"/>
              </w:rPr>
              <w:t>22d</w:t>
            </w:r>
          </w:p>
        </w:tc>
        <w:tc>
          <w:tcPr>
            <w:tcW w:type="dxa" w:w="1370"/>
          </w:tcPr>
          <w:p>
            <w:pPr>
              <w:spacing w:before="20" w:after="20"/>
              <w:jc w:val="center"/>
            </w:pPr>
            <w:r/>
            <w:r>
              <w:rPr>
                <w:rFonts w:ascii="Times New Roman" w:hAnsi="Times New Roman"/>
                <w:b w:val="0"/>
                <w:i w:val="0"/>
                <w:sz w:val="18"/>
              </w:rPr>
              <w:t>0.7292</w:t>
            </w:r>
          </w:p>
        </w:tc>
        <w:tc>
          <w:tcPr>
            <w:tcW w:type="dxa" w:w="1370"/>
          </w:tcPr>
          <w:p>
            <w:pPr>
              <w:spacing w:before="20" w:after="20"/>
              <w:jc w:val="center"/>
            </w:pPr>
            <w:r/>
            <w:r>
              <w:rPr>
                <w:rFonts w:ascii="Times New Roman" w:hAnsi="Times New Roman"/>
                <w:b w:val="0"/>
                <w:i w:val="0"/>
                <w:sz w:val="18"/>
              </w:rPr>
              <w:t>0.7659</w:t>
            </w:r>
          </w:p>
        </w:tc>
        <w:tc>
          <w:tcPr>
            <w:tcW w:type="dxa" w:w="1370"/>
          </w:tcPr>
          <w:p>
            <w:pPr>
              <w:spacing w:before="20" w:after="20"/>
              <w:jc w:val="center"/>
            </w:pPr>
            <w:r/>
            <w:r>
              <w:rPr>
                <w:rFonts w:ascii="Times New Roman" w:hAnsi="Times New Roman"/>
                <w:b w:val="0"/>
                <w:i w:val="0"/>
                <w:sz w:val="18"/>
              </w:rPr>
              <w:t>0.7973</w:t>
            </w:r>
          </w:p>
        </w:tc>
        <w:tc>
          <w:tcPr>
            <w:tcW w:type="dxa" w:w="1370"/>
          </w:tcPr>
          <w:p>
            <w:pPr>
              <w:spacing w:before="20" w:after="20"/>
              <w:jc w:val="center"/>
            </w:pPr>
            <w:r/>
            <w:r>
              <w:rPr>
                <w:rFonts w:ascii="Times New Roman" w:hAnsi="Times New Roman"/>
                <w:b w:val="0"/>
                <w:i w:val="0"/>
                <w:sz w:val="18"/>
              </w:rPr>
              <w:t>0.8041</w:t>
            </w:r>
          </w:p>
        </w:tc>
        <w:tc>
          <w:tcPr>
            <w:tcW w:type="dxa" w:w="1370"/>
          </w:tcPr>
          <w:p>
            <w:pPr>
              <w:spacing w:before="20" w:after="20"/>
              <w:jc w:val="center"/>
            </w:pPr>
            <w:r/>
            <w:r>
              <w:rPr>
                <w:rFonts w:ascii="Times New Roman" w:hAnsi="Times New Roman"/>
                <w:b w:val="0"/>
                <w:i w:val="0"/>
                <w:sz w:val="18"/>
              </w:rPr>
              <w:t>+0.068</w:t>
            </w:r>
          </w:p>
        </w:tc>
      </w:tr>
      <w:tr>
        <w:tc>
          <w:tcPr>
            <w:tcW w:type="dxa" w:w="1370"/>
          </w:tcPr>
          <w:p>
            <w:pPr>
              <w:spacing w:before="20" w:after="20"/>
              <w:jc w:val="center"/>
            </w:pPr>
            <w:r/>
            <w:r>
              <w:rPr>
                <w:rFonts w:ascii="Times New Roman" w:hAnsi="Times New Roman"/>
                <w:b w:val="0"/>
                <w:i w:val="0"/>
                <w:sz w:val="18"/>
              </w:rPr>
              <w:t>60d</w:t>
            </w:r>
          </w:p>
        </w:tc>
        <w:tc>
          <w:tcPr>
            <w:tcW w:type="dxa" w:w="1370"/>
          </w:tcPr>
          <w:p>
            <w:pPr>
              <w:spacing w:before="20" w:after="20"/>
              <w:jc w:val="center"/>
            </w:pPr>
            <w:r/>
            <w:r>
              <w:rPr>
                <w:rFonts w:ascii="Times New Roman" w:hAnsi="Times New Roman"/>
                <w:b w:val="0"/>
                <w:i w:val="0"/>
                <w:sz w:val="18"/>
              </w:rPr>
              <w:t>0.7534</w:t>
            </w:r>
          </w:p>
        </w:tc>
        <w:tc>
          <w:tcPr>
            <w:tcW w:type="dxa" w:w="1370"/>
          </w:tcPr>
          <w:p>
            <w:pPr>
              <w:spacing w:before="20" w:after="20"/>
              <w:jc w:val="center"/>
            </w:pPr>
            <w:r/>
            <w:r>
              <w:rPr>
                <w:rFonts w:ascii="Times New Roman" w:hAnsi="Times New Roman"/>
                <w:b w:val="0"/>
                <w:i w:val="0"/>
                <w:sz w:val="18"/>
              </w:rPr>
              <w:t>0.7860</w:t>
            </w:r>
          </w:p>
        </w:tc>
        <w:tc>
          <w:tcPr>
            <w:tcW w:type="dxa" w:w="1370"/>
          </w:tcPr>
          <w:p>
            <w:pPr>
              <w:spacing w:before="20" w:after="20"/>
              <w:jc w:val="center"/>
            </w:pPr>
            <w:r/>
            <w:r>
              <w:rPr>
                <w:rFonts w:ascii="Times New Roman" w:hAnsi="Times New Roman"/>
                <w:b w:val="0"/>
                <w:i w:val="0"/>
                <w:sz w:val="18"/>
              </w:rPr>
              <w:t>0.7705</w:t>
            </w:r>
          </w:p>
        </w:tc>
        <w:tc>
          <w:tcPr>
            <w:tcW w:type="dxa" w:w="1370"/>
          </w:tcPr>
          <w:p>
            <w:pPr>
              <w:spacing w:before="20" w:after="20"/>
              <w:jc w:val="center"/>
            </w:pPr>
            <w:r/>
            <w:r>
              <w:rPr>
                <w:rFonts w:ascii="Times New Roman" w:hAnsi="Times New Roman"/>
                <w:b w:val="0"/>
                <w:i w:val="0"/>
                <w:sz w:val="18"/>
              </w:rPr>
              <w:t>0.7870</w:t>
            </w:r>
          </w:p>
        </w:tc>
        <w:tc>
          <w:tcPr>
            <w:tcW w:type="dxa" w:w="1370"/>
          </w:tcPr>
          <w:p>
            <w:pPr>
              <w:spacing w:before="20" w:after="20"/>
              <w:jc w:val="center"/>
            </w:pPr>
            <w:r/>
            <w:r>
              <w:rPr>
                <w:rFonts w:ascii="Times New Roman" w:hAnsi="Times New Roman"/>
                <w:b w:val="0"/>
                <w:i w:val="0"/>
                <w:sz w:val="18"/>
              </w:rPr>
              <w:t>+0.017</w:t>
            </w:r>
          </w:p>
        </w:tc>
      </w:tr>
      <w:tr>
        <w:tc>
          <w:tcPr>
            <w:tcW w:type="dxa" w:w="1370"/>
          </w:tcPr>
          <w:p>
            <w:pPr>
              <w:spacing w:before="20" w:after="20"/>
              <w:jc w:val="center"/>
            </w:pPr>
            <w:r/>
            <w:r>
              <w:rPr>
                <w:rFonts w:ascii="Times New Roman" w:hAnsi="Times New Roman"/>
                <w:b w:val="0"/>
                <w:i w:val="0"/>
                <w:sz w:val="18"/>
              </w:rPr>
              <w:t>90d</w:t>
            </w:r>
          </w:p>
        </w:tc>
        <w:tc>
          <w:tcPr>
            <w:tcW w:type="dxa" w:w="1370"/>
          </w:tcPr>
          <w:p>
            <w:pPr>
              <w:spacing w:before="20" w:after="20"/>
              <w:jc w:val="center"/>
            </w:pPr>
            <w:r/>
            <w:r>
              <w:rPr>
                <w:rFonts w:ascii="Times New Roman" w:hAnsi="Times New Roman"/>
                <w:b w:val="0"/>
                <w:i w:val="0"/>
                <w:sz w:val="18"/>
              </w:rPr>
              <w:t>0.6931</w:t>
            </w:r>
          </w:p>
        </w:tc>
        <w:tc>
          <w:tcPr>
            <w:tcW w:type="dxa" w:w="1370"/>
          </w:tcPr>
          <w:p>
            <w:pPr>
              <w:spacing w:before="20" w:after="20"/>
              <w:jc w:val="center"/>
            </w:pPr>
            <w:r/>
            <w:r>
              <w:rPr>
                <w:rFonts w:ascii="Times New Roman" w:hAnsi="Times New Roman"/>
                <w:b w:val="0"/>
                <w:i w:val="0"/>
                <w:sz w:val="18"/>
              </w:rPr>
              <w:t>0.7835</w:t>
            </w:r>
          </w:p>
        </w:tc>
        <w:tc>
          <w:tcPr>
            <w:tcW w:type="dxa" w:w="1370"/>
          </w:tcPr>
          <w:p>
            <w:pPr>
              <w:spacing w:before="20" w:after="20"/>
              <w:jc w:val="center"/>
            </w:pPr>
            <w:r/>
            <w:r>
              <w:rPr>
                <w:rFonts w:ascii="Times New Roman" w:hAnsi="Times New Roman"/>
                <w:b w:val="0"/>
                <w:i w:val="0"/>
                <w:sz w:val="18"/>
              </w:rPr>
              <w:t>0.7491</w:t>
            </w:r>
          </w:p>
        </w:tc>
        <w:tc>
          <w:tcPr>
            <w:tcW w:type="dxa" w:w="1370"/>
          </w:tcPr>
          <w:p>
            <w:pPr>
              <w:spacing w:before="20" w:after="20"/>
              <w:jc w:val="center"/>
            </w:pPr>
            <w:r/>
            <w:r>
              <w:rPr>
                <w:rFonts w:ascii="Times New Roman" w:hAnsi="Times New Roman"/>
                <w:b w:val="0"/>
                <w:i w:val="0"/>
                <w:sz w:val="18"/>
              </w:rPr>
              <w:t>0.7493</w:t>
            </w:r>
          </w:p>
        </w:tc>
        <w:tc>
          <w:tcPr>
            <w:tcW w:type="dxa" w:w="1370"/>
          </w:tcPr>
          <w:p>
            <w:pPr>
              <w:spacing w:before="20" w:after="20"/>
              <w:jc w:val="center"/>
            </w:pPr>
            <w:r/>
            <w:r>
              <w:rPr>
                <w:rFonts w:ascii="Times New Roman" w:hAnsi="Times New Roman"/>
                <w:b w:val="0"/>
                <w:i w:val="0"/>
                <w:sz w:val="18"/>
              </w:rPr>
              <w:t>+0.056</w:t>
            </w:r>
          </w:p>
        </w:tc>
      </w:tr>
      <w:tr>
        <w:tc>
          <w:tcPr>
            <w:tcW w:type="dxa" w:w="1370"/>
          </w:tcPr>
          <w:p>
            <w:pPr>
              <w:spacing w:before="20" w:after="20"/>
              <w:jc w:val="center"/>
            </w:pPr>
            <w:r/>
            <w:r>
              <w:rPr>
                <w:rFonts w:ascii="Times New Roman" w:hAnsi="Times New Roman"/>
                <w:b w:val="0"/>
                <w:i w:val="0"/>
                <w:sz w:val="18"/>
              </w:rPr>
              <w:t>120d</w:t>
            </w:r>
          </w:p>
        </w:tc>
        <w:tc>
          <w:tcPr>
            <w:tcW w:type="dxa" w:w="1370"/>
          </w:tcPr>
          <w:p>
            <w:pPr>
              <w:spacing w:before="20" w:after="20"/>
              <w:jc w:val="center"/>
            </w:pPr>
            <w:r/>
            <w:r>
              <w:rPr>
                <w:rFonts w:ascii="Times New Roman" w:hAnsi="Times New Roman"/>
                <w:b w:val="0"/>
                <w:i w:val="0"/>
                <w:sz w:val="18"/>
              </w:rPr>
              <w:t>0.6073</w:t>
            </w:r>
          </w:p>
        </w:tc>
        <w:tc>
          <w:tcPr>
            <w:tcW w:type="dxa" w:w="1370"/>
          </w:tcPr>
          <w:p>
            <w:pPr>
              <w:spacing w:before="20" w:after="20"/>
              <w:jc w:val="center"/>
            </w:pPr>
            <w:r/>
            <w:r>
              <w:rPr>
                <w:rFonts w:ascii="Times New Roman" w:hAnsi="Times New Roman"/>
                <w:b w:val="0"/>
                <w:i w:val="0"/>
                <w:sz w:val="18"/>
              </w:rPr>
              <w:t>0.7700</w:t>
            </w:r>
          </w:p>
        </w:tc>
        <w:tc>
          <w:tcPr>
            <w:tcW w:type="dxa" w:w="1370"/>
          </w:tcPr>
          <w:p>
            <w:pPr>
              <w:spacing w:before="20" w:after="20"/>
              <w:jc w:val="center"/>
            </w:pPr>
            <w:r/>
            <w:r>
              <w:rPr>
                <w:rFonts w:ascii="Times New Roman" w:hAnsi="Times New Roman"/>
                <w:b w:val="0"/>
                <w:i w:val="0"/>
                <w:sz w:val="18"/>
              </w:rPr>
              <w:t>0.7442</w:t>
            </w:r>
          </w:p>
        </w:tc>
        <w:tc>
          <w:tcPr>
            <w:tcW w:type="dxa" w:w="1370"/>
          </w:tcPr>
          <w:p>
            <w:pPr>
              <w:spacing w:before="20" w:after="20"/>
              <w:jc w:val="center"/>
            </w:pPr>
            <w:r/>
            <w:r>
              <w:rPr>
                <w:rFonts w:ascii="Times New Roman" w:hAnsi="Times New Roman"/>
                <w:b w:val="0"/>
                <w:i w:val="0"/>
                <w:sz w:val="18"/>
              </w:rPr>
              <w:t>0.7545</w:t>
            </w:r>
          </w:p>
        </w:tc>
        <w:tc>
          <w:tcPr>
            <w:tcW w:type="dxa" w:w="1370"/>
          </w:tcPr>
          <w:p>
            <w:pPr>
              <w:spacing w:before="20" w:after="20"/>
              <w:jc w:val="center"/>
            </w:pPr>
            <w:r/>
            <w:r>
              <w:rPr>
                <w:rFonts w:ascii="Times New Roman" w:hAnsi="Times New Roman"/>
                <w:b w:val="0"/>
                <w:i w:val="0"/>
                <w:sz w:val="18"/>
              </w:rPr>
              <w:t>+0.137</w:t>
            </w:r>
          </w:p>
        </w:tc>
      </w:tr>
      <w:tr>
        <w:tc>
          <w:tcPr>
            <w:tcW w:type="dxa" w:w="1370"/>
          </w:tcPr>
          <w:p>
            <w:pPr>
              <w:spacing w:before="20" w:after="20"/>
              <w:jc w:val="center"/>
            </w:pPr>
            <w:r/>
            <w:r>
              <w:rPr>
                <w:rFonts w:ascii="Times New Roman" w:hAnsi="Times New Roman"/>
                <w:b w:val="0"/>
                <w:i w:val="0"/>
                <w:sz w:val="18"/>
              </w:rPr>
              <w:t>180d</w:t>
            </w:r>
          </w:p>
        </w:tc>
        <w:tc>
          <w:tcPr>
            <w:tcW w:type="dxa" w:w="1370"/>
          </w:tcPr>
          <w:p>
            <w:pPr>
              <w:spacing w:before="20" w:after="20"/>
              <w:jc w:val="center"/>
            </w:pPr>
            <w:r/>
            <w:r>
              <w:rPr>
                <w:rFonts w:ascii="Times New Roman" w:hAnsi="Times New Roman"/>
                <w:b w:val="0"/>
                <w:i w:val="0"/>
                <w:sz w:val="18"/>
              </w:rPr>
              <w:t>0.6150</w:t>
            </w:r>
          </w:p>
        </w:tc>
        <w:tc>
          <w:tcPr>
            <w:tcW w:type="dxa" w:w="1370"/>
          </w:tcPr>
          <w:p>
            <w:pPr>
              <w:spacing w:before="20" w:after="20"/>
              <w:jc w:val="center"/>
            </w:pPr>
            <w:r/>
            <w:r>
              <w:rPr>
                <w:rFonts w:ascii="Times New Roman" w:hAnsi="Times New Roman"/>
                <w:b w:val="0"/>
                <w:i w:val="0"/>
                <w:sz w:val="18"/>
              </w:rPr>
              <w:t>0.7390</w:t>
            </w:r>
          </w:p>
        </w:tc>
        <w:tc>
          <w:tcPr>
            <w:tcW w:type="dxa" w:w="1370"/>
          </w:tcPr>
          <w:p>
            <w:pPr>
              <w:spacing w:before="20" w:after="20"/>
              <w:jc w:val="center"/>
            </w:pPr>
            <w:r/>
            <w:r>
              <w:rPr>
                <w:rFonts w:ascii="Times New Roman" w:hAnsi="Times New Roman"/>
                <w:b w:val="0"/>
                <w:i w:val="0"/>
                <w:sz w:val="18"/>
              </w:rPr>
              <w:t>0.7219</w:t>
            </w:r>
          </w:p>
        </w:tc>
        <w:tc>
          <w:tcPr>
            <w:tcW w:type="dxa" w:w="1370"/>
          </w:tcPr>
          <w:p>
            <w:pPr>
              <w:spacing w:before="20" w:after="20"/>
              <w:jc w:val="center"/>
            </w:pPr>
            <w:r/>
            <w:r>
              <w:rPr>
                <w:rFonts w:ascii="Times New Roman" w:hAnsi="Times New Roman"/>
                <w:b w:val="0"/>
                <w:i w:val="0"/>
                <w:sz w:val="18"/>
              </w:rPr>
              <w:t>0.7456</w:t>
            </w:r>
          </w:p>
        </w:tc>
        <w:tc>
          <w:tcPr>
            <w:tcW w:type="dxa" w:w="1370"/>
          </w:tcPr>
          <w:p>
            <w:pPr>
              <w:spacing w:before="20" w:after="20"/>
              <w:jc w:val="center"/>
            </w:pPr>
            <w:r/>
            <w:r>
              <w:rPr>
                <w:rFonts w:ascii="Times New Roman" w:hAnsi="Times New Roman"/>
                <w:b w:val="0"/>
                <w:i w:val="0"/>
                <w:sz w:val="18"/>
              </w:rPr>
              <w:t>+0.107</w:t>
            </w:r>
          </w:p>
        </w:tc>
      </w:tr>
      <w:tr>
        <w:tc>
          <w:tcPr>
            <w:tcW w:type="dxa" w:w="1370"/>
          </w:tcPr>
          <w:p>
            <w:pPr>
              <w:spacing w:before="20" w:after="20"/>
              <w:jc w:val="center"/>
            </w:pPr>
            <w:r/>
            <w:r>
              <w:rPr>
                <w:rFonts w:ascii="Times New Roman" w:hAnsi="Times New Roman"/>
                <w:b w:val="0"/>
                <w:i w:val="0"/>
                <w:sz w:val="18"/>
              </w:rPr>
              <w:t>252d</w:t>
            </w:r>
          </w:p>
        </w:tc>
        <w:tc>
          <w:tcPr>
            <w:tcW w:type="dxa" w:w="1370"/>
          </w:tcPr>
          <w:p>
            <w:pPr>
              <w:spacing w:before="20" w:after="20"/>
              <w:jc w:val="center"/>
            </w:pPr>
            <w:r/>
            <w:r>
              <w:rPr>
                <w:rFonts w:ascii="Times New Roman" w:hAnsi="Times New Roman"/>
                <w:b w:val="0"/>
                <w:i w:val="0"/>
                <w:sz w:val="18"/>
              </w:rPr>
              <w:t>0.6070</w:t>
            </w:r>
          </w:p>
        </w:tc>
        <w:tc>
          <w:tcPr>
            <w:tcW w:type="dxa" w:w="1370"/>
          </w:tcPr>
          <w:p>
            <w:pPr>
              <w:spacing w:before="20" w:after="20"/>
              <w:jc w:val="center"/>
            </w:pPr>
            <w:r/>
            <w:r>
              <w:rPr>
                <w:rFonts w:ascii="Times New Roman" w:hAnsi="Times New Roman"/>
                <w:b w:val="0"/>
                <w:i w:val="0"/>
                <w:sz w:val="18"/>
              </w:rPr>
              <w:t>0.6906</w:t>
            </w:r>
          </w:p>
        </w:tc>
        <w:tc>
          <w:tcPr>
            <w:tcW w:type="dxa" w:w="1370"/>
          </w:tcPr>
          <w:p>
            <w:pPr>
              <w:spacing w:before="20" w:after="20"/>
              <w:jc w:val="center"/>
            </w:pPr>
            <w:r/>
            <w:r>
              <w:rPr>
                <w:rFonts w:ascii="Times New Roman" w:hAnsi="Times New Roman"/>
                <w:b w:val="0"/>
                <w:i w:val="0"/>
                <w:sz w:val="18"/>
              </w:rPr>
              <w:t>0.6826</w:t>
            </w:r>
          </w:p>
        </w:tc>
        <w:tc>
          <w:tcPr>
            <w:tcW w:type="dxa" w:w="1370"/>
          </w:tcPr>
          <w:p>
            <w:pPr>
              <w:spacing w:before="20" w:after="20"/>
              <w:jc w:val="center"/>
            </w:pPr>
            <w:r/>
            <w:r>
              <w:rPr>
                <w:rFonts w:ascii="Times New Roman" w:hAnsi="Times New Roman"/>
                <w:b w:val="0"/>
                <w:i w:val="0"/>
                <w:sz w:val="18"/>
              </w:rPr>
              <w:t>0.7251</w:t>
            </w:r>
          </w:p>
        </w:tc>
        <w:tc>
          <w:tcPr>
            <w:tcW w:type="dxa" w:w="1370"/>
          </w:tcPr>
          <w:p>
            <w:pPr>
              <w:spacing w:before="20" w:after="20"/>
              <w:jc w:val="center"/>
            </w:pPr>
            <w:r/>
            <w:r>
              <w:rPr>
                <w:rFonts w:ascii="Times New Roman" w:hAnsi="Times New Roman"/>
                <w:b w:val="0"/>
                <w:i w:val="0"/>
                <w:sz w:val="18"/>
              </w:rPr>
              <w:t>+0.076</w:t>
            </w:r>
          </w:p>
        </w:tc>
      </w:tr>
    </w:tbl>
    <w:p/>
    <w:p>
      <w:pPr>
        <w:spacing w:before="0" w:after="120" w:lineRule="auto" w:line="360"/>
        <w:ind w:firstLine="400"/>
        <w:jc w:val="both"/>
      </w:pPr>
      <w:r>
        <w:rPr>
          <w:rFonts w:ascii="Times New Roman" w:hAnsi="Times New Roman"/>
          <w:b w:val="0"/>
          <w:i w:val="0"/>
          <w:sz w:val="20"/>
        </w:rPr>
        <w:t>LASSO(35피처)는 8개 기간 전체에서 LASSO-HAR(3피처)를 넘어서며, 성능 격차는 +0.001(1d)에서 +0.137(120d) 범위에 분포한다. 22d 기준 격차는 +0.068이며, 90d 이상 장기 구간에서 격차가 0.056~0.137로 확대된다.</w:t>
      </w:r>
    </w:p>
    <w:p>
      <w:pPr>
        <w:spacing w:before="160" w:after="80" w:lineRule="auto" w:line="360"/>
        <w:jc w:val="left"/>
      </w:pPr>
      <w:r>
        <w:rPr>
          <w:rFonts w:ascii="Times New Roman" w:hAnsi="Times New Roman"/>
          <w:b/>
          <w:i w:val="0"/>
          <w:sz w:val="22"/>
        </w:rPr>
        <w:t>3) 강건성 검증</w:t>
      </w:r>
    </w:p>
    <w:p>
      <w:pPr>
        <w:spacing w:before="0" w:after="120" w:lineRule="auto" w:line="360"/>
        <w:ind w:firstLine="400"/>
        <w:jc w:val="both"/>
      </w:pPr>
      <w:r>
        <w:rPr>
          <w:rFonts w:ascii="Times New Roman" w:hAnsi="Times New Roman"/>
          <w:b w:val="0"/>
          <w:i w:val="0"/>
          <w:sz w:val="20"/>
        </w:rPr>
        <w:t>WEns 앙상블에 대해 수행한 다중 분할 안정성, alpha 민감도, 5-fold 시계열 교차검증, 데이터 누출 테스트, permutation importance, DM 검정 결과는 전반적으로 일관된 패턴을 보였다. 본 절의 강건성 실험은 각 변경 사항을 개별적으로 적용하고 나머지 설정은 메인 실험과 동일하게 유지하는 방식으로 수행했다. 강건성 실험에서 공통으로 사용된 기준값 0.782는 표 6의 22d 단일 기간 결과(0.8041)와 다르다. 이 값은 각 강건성 조건(GVZ/OVX 교체, 전방 채움 제거 등) 하에서 메인 실험과 동일한 학습-테스트 분할 및 하이퍼파라미터로 WEns를 재학습하였을 때의 기준 Pooled R</w:t>
      </w:r>
      <w:r>
        <w:rPr>
          <w:rFonts w:ascii="Times New Roman" w:hAnsi="Times New Roman"/>
          <w:b w:val="0"/>
          <w:i w:val="0"/>
          <w:sz w:val="20"/>
          <w:vertAlign w:val="superscript"/>
        </w:rPr>
        <w:t>2</w:t>
      </w:r>
      <w:r>
        <w:rPr>
          <w:rFonts w:ascii="Times New Roman" w:hAnsi="Times New Roman"/>
          <w:b w:val="0"/>
          <w:i w:val="0"/>
          <w:sz w:val="20"/>
        </w:rPr>
        <w:t>이며, 실험 간 비교 가능성을 위해 공통 기준으로 설정했다. 각 강건성 실험의 해석은 절대값이 아닌 기준값 대비 변화량(Δ)에 초점을 맞춘다. Commodity IV 대체(GVZ/OVX) 실험에서는 VIX를 GLD에는 GVZ, USO에는 OVX로 교체하였을 때 통합 Pooled R</w:t>
      </w:r>
      <w:r>
        <w:rPr>
          <w:rFonts w:ascii="Times New Roman" w:hAnsi="Times New Roman"/>
          <w:b w:val="0"/>
          <w:i w:val="0"/>
          <w:sz w:val="20"/>
          <w:vertAlign w:val="superscript"/>
        </w:rPr>
        <w:t>2</w:t>
      </w:r>
      <w:r>
        <w:rPr>
          <w:rFonts w:ascii="Times New Roman" w:hAnsi="Times New Roman"/>
          <w:b w:val="0"/>
          <w:i w:val="0"/>
          <w:sz w:val="20"/>
        </w:rPr>
        <w:t>가 0.782에서 0.774로 0.008p 하락했다. 잔차 진단에서 비정규성, 자기상관, ARCH 효과가 관찰되었으나, HAC 기반 검정과 블록 부트스트랩을 통해 통계적 비교의 왜곡 가능성을 완화했다. 전방 채움 제거 실험에서는 통합 Pooled R</w:t>
      </w:r>
      <w:r>
        <w:rPr>
          <w:rFonts w:ascii="Times New Roman" w:hAnsi="Times New Roman"/>
          <w:b w:val="0"/>
          <w:i w:val="0"/>
          <w:sz w:val="20"/>
          <w:vertAlign w:val="superscript"/>
        </w:rPr>
        <w:t>2</w:t>
      </w:r>
      <w:r>
        <w:rPr>
          <w:rFonts w:ascii="Times New Roman" w:hAnsi="Times New Roman"/>
          <w:b w:val="0"/>
          <w:i w:val="0"/>
          <w:sz w:val="20"/>
        </w:rPr>
        <w:t>가 0.782에서 0.795로, 중위 R</w:t>
      </w:r>
      <w:r>
        <w:rPr>
          <w:rFonts w:ascii="Times New Roman" w:hAnsi="Times New Roman"/>
          <w:b w:val="0"/>
          <w:i w:val="0"/>
          <w:sz w:val="20"/>
          <w:vertAlign w:val="superscript"/>
        </w:rPr>
        <w:t>2</w:t>
      </w:r>
      <w:r>
        <w:rPr>
          <w:rFonts w:ascii="Times New Roman" w:hAnsi="Times New Roman"/>
          <w:b w:val="0"/>
          <w:i w:val="0"/>
          <w:sz w:val="20"/>
        </w:rPr>
        <w:t>가 0.123에서 0.182로 소폭 상승하여, 결측 처리 방식이 성능을 보수적 방향으로 작용하였음을 확인했다.</w:t>
      </w:r>
    </w:p>
    <w:p>
      <w:pPr>
        <w:spacing w:before="0" w:after="120" w:lineRule="auto" w:line="360"/>
        <w:ind w:firstLine="400"/>
        <w:jc w:val="both"/>
      </w:pPr>
      <w:r>
        <w:rPr>
          <w:rFonts w:ascii="Times New Roman" w:hAnsi="Times New Roman"/>
          <w:b w:val="0"/>
          <w:i w:val="0"/>
          <w:sz w:val="20"/>
        </w:rPr>
        <w:t>VIX 만기 불일치 관련하여, 본 연구는 30일 만기 옵션을 기반으로 산출된 VIX를 모든 예측 기간에 동일하게 적용하였으므로, h가 30일을 초과하는 경우 IV의 만기와 예측 기간 사이에 불일치가 존재한다. 각 기간에 적합한 만기의 IV를 활용하는 방향은 향후 연구 과제로 남긴다.</w:t>
      </w:r>
    </w:p>
    <w:p>
      <w:pPr>
        <w:spacing w:before="240" w:after="120" w:lineRule="auto" w:line="360"/>
        <w:jc w:val="left"/>
      </w:pPr>
      <w:r>
        <w:rPr>
          <w:rFonts w:ascii="Times New Roman" w:hAnsi="Times New Roman"/>
          <w:b/>
          <w:i w:val="0"/>
          <w:sz w:val="24"/>
        </w:rPr>
        <w:t>6. 예측 RV 기반 VRP 분석</w:t>
      </w:r>
    </w:p>
    <w:p>
      <w:pPr>
        <w:spacing w:before="160" w:after="80" w:lineRule="auto" w:line="360"/>
        <w:jc w:val="left"/>
      </w:pPr>
      <w:r>
        <w:rPr>
          <w:rFonts w:ascii="Times New Roman" w:hAnsi="Times New Roman"/>
          <w:b/>
          <w:i w:val="0"/>
          <w:sz w:val="22"/>
        </w:rPr>
        <w:t>1) VRP 정의 및 산출 방법</w:t>
      </w:r>
    </w:p>
    <w:p>
      <w:pPr>
        <w:spacing w:before="0" w:after="120" w:lineRule="auto" w:line="360"/>
        <w:ind w:firstLine="400"/>
        <w:jc w:val="both"/>
      </w:pPr>
      <w:r>
        <w:rPr>
          <w:rFonts w:ascii="Times New Roman" w:hAnsi="Times New Roman"/>
          <w:b w:val="0"/>
          <w:i w:val="0"/>
          <w:sz w:val="20"/>
        </w:rPr>
        <w:t>본 절에서는 WEns 모형의 예측 RV를 활용하여 분산위험프리미엄(VRP)을 도출하고 그 특성을 탐색적으로 분석한다. 구체적으로 VRP_i,t(h) = IV_t</w:t>
      </w:r>
      <w:r>
        <w:rPr>
          <w:rFonts w:ascii="Times New Roman" w:hAnsi="Times New Roman"/>
          <w:b w:val="0"/>
          <w:i w:val="0"/>
          <w:sz w:val="20"/>
          <w:vertAlign w:val="superscript"/>
        </w:rPr>
        <w:t>2</w:t>
      </w:r>
      <w:r>
        <w:rPr>
          <w:rFonts w:ascii="Times New Roman" w:hAnsi="Times New Roman"/>
          <w:b w:val="0"/>
          <w:i w:val="0"/>
          <w:sz w:val="20"/>
        </w:rPr>
        <w:t xml:space="preserve"> − RV_i,t(h)^hat으로 정의하며, 여기서 IV_t</w:t>
      </w:r>
      <w:r>
        <w:rPr>
          <w:rFonts w:ascii="Times New Roman" w:hAnsi="Times New Roman"/>
          <w:b w:val="0"/>
          <w:i w:val="0"/>
          <w:sz w:val="20"/>
          <w:vertAlign w:val="superscript"/>
        </w:rPr>
        <w:t>2</w:t>
      </w:r>
      <w:r>
        <w:rPr>
          <w:rFonts w:ascii="Times New Roman" w:hAnsi="Times New Roman"/>
          <w:b w:val="0"/>
          <w:i w:val="0"/>
          <w:sz w:val="20"/>
        </w:rPr>
        <w:t xml:space="preserve"> = (VIX_t / 100)</w:t>
      </w:r>
      <w:r>
        <w:rPr>
          <w:rFonts w:ascii="Times New Roman" w:hAnsi="Times New Roman"/>
          <w:b w:val="0"/>
          <w:i w:val="0"/>
          <w:sz w:val="20"/>
          <w:vertAlign w:val="superscript"/>
        </w:rPr>
        <w:t>2</w:t>
      </w:r>
      <w:r>
        <w:rPr>
          <w:rFonts w:ascii="Times New Roman" w:hAnsi="Times New Roman"/>
          <w:b w:val="0"/>
          <w:i w:val="0"/>
          <w:sz w:val="20"/>
        </w:rPr>
        <w:t>는 예측 시점 t에서 관측 가능한 내재분산 proxy이고, RV_i,t(h)^hat은 WEns 모형의 예측 RV이다. VRP 분석은 주요 RV 예측 결과에 추가하여 제시하는 탐색적(exploratory) 분석이며, 인과 관계 해석은 이 분석의 범위를 벗어난다.</w:t>
      </w:r>
    </w:p>
    <w:p>
      <w:pPr>
        <w:spacing w:before="160" w:after="80" w:lineRule="auto" w:line="360"/>
        <w:jc w:val="left"/>
      </w:pPr>
      <w:r>
        <w:rPr>
          <w:rFonts w:ascii="Times New Roman" w:hAnsi="Times New Roman"/>
          <w:b/>
          <w:i w:val="0"/>
          <w:sz w:val="22"/>
        </w:rPr>
        <w:t>2) 기간별 VRP 분포 특성</w:t>
      </w:r>
    </w:p>
    <w:p>
      <w:pPr>
        <w:spacing w:before="0" w:after="120" w:lineRule="auto" w:line="360"/>
        <w:ind w:firstLine="400"/>
        <w:jc w:val="both"/>
      </w:pPr>
      <w:r>
        <w:rPr>
          <w:rFonts w:ascii="Times New Roman" w:hAnsi="Times New Roman"/>
          <w:b w:val="0"/>
          <w:i w:val="0"/>
          <w:sz w:val="20"/>
        </w:rPr>
        <w:t>VRP는 단기 구간에서 상대적으로 분포가 좁고, 예측 기간이 길어질수록 분산이 확대되는 경향을 보인다. 표 13은 22거래일 기준 자산군별 VRP의 기초 통계량을 나타낸 것이다.</w:t>
      </w:r>
    </w:p>
    <w:p>
      <w:pPr>
        <w:spacing w:before="60" w:after="60" w:lineRule="auto" w:line="288"/>
        <w:jc w:val="center"/>
      </w:pPr>
      <w:r>
        <w:rPr>
          <w:rFonts w:ascii="Times New Roman" w:hAnsi="Times New Roman"/>
          <w:b w:val="0"/>
          <w:i w:val="0"/>
          <w:sz w:val="20"/>
        </w:rPr>
        <w:t>표 13. 자산군별 VRP 기초 통계 (22d 기준, WEns 예측 RV 사용)  /  Table 13. VRP Summary Statistics by Asset Class (22d, WEns-predicted RV)</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tcPr>
          <w:p>
            <w:pPr>
              <w:spacing w:before="20" w:after="20"/>
              <w:jc w:val="center"/>
            </w:pPr>
            <w:r/>
            <w:r>
              <w:rPr>
                <w:rFonts w:ascii="Times New Roman" w:hAnsi="Times New Roman"/>
                <w:b/>
                <w:i w:val="0"/>
                <w:sz w:val="18"/>
              </w:rPr>
              <w:t>Asset Class</w:t>
            </w:r>
          </w:p>
        </w:tc>
        <w:tc>
          <w:tcPr>
            <w:tcW w:type="dxa" w:w="1644"/>
          </w:tcPr>
          <w:p>
            <w:pPr>
              <w:spacing w:before="20" w:after="20"/>
              <w:jc w:val="center"/>
            </w:pPr>
            <w:r/>
            <w:r>
              <w:rPr>
                <w:rFonts w:ascii="Times New Roman" w:hAnsi="Times New Roman"/>
                <w:b/>
                <w:i w:val="0"/>
                <w:sz w:val="18"/>
              </w:rPr>
              <w:t>Mean VRP</w:t>
            </w:r>
          </w:p>
        </w:tc>
        <w:tc>
          <w:tcPr>
            <w:tcW w:type="dxa" w:w="1644"/>
          </w:tcPr>
          <w:p>
            <w:pPr>
              <w:spacing w:before="20" w:after="20"/>
              <w:jc w:val="center"/>
            </w:pPr>
            <w:r/>
            <w:r>
              <w:rPr>
                <w:rFonts w:ascii="Times New Roman" w:hAnsi="Times New Roman"/>
                <w:b/>
                <w:i w:val="0"/>
                <w:sz w:val="18"/>
              </w:rPr>
              <w:t>Median VRP</w:t>
            </w:r>
          </w:p>
        </w:tc>
        <w:tc>
          <w:tcPr>
            <w:tcW w:type="dxa" w:w="1644"/>
          </w:tcPr>
          <w:p>
            <w:pPr>
              <w:spacing w:before="20" w:after="20"/>
              <w:jc w:val="center"/>
            </w:pPr>
            <w:r/>
            <w:r>
              <w:rPr>
                <w:rFonts w:ascii="Times New Roman" w:hAnsi="Times New Roman"/>
                <w:b/>
                <w:i w:val="0"/>
                <w:sz w:val="18"/>
              </w:rPr>
              <w:t>Std VRP</w:t>
            </w:r>
          </w:p>
        </w:tc>
        <w:tc>
          <w:tcPr>
            <w:tcW w:type="dxa" w:w="1644"/>
          </w:tcPr>
          <w:p>
            <w:pPr>
              <w:spacing w:before="20" w:after="20"/>
              <w:jc w:val="center"/>
            </w:pPr>
            <w:r/>
            <w:r>
              <w:rPr>
                <w:rFonts w:ascii="Times New Roman" w:hAnsi="Times New Roman"/>
                <w:b/>
                <w:i w:val="0"/>
                <w:sz w:val="18"/>
              </w:rPr>
              <w:t>Pos Ratio (%)</w:t>
            </w:r>
          </w:p>
        </w:tc>
      </w:tr>
      <w:tr>
        <w:tc>
          <w:tcPr>
            <w:tcW w:type="dxa" w:w="1644"/>
          </w:tcPr>
          <w:p>
            <w:pPr>
              <w:spacing w:before="20" w:after="20"/>
              <w:jc w:val="center"/>
            </w:pPr>
            <w:r/>
            <w:r>
              <w:rPr>
                <w:rFonts w:ascii="Times New Roman" w:hAnsi="Times New Roman"/>
                <w:b w:val="0"/>
                <w:i w:val="0"/>
                <w:sz w:val="18"/>
              </w:rPr>
              <w:t>Equity</w:t>
            </w:r>
          </w:p>
        </w:tc>
        <w:tc>
          <w:tcPr>
            <w:tcW w:type="dxa" w:w="1644"/>
          </w:tcPr>
          <w:p>
            <w:pPr>
              <w:spacing w:before="20" w:after="20"/>
              <w:jc w:val="center"/>
            </w:pPr>
            <w:r/>
            <w:r>
              <w:rPr>
                <w:rFonts w:ascii="Times New Roman" w:hAnsi="Times New Roman"/>
                <w:b w:val="0"/>
                <w:i w:val="0"/>
                <w:sz w:val="18"/>
              </w:rPr>
              <w:t>0.008805</w:t>
            </w:r>
          </w:p>
        </w:tc>
        <w:tc>
          <w:tcPr>
            <w:tcW w:type="dxa" w:w="1644"/>
          </w:tcPr>
          <w:p>
            <w:pPr>
              <w:spacing w:before="20" w:after="20"/>
              <w:jc w:val="center"/>
            </w:pPr>
            <w:r/>
            <w:r>
              <w:rPr>
                <w:rFonts w:ascii="Times New Roman" w:hAnsi="Times New Roman"/>
                <w:b w:val="0"/>
                <w:i w:val="0"/>
                <w:sz w:val="18"/>
              </w:rPr>
              <w:t>0.006009</w:t>
            </w:r>
          </w:p>
        </w:tc>
        <w:tc>
          <w:tcPr>
            <w:tcW w:type="dxa" w:w="1644"/>
          </w:tcPr>
          <w:p>
            <w:pPr>
              <w:spacing w:before="20" w:after="20"/>
              <w:jc w:val="center"/>
            </w:pPr>
            <w:r/>
            <w:r>
              <w:rPr>
                <w:rFonts w:ascii="Times New Roman" w:hAnsi="Times New Roman"/>
                <w:b w:val="0"/>
                <w:i w:val="0"/>
                <w:sz w:val="18"/>
              </w:rPr>
              <w:t>0.015273</w:t>
            </w:r>
          </w:p>
        </w:tc>
        <w:tc>
          <w:tcPr>
            <w:tcW w:type="dxa" w:w="1644"/>
          </w:tcPr>
          <w:p>
            <w:pPr>
              <w:spacing w:before="20" w:after="20"/>
              <w:jc w:val="center"/>
            </w:pPr>
            <w:r/>
            <w:r>
              <w:rPr>
                <w:rFonts w:ascii="Times New Roman" w:hAnsi="Times New Roman"/>
                <w:b w:val="0"/>
                <w:i w:val="0"/>
                <w:sz w:val="18"/>
              </w:rPr>
              <w:t>71.5</w:t>
            </w:r>
          </w:p>
        </w:tc>
      </w:tr>
      <w:tr>
        <w:tc>
          <w:tcPr>
            <w:tcW w:type="dxa" w:w="1644"/>
          </w:tcPr>
          <w:p>
            <w:pPr>
              <w:spacing w:before="20" w:after="20"/>
              <w:jc w:val="center"/>
            </w:pPr>
            <w:r/>
            <w:r>
              <w:rPr>
                <w:rFonts w:ascii="Times New Roman" w:hAnsi="Times New Roman"/>
                <w:b w:val="0"/>
                <w:i w:val="0"/>
                <w:sz w:val="18"/>
              </w:rPr>
              <w:t>Bond</w:t>
            </w:r>
          </w:p>
        </w:tc>
        <w:tc>
          <w:tcPr>
            <w:tcW w:type="dxa" w:w="1644"/>
          </w:tcPr>
          <w:p>
            <w:pPr>
              <w:spacing w:before="20" w:after="20"/>
              <w:jc w:val="center"/>
            </w:pPr>
            <w:r/>
            <w:r>
              <w:rPr>
                <w:rFonts w:ascii="Times New Roman" w:hAnsi="Times New Roman"/>
                <w:b w:val="0"/>
                <w:i w:val="0"/>
                <w:sz w:val="18"/>
              </w:rPr>
              <w:t>0.028848</w:t>
            </w:r>
          </w:p>
        </w:tc>
        <w:tc>
          <w:tcPr>
            <w:tcW w:type="dxa" w:w="1644"/>
          </w:tcPr>
          <w:p>
            <w:pPr>
              <w:spacing w:before="20" w:after="20"/>
              <w:jc w:val="center"/>
            </w:pPr>
            <w:r/>
            <w:r>
              <w:rPr>
                <w:rFonts w:ascii="Times New Roman" w:hAnsi="Times New Roman"/>
                <w:b w:val="0"/>
                <w:i w:val="0"/>
                <w:sz w:val="18"/>
              </w:rPr>
              <w:t>0.022898</w:t>
            </w:r>
          </w:p>
        </w:tc>
        <w:tc>
          <w:tcPr>
            <w:tcW w:type="dxa" w:w="1644"/>
          </w:tcPr>
          <w:p>
            <w:pPr>
              <w:spacing w:before="20" w:after="20"/>
              <w:jc w:val="center"/>
            </w:pPr>
            <w:r/>
            <w:r>
              <w:rPr>
                <w:rFonts w:ascii="Times New Roman" w:hAnsi="Times New Roman"/>
                <w:b w:val="0"/>
                <w:i w:val="0"/>
                <w:sz w:val="18"/>
              </w:rPr>
              <w:t>0.025572</w:t>
            </w:r>
          </w:p>
        </w:tc>
        <w:tc>
          <w:tcPr>
            <w:tcW w:type="dxa" w:w="1644"/>
          </w:tcPr>
          <w:p>
            <w:pPr>
              <w:spacing w:before="20" w:after="20"/>
              <w:jc w:val="center"/>
            </w:pPr>
            <w:r/>
            <w:r>
              <w:rPr>
                <w:rFonts w:ascii="Times New Roman" w:hAnsi="Times New Roman"/>
                <w:b w:val="0"/>
                <w:i w:val="0"/>
                <w:sz w:val="18"/>
              </w:rPr>
              <w:t>92.7</w:t>
            </w:r>
          </w:p>
        </w:tc>
      </w:tr>
      <w:tr>
        <w:tc>
          <w:tcPr>
            <w:tcW w:type="dxa" w:w="1644"/>
          </w:tcPr>
          <w:p>
            <w:pPr>
              <w:spacing w:before="20" w:after="20"/>
              <w:jc w:val="center"/>
            </w:pPr>
            <w:r/>
            <w:r>
              <w:rPr>
                <w:rFonts w:ascii="Times New Roman" w:hAnsi="Times New Roman"/>
                <w:b w:val="0"/>
                <w:i w:val="0"/>
                <w:sz w:val="18"/>
              </w:rPr>
              <w:t>Commodity</w:t>
            </w:r>
          </w:p>
        </w:tc>
        <w:tc>
          <w:tcPr>
            <w:tcW w:type="dxa" w:w="1644"/>
          </w:tcPr>
          <w:p>
            <w:pPr>
              <w:spacing w:before="20" w:after="20"/>
              <w:jc w:val="center"/>
            </w:pPr>
            <w:r/>
            <w:r>
              <w:rPr>
                <w:rFonts w:ascii="Times New Roman" w:hAnsi="Times New Roman"/>
                <w:b w:val="0"/>
                <w:i w:val="0"/>
                <w:sz w:val="18"/>
              </w:rPr>
              <w:t>-0.023502</w:t>
            </w:r>
          </w:p>
        </w:tc>
        <w:tc>
          <w:tcPr>
            <w:tcW w:type="dxa" w:w="1644"/>
          </w:tcPr>
          <w:p>
            <w:pPr>
              <w:spacing w:before="20" w:after="20"/>
              <w:jc w:val="center"/>
            </w:pPr>
            <w:r/>
            <w:r>
              <w:rPr>
                <w:rFonts w:ascii="Times New Roman" w:hAnsi="Times New Roman"/>
                <w:b w:val="0"/>
                <w:i w:val="0"/>
                <w:sz w:val="18"/>
              </w:rPr>
              <w:t>-0.027211</w:t>
            </w:r>
          </w:p>
        </w:tc>
        <w:tc>
          <w:tcPr>
            <w:tcW w:type="dxa" w:w="1644"/>
          </w:tcPr>
          <w:p>
            <w:pPr>
              <w:spacing w:before="20" w:after="20"/>
              <w:jc w:val="center"/>
            </w:pPr>
            <w:r/>
            <w:r>
              <w:rPr>
                <w:rFonts w:ascii="Times New Roman" w:hAnsi="Times New Roman"/>
                <w:b w:val="0"/>
                <w:i w:val="0"/>
                <w:sz w:val="18"/>
              </w:rPr>
              <w:t>0.042423</w:t>
            </w:r>
          </w:p>
        </w:tc>
        <w:tc>
          <w:tcPr>
            <w:tcW w:type="dxa" w:w="1644"/>
          </w:tcPr>
          <w:p>
            <w:pPr>
              <w:spacing w:before="20" w:after="20"/>
              <w:jc w:val="center"/>
            </w:pPr>
            <w:r/>
            <w:r>
              <w:rPr>
                <w:rFonts w:ascii="Times New Roman" w:hAnsi="Times New Roman"/>
                <w:b w:val="0"/>
                <w:i w:val="0"/>
                <w:sz w:val="18"/>
              </w:rPr>
              <w:t>31.5</w:t>
            </w:r>
          </w:p>
        </w:tc>
      </w:tr>
    </w:tbl>
    <w:p/>
    <w:p>
      <w:pPr>
        <w:spacing w:before="0" w:after="120" w:lineRule="auto" w:line="360"/>
        <w:ind w:firstLine="400"/>
        <w:jc w:val="both"/>
      </w:pPr>
      <w:r>
        <w:rPr>
          <w:rFonts w:ascii="Times New Roman" w:hAnsi="Times New Roman"/>
          <w:b w:val="0"/>
          <w:i w:val="0"/>
          <w:sz w:val="20"/>
        </w:rPr>
        <w:t>(비고: VRP = (VIX_t/100)</w:t>
      </w:r>
      <w:r>
        <w:rPr>
          <w:rFonts w:ascii="Times New Roman" w:hAnsi="Times New Roman"/>
          <w:b w:val="0"/>
          <w:i w:val="0"/>
          <w:sz w:val="20"/>
          <w:vertAlign w:val="superscript"/>
        </w:rPr>
        <w:t>2</w:t>
      </w:r>
      <w:r>
        <w:rPr>
          <w:rFonts w:ascii="Times New Roman" w:hAnsi="Times New Roman"/>
          <w:b w:val="0"/>
          <w:i w:val="0"/>
          <w:sz w:val="20"/>
        </w:rPr>
        <w:t xml:space="preserve"> − RV_i,t(22d)^hat. 테스트 기간 2021-12-03~2024-11-27. Equity·Bond·Commodity 각 자산군 내 전체 관측치 풀링. Bond VRP 양수 비율이 높은 것은 VIX(주식 기반 IV proxy)가 채권 변동성을 과대추정하는 만기 불일치 효과를 반영한다.)</w:t>
      </w:r>
    </w:p>
    <w:p>
      <w:pPr>
        <w:spacing w:before="0" w:after="120" w:lineRule="auto" w:line="360"/>
        <w:ind w:firstLine="400"/>
        <w:jc w:val="both"/>
      </w:pPr>
      <w:r>
        <w:rPr>
          <w:rFonts w:ascii="Times New Roman" w:hAnsi="Times New Roman"/>
          <w:b w:val="0"/>
          <w:i w:val="0"/>
          <w:sz w:val="20"/>
        </w:rPr>
        <w:t>1~22거래일 단기 구간에서 VRP의 평균은 주식 자산군을 중심으로 양수를 유지하는데, 이는 시장 참여자들이 단기 변동성 위험에 대해 프리미엄을 지불한다는 기존 문헌</w:t>
      </w:r>
      <w:r>
        <w:rPr>
          <w:rFonts w:ascii="Times New Roman" w:hAnsi="Times New Roman"/>
          <w:b w:val="0"/>
          <w:i w:val="0"/>
          <w:sz w:val="20"/>
          <w:vertAlign w:val="superscript"/>
        </w:rPr>
        <w:t>56</w:t>
      </w:r>
      <w:r>
        <w:rPr>
          <w:rFonts w:ascii="Times New Roman" w:hAnsi="Times New Roman"/>
          <w:b w:val="0"/>
          <w:i w:val="0"/>
          <w:sz w:val="20"/>
        </w:rPr>
        <w:t>의 결과와 방향이 일치한다. 반면 60거래일 이상의 장기 구간에서는 VIX가 30일 만기를 기준으로 산출된 값임을 감안할 때 만기 불일치로 인해 VRP의 해석에 주의가 필요하다. 자산별로는 원자재 자산군의 VRP 양수 비율이 31.5%로 가장 낮게 나타나고, 주식 ETF(SPY, QQQ)에서는 71.5%로 상대적으로 높다. 채권의 92.7%는 순수한 위험 프리미엄보다는 주식 기반 VIX가 채권 변동성을 과대추정하는 방법론적 효과를 반영한다(표 13 비고 참조).</w:t>
      </w:r>
    </w:p>
    <w:p>
      <w:pPr>
        <w:spacing w:before="160" w:after="80" w:lineRule="auto" w:line="360"/>
        <w:jc w:val="left"/>
      </w:pPr>
      <w:r>
        <w:rPr>
          <w:rFonts w:ascii="Times New Roman" w:hAnsi="Times New Roman"/>
          <w:b/>
          <w:i w:val="0"/>
          <w:sz w:val="22"/>
        </w:rPr>
        <w:t>3) 자산군별 VRP 수준 비교</w:t>
      </w:r>
    </w:p>
    <w:p>
      <w:pPr>
        <w:spacing w:before="0" w:after="120" w:lineRule="auto" w:line="360"/>
        <w:ind w:firstLine="400"/>
        <w:jc w:val="both"/>
      </w:pPr>
      <w:r>
        <w:rPr>
          <w:rFonts w:ascii="Times New Roman" w:hAnsi="Times New Roman"/>
          <w:b w:val="0"/>
          <w:i w:val="0"/>
          <w:sz w:val="20"/>
        </w:rPr>
        <w:t>자산군별 VRP 수준에는 이질성이 관찰된다. 주식 자산군(Equity)에서는 VIX가 S&amp;P 500 옵션 기반으로 산출되므로 주식 자산의 IV와 내부적 일관성이 높고, VRP가 변동성 위험 프리미엄을 보다 직접적으로 반영한다. 반면 채권(Bond) 및 원자재(Commodity) 자산에서는 VIX</w:t>
      </w:r>
      <w:r>
        <w:rPr>
          <w:rFonts w:ascii="Times New Roman" w:hAnsi="Times New Roman"/>
          <w:b w:val="0"/>
          <w:i w:val="0"/>
          <w:sz w:val="20"/>
          <w:vertAlign w:val="superscript"/>
        </w:rPr>
        <w:t>2</w:t>
      </w:r>
      <w:r>
        <w:rPr>
          <w:rFonts w:ascii="Times New Roman" w:hAnsi="Times New Roman"/>
          <w:b w:val="0"/>
          <w:i w:val="0"/>
          <w:sz w:val="20"/>
        </w:rPr>
        <w:t>를 공통 IV proxy로 적용하므로, 해당 자산군의 실제 내재변동성과 VIX 사이의 괴리가 VRP 측정에 영향을 미칠 수 있다. 이는 자산군별 전용 변동성 지수(예: GVZ, OVX)를 활용하는 방향이 보다 정밀한 VRP 측정에 유리함을 보여주며, 이 점은 5절 3)항의 강건성 실험에서도 확인되었다.</w:t>
      </w:r>
    </w:p>
    <w:p>
      <w:pPr>
        <w:spacing w:before="240" w:after="120" w:lineRule="auto" w:line="360"/>
        <w:jc w:val="left"/>
      </w:pPr>
      <w:r>
        <w:rPr>
          <w:rFonts w:ascii="Times New Roman" w:hAnsi="Times New Roman"/>
          <w:b/>
          <w:i w:val="0"/>
          <w:sz w:val="24"/>
        </w:rPr>
        <w:t>7. 경제적 가치 평가 (탐색적)</w:t>
      </w:r>
    </w:p>
    <w:p>
      <w:pPr>
        <w:spacing w:before="160" w:after="80" w:lineRule="auto" w:line="360"/>
        <w:jc w:val="left"/>
      </w:pPr>
      <w:r>
        <w:rPr>
          <w:rFonts w:ascii="Times New Roman" w:hAnsi="Times New Roman"/>
          <w:b/>
          <w:i w:val="0"/>
          <w:sz w:val="22"/>
        </w:rPr>
        <w:t>1) 변동성 타깃팅 전략 개요</w:t>
      </w:r>
    </w:p>
    <w:p>
      <w:pPr>
        <w:spacing w:before="0" w:after="120" w:lineRule="auto" w:line="360"/>
        <w:ind w:firstLine="400"/>
        <w:jc w:val="both"/>
      </w:pPr>
      <w:r>
        <w:rPr>
          <w:rFonts w:ascii="Times New Roman" w:hAnsi="Times New Roman"/>
          <w:b w:val="0"/>
          <w:i w:val="0"/>
          <w:sz w:val="20"/>
        </w:rPr>
        <w:t>본 연구에서 예측된 RV는 변동성 타깃팅(volatility targeting) 포트폴리오 전략의 핵심 입력값으로 활용될 수 있다. 변동성 타깃팅 전략은 포트폴리오의 실현 변동성을 목표 수준에 유지하기 위해 예측 변동성에 반비례하는 포지션을 취하는 방식으로, RV 예측 정확도가 전략 성과에 직접적인 영향을 미친다. WEns의 고변동성 구간 예측 개선(ΔR</w:t>
      </w:r>
      <w:r>
        <w:rPr>
          <w:rFonts w:ascii="Times New Roman" w:hAnsi="Times New Roman"/>
          <w:b w:val="0"/>
          <w:i w:val="0"/>
          <w:sz w:val="20"/>
          <w:vertAlign w:val="superscript"/>
        </w:rPr>
        <w:t>2</w:t>
      </w:r>
      <w:r>
        <w:rPr>
          <w:rFonts w:ascii="Times New Roman" w:hAnsi="Times New Roman"/>
          <w:b w:val="0"/>
          <w:i w:val="0"/>
          <w:sz w:val="20"/>
        </w:rPr>
        <w:t xml:space="preserve"> = +0.163)은 위기 국면에서의 전략 성과 개선으로 이어질 가능성을 보여준다.</w:t>
      </w:r>
    </w:p>
    <w:p>
      <w:pPr>
        <w:spacing w:before="160" w:after="80" w:lineRule="auto" w:line="360"/>
        <w:jc w:val="left"/>
      </w:pPr>
      <w:r>
        <w:rPr>
          <w:rFonts w:ascii="Times New Roman" w:hAnsi="Times New Roman"/>
          <w:b/>
          <w:i w:val="0"/>
          <w:sz w:val="22"/>
        </w:rPr>
        <w:t>2) 향후 분석 방향</w:t>
      </w:r>
    </w:p>
    <w:p>
      <w:pPr>
        <w:spacing w:before="0" w:after="120" w:lineRule="auto" w:line="360"/>
        <w:ind w:firstLine="400"/>
        <w:jc w:val="both"/>
      </w:pPr>
      <w:r>
        <w:rPr>
          <w:rFonts w:ascii="Times New Roman" w:hAnsi="Times New Roman"/>
          <w:b w:val="0"/>
          <w:i w:val="0"/>
          <w:sz w:val="20"/>
        </w:rPr>
        <w:t>경제적 가치의 정량적 평가는 본 연구의 범위를 벗어나며, 향후 연구에서 다음과 같은 방향으로 확장할 수 있다. 첫째, 각 모형의 예측 RV를 사용한 변동성 타깃팅 전략의 샤프 비율과 최대 낙폭을 비교한다. 둘째, variance swap payoff 근사를 기반으로 VRP를 포착하는 전략의 수익성을 평가한다. 셋째, 예측 기간별로 전략 성과의 차이를 분석하여 어떤 horizon에서 예측 정확도 개선이 경제적 가치와 가장 강하게 연결되는지를 파악한다.</w:t>
      </w:r>
    </w:p>
    <w:p>
      <w:pPr>
        <w:spacing w:before="0" w:after="120" w:lineRule="auto" w:line="360"/>
        <w:ind w:firstLine="400"/>
        <w:jc w:val="both"/>
      </w:pPr>
      <w:r>
        <w:rPr>
          <w:rFonts w:ascii="Times New Roman" w:hAnsi="Times New Roman"/>
          <w:b w:val="0"/>
          <w:i w:val="0"/>
          <w:sz w:val="20"/>
        </w:rPr>
        <w:t>﻿Ⅴ. 결론 및 향후 연구</w:t>
      </w:r>
    </w:p>
    <w:p>
      <w:pPr>
        <w:spacing w:before="240" w:after="120" w:lineRule="auto" w:line="360"/>
        <w:jc w:val="left"/>
      </w:pPr>
      <w:r>
        <w:rPr>
          <w:rFonts w:ascii="Times New Roman" w:hAnsi="Times New Roman"/>
          <w:b/>
          <w:i w:val="0"/>
          <w:sz w:val="24"/>
        </w:rPr>
        <w:t>1. 연구 결과 요약</w:t>
      </w:r>
    </w:p>
    <w:p>
      <w:pPr>
        <w:spacing w:before="0" w:after="120" w:lineRule="auto" w:line="360"/>
        <w:ind w:firstLine="400"/>
        <w:jc w:val="both"/>
      </w:pPr>
      <w:r>
        <w:rPr>
          <w:rFonts w:ascii="Times New Roman" w:hAnsi="Times New Roman"/>
          <w:b w:val="0"/>
          <w:i w:val="0"/>
          <w:sz w:val="20"/>
        </w:rPr>
        <w:t>본 연구는 누구나 접근할 수 있는 일별 가격·거래량 자료와 변동성 지표만으로, 주식·채권·원자재를 포괄하는 다중 자산 실현분산(RV) 예측 프레임워크를 제안했다. 2010년부터 2024년까지의 11개 ETF 자료를 바탕으로, 미래 RV를 직접 예측하고 그 결과를 IV와 결합해 VRP를 도출하는 2단계 구조를 사용했다.</w:t>
      </w:r>
    </w:p>
    <w:p>
      <w:pPr>
        <w:spacing w:before="0" w:after="120" w:lineRule="auto" w:line="360"/>
        <w:ind w:firstLine="400"/>
        <w:jc w:val="both"/>
      </w:pPr>
      <w:r>
        <w:rPr>
          <w:rFonts w:ascii="Times New Roman" w:hAnsi="Times New Roman"/>
          <w:b w:val="0"/>
          <w:i w:val="0"/>
          <w:sz w:val="20"/>
        </w:rPr>
        <w:t>실증 결과, 1~252거래일 전 구간에서 Ridge 또는 WEns가 최상위권(1~2위)을 형성했으며, 세부 기간별 순위는 그림 3 히트맵을 참조한다. 이는 특정 예측 기간에만 유효한 기법이 아니라, Pooled R</w:t>
      </w:r>
      <w:r>
        <w:rPr>
          <w:rFonts w:ascii="Times New Roman" w:hAnsi="Times New Roman"/>
          <w:b w:val="0"/>
          <w:i w:val="0"/>
          <w:sz w:val="20"/>
          <w:vertAlign w:val="superscript"/>
        </w:rPr>
        <w:t>2</w:t>
      </w:r>
      <w:r>
        <w:rPr>
          <w:rFonts w:ascii="Times New Roman" w:hAnsi="Times New Roman"/>
          <w:b w:val="0"/>
          <w:i w:val="0"/>
          <w:sz w:val="20"/>
        </w:rPr>
        <w:t xml:space="preserve"> 기준으로 단기부터 연간에 이르기까지 일관되게 상위권을 유지하는 구조임을 뜻한다. 다만 90거래일 이상 장기 기간에서 R</w:t>
      </w:r>
      <w:r>
        <w:rPr>
          <w:rFonts w:ascii="Times New Roman" w:hAnsi="Times New Roman"/>
          <w:b w:val="0"/>
          <w:i w:val="0"/>
          <w:sz w:val="20"/>
          <w:vertAlign w:val="superscript"/>
        </w:rPr>
        <w:t>2</w:t>
      </w:r>
      <w:r>
        <w:rPr>
          <w:rFonts w:ascii="Times New Roman" w:hAnsi="Times New Roman"/>
          <w:b w:val="0"/>
          <w:i w:val="0"/>
          <w:sz w:val="20"/>
        </w:rPr>
        <w:t>_Within(자산 내 시계열 예측력)이 음수로 전환되므로, 장기 Pooled R</w:t>
      </w:r>
      <w:r>
        <w:rPr>
          <w:rFonts w:ascii="Times New Roman" w:hAnsi="Times New Roman"/>
          <w:b w:val="0"/>
          <w:i w:val="0"/>
          <w:sz w:val="20"/>
          <w:vertAlign w:val="superscript"/>
        </w:rPr>
        <w:t>2</w:t>
      </w:r>
      <w:r>
        <w:rPr>
          <w:rFonts w:ascii="Times New Roman" w:hAnsi="Times New Roman"/>
          <w:b w:val="0"/>
          <w:i w:val="0"/>
          <w:sz w:val="20"/>
        </w:rPr>
        <w:t>의 개선은 자산군 간 횡단면 수준 차이 설명력에서 주로 비롯됨을 유의해야 한다. 특히 22일 예측에서 WEns는 Ridge와 XGBoost를 결합해 두 모델 단독 성능보다 높은 Pooled R</w:t>
      </w:r>
      <w:r>
        <w:rPr>
          <w:rFonts w:ascii="Times New Roman" w:hAnsi="Times New Roman"/>
          <w:b w:val="0"/>
          <w:i w:val="0"/>
          <w:sz w:val="20"/>
          <w:vertAlign w:val="superscript"/>
        </w:rPr>
        <w:t>2</w:t>
      </w:r>
      <w:r>
        <w:rPr>
          <w:rFonts w:ascii="Times New Roman" w:hAnsi="Times New Roman"/>
          <w:b w:val="0"/>
          <w:i w:val="0"/>
          <w:sz w:val="20"/>
        </w:rPr>
        <w:t xml:space="preserve"> 0.8041을 기록했으며, 이는 선형 모델에 비선형 모델의 보정이 더해질 때 소폭이나마 성능이 개선됨을 보여준다. 상세 분석이 22거래일 기준에 집중된 이유는, 22d가 HAR-RV의 핵심 예측 기간이자 옵션 만기(VIX 30일)와 가장 근접한 구간으로서 IV 정보 활용이 이론적으로 가장 정합하고, 실증 문헌에서 비교 기준으로 가장 널리 사용되기 때문이다. 기간별 전체 모형 성능은 그림 3 히트맵에 제시했다. 또한 강건성 실험에서 기준값(Pooled R</w:t>
      </w:r>
      <w:r>
        <w:rPr>
          <w:rFonts w:ascii="Times New Roman" w:hAnsi="Times New Roman"/>
          <w:b w:val="0"/>
          <w:i w:val="0"/>
          <w:sz w:val="20"/>
          <w:vertAlign w:val="superscript"/>
        </w:rPr>
        <w:t>2</w:t>
      </w:r>
      <w:r>
        <w:rPr>
          <w:rFonts w:ascii="Times New Roman" w:hAnsi="Times New Roman"/>
          <w:b w:val="0"/>
          <w:i w:val="0"/>
          <w:sz w:val="20"/>
        </w:rPr>
        <w:t xml:space="preserve"> 0.782, 상세는 Ⅳ장 5절 3)항 참조) 대비 결과는 다음과 같다. 자산별 변동성 지표 교체(GVZ/OVX) 시 0.774로 0.008p 하락했고, 전방 채움 제거 시 0.795로 0.013p 상승했다. 즉 강건성 실험 결과는 0.774~0.795 범위에 분포하며, 보고된 성능이 특정 전처리나 지표 선택에 좌우되지 않는 견고한 결과임을 확인했다.</w:t>
      </w:r>
    </w:p>
    <w:p>
      <w:pPr>
        <w:spacing w:before="0" w:after="120" w:lineRule="auto" w:line="360"/>
        <w:ind w:firstLine="400"/>
        <w:jc w:val="both"/>
      </w:pPr>
      <w:r>
        <w:rPr>
          <w:rFonts w:ascii="Times New Roman" w:hAnsi="Times New Roman"/>
          <w:b w:val="0"/>
          <w:i w:val="0"/>
          <w:sz w:val="20"/>
        </w:rPr>
        <w:t>주요 정량 결과를 요약하면 다음과 같다. 첫째, WEns는 22d 기준 Pooled R</w:t>
      </w:r>
      <w:r>
        <w:rPr>
          <w:rFonts w:ascii="Times New Roman" w:hAnsi="Times New Roman"/>
          <w:b w:val="0"/>
          <w:i w:val="0"/>
          <w:sz w:val="20"/>
          <w:vertAlign w:val="superscript"/>
        </w:rPr>
        <w:t>2</w:t>
      </w:r>
      <w:r>
        <w:rPr>
          <w:rFonts w:ascii="Times New Roman" w:hAnsi="Times New Roman"/>
          <w:b w:val="0"/>
          <w:i w:val="0"/>
          <w:sz w:val="20"/>
        </w:rPr>
        <w:t xml:space="preserve"> 0.8041로 8개 예측 기간 중 5개에서 최고 성능을 기록했다. 둘째, 1~22d에서는 HAR+Range(8피처) 조합이 Pooled R</w:t>
      </w:r>
      <w:r>
        <w:rPr>
          <w:rFonts w:ascii="Times New Roman" w:hAnsi="Times New Roman"/>
          <w:b w:val="0"/>
          <w:i w:val="0"/>
          <w:sz w:val="20"/>
          <w:vertAlign w:val="superscript"/>
        </w:rPr>
        <w:t>2</w:t>
      </w:r>
      <w:r>
        <w:rPr>
          <w:rFonts w:ascii="Times New Roman" w:hAnsi="Times New Roman"/>
          <w:b w:val="0"/>
          <w:i w:val="0"/>
          <w:sz w:val="20"/>
        </w:rPr>
        <w:t xml:space="preserve"> 0.7899를 달성하며 전체 피처(0.8026) 대비 0.013p 차이에 그쳤고, 60d 이상에서는 IV_VRP_ma22가 피처 중요도 Top-5에 진입하여 장기 예측에서 IV 정보의 기여가 커짐을 확인했다. 셋째, WEns는 HAR-3·NaiveRV·GARCH(1,1)·IV-only 대비 22d Pooled R</w:t>
      </w:r>
      <w:r>
        <w:rPr>
          <w:rFonts w:ascii="Times New Roman" w:hAnsi="Times New Roman"/>
          <w:b w:val="0"/>
          <w:i w:val="0"/>
          <w:sz w:val="20"/>
          <w:vertAlign w:val="superscript"/>
        </w:rPr>
        <w:t>2</w:t>
      </w:r>
      <w:r>
        <w:rPr>
          <w:rFonts w:ascii="Times New Roman" w:hAnsi="Times New Roman"/>
          <w:b w:val="0"/>
          <w:i w:val="0"/>
          <w:sz w:val="20"/>
        </w:rPr>
        <w:t>를 각각 +0.038p · +0.090p · +0.115p · +0.595p 넘어서며(모두 p &lt; 0.001) 통계적으로 유의한 우위를 보였다. 넷째, LASSO(35피처)는 LASSO-HAR(3피처) 대비 8개 기간 전체에서 우수하며, 격차는 22d +0.068p, 120d +0.137p이다.</w:t>
      </w:r>
    </w:p>
    <w:p>
      <w:pPr>
        <w:spacing w:before="240" w:after="120" w:lineRule="auto" w:line="360"/>
        <w:jc w:val="left"/>
      </w:pPr>
      <w:r>
        <w:rPr>
          <w:rFonts w:ascii="Times New Roman" w:hAnsi="Times New Roman"/>
          <w:b/>
          <w:i w:val="0"/>
          <w:sz w:val="24"/>
        </w:rPr>
        <w:t>2. 학문적·실무적 시사점</w:t>
      </w:r>
    </w:p>
    <w:p>
      <w:pPr>
        <w:spacing w:before="0" w:after="120" w:lineRule="auto" w:line="360"/>
        <w:ind w:firstLine="400"/>
        <w:jc w:val="both"/>
      </w:pPr>
      <w:r>
        <w:rPr>
          <w:rFonts w:ascii="Times New Roman" w:hAnsi="Times New Roman"/>
          <w:b w:val="0"/>
          <w:i w:val="0"/>
          <w:sz w:val="20"/>
        </w:rPr>
        <w:t>피처 중요도 분석에서는 Ridge, XGBoost, permutation 세 가지 방법이 22일 예측에서 Kendall's W = 0.822의 강한 합의를 보였다. 이는 중요하게 평가된 피처들이 특정 모델에만 치우친 결과가 아니라, 데이터에 공통으로 존재하는 신호임을 뒷받침한다.</w:t>
      </w:r>
    </w:p>
    <w:p>
      <w:pPr>
        <w:spacing w:before="0" w:after="120" w:lineRule="auto" w:line="360"/>
        <w:ind w:firstLine="400"/>
        <w:jc w:val="both"/>
      </w:pPr>
      <w:r>
        <w:rPr>
          <w:rFonts w:ascii="Times New Roman" w:hAnsi="Times New Roman"/>
          <w:b w:val="0"/>
          <w:i w:val="0"/>
          <w:sz w:val="20"/>
        </w:rPr>
        <w:t>다만 개별 피처 순위와 그룹 단위 기여는 일치하지 않았다. HF Proxy 피처들은 개별 중요도는 높았으나 서로 비슷한 정보를 공유하여 일부를 제거해도 남은 피처가 이를 대신할 수 있었다. 반면 IV Surface 피처들은 옵션시장이 반영하는 미래 기대 정보를 고유하게 담고 있어 대신할 피처가 없어 제거 시 성능 하락이 더 크게 나타났다. 따라서 예측 시스템을 설계할 때는 개별 피처의 순위보다 각 그룹이 다른 피처로 대체하기 어려운 정보를 얼마나 담고 있는지를 함께 보아야 한다는 실무적 시사점을 제공한다.</w:t>
      </w:r>
    </w:p>
    <w:p>
      <w:pPr>
        <w:spacing w:before="0" w:after="120" w:lineRule="auto" w:line="360"/>
        <w:ind w:firstLine="400"/>
        <w:jc w:val="both"/>
      </w:pPr>
      <w:r>
        <w:rPr>
          <w:rFonts w:ascii="Times New Roman" w:hAnsi="Times New Roman"/>
          <w:b w:val="0"/>
          <w:i w:val="0"/>
          <w:sz w:val="20"/>
        </w:rPr>
        <w:t>실무적 관점에서, 본 연구의 프레임워크는 고빈도 데이터 구독이 어려운 환경에서도 공개 일별 자료만으로 다중 자산의 변동성을 체계적으로 예측할 수 있음을 보였다. 특히 WEns의 고변동성 구간 성능 개선(VIX 상위 10% 구간 ΔR</w:t>
      </w:r>
      <w:r>
        <w:rPr>
          <w:rFonts w:ascii="Times New Roman" w:hAnsi="Times New Roman"/>
          <w:b w:val="0"/>
          <w:i w:val="0"/>
          <w:sz w:val="20"/>
          <w:vertAlign w:val="superscript"/>
        </w:rPr>
        <w:t>2</w:t>
      </w:r>
      <w:r>
        <w:rPr>
          <w:rFonts w:ascii="Times New Roman" w:hAnsi="Times New Roman"/>
          <w:b w:val="0"/>
          <w:i w:val="0"/>
          <w:sz w:val="20"/>
        </w:rPr>
        <w:t xml:space="preserve"> = +0.163)은 위기 국면에서의 위험 관리 활용 가능성을 보여준다. 또한 예측된 RV 기반 VRP 탐색 분석은 자산군 간 변동성 위험 가격화 이질성을 확인했으며, 자산군별 전용 변동성 지수를 결합할 경우 VRP 측정 정밀도를 더욱 높일 수 있음을 보여준다.</w:t>
      </w:r>
    </w:p>
    <w:p>
      <w:pPr>
        <w:spacing w:before="240" w:after="120" w:lineRule="auto" w:line="360"/>
        <w:jc w:val="left"/>
      </w:pPr>
      <w:r>
        <w:rPr>
          <w:rFonts w:ascii="Times New Roman" w:hAnsi="Times New Roman"/>
          <w:b/>
          <w:i w:val="0"/>
          <w:sz w:val="24"/>
        </w:rPr>
        <w:t>3. 연구 한계</w:t>
      </w:r>
    </w:p>
    <w:p>
      <w:pPr>
        <w:spacing w:before="0" w:after="120" w:lineRule="auto" w:line="360"/>
        <w:ind w:firstLine="400"/>
        <w:jc w:val="both"/>
      </w:pPr>
      <w:r>
        <w:rPr>
          <w:rFonts w:ascii="Times New Roman" w:hAnsi="Times New Roman"/>
          <w:b w:val="0"/>
          <w:i w:val="0"/>
          <w:sz w:val="20"/>
        </w:rPr>
        <w:t>본 연구에는 몇 가지 한계가 있다. 첫째, 일별 시가·고가·저가·종가 자료로는 하루 안의 급격한 가격 점프와 완만한 변동을 구분할 수 없으며, 이는 고빈도 자료에서만 가능한 분석이다. 둘째, 모든 예측 기간에 30일 만기 VIX를 동일하게 사용하여 1개월을 넘는 장기 예측에서는 VIX의 기간과 예측 기간이 맞지 않는다. 셋째, 자산군 간 차이는 별도 학습으로 반영하였으나 시장 국면 전환을 모델이 스스로 감지하지는 못하며, 고변동성 구간의 성능 개선도 사후적으로 구간을 나눈 결과일 뿐이다. 넷째, 예측 정확도만 평가하였을 뿐 예측값이 실제 투자 수익에 기여하는지는 검증하지 않았다. 다섯째, 90거래일 이상 장기 기간에서 R</w:t>
      </w:r>
      <w:r>
        <w:rPr>
          <w:rFonts w:ascii="Times New Roman" w:hAnsi="Times New Roman"/>
          <w:b w:val="0"/>
          <w:i w:val="0"/>
          <w:sz w:val="20"/>
          <w:vertAlign w:val="superscript"/>
        </w:rPr>
        <w:t>2</w:t>
      </w:r>
      <w:r>
        <w:rPr>
          <w:rFonts w:ascii="Times New Roman" w:hAnsi="Times New Roman"/>
          <w:b w:val="0"/>
          <w:i w:val="0"/>
          <w:sz w:val="20"/>
        </w:rPr>
        <w:t>_Within이 음수로 전환됨에 따라, 해당 구간의 높은 Pooled R</w:t>
      </w:r>
      <w:r>
        <w:rPr>
          <w:rFonts w:ascii="Times New Roman" w:hAnsi="Times New Roman"/>
          <w:b w:val="0"/>
          <w:i w:val="0"/>
          <w:sz w:val="20"/>
          <w:vertAlign w:val="superscript"/>
        </w:rPr>
        <w:t>2</w:t>
      </w:r>
      <w:r>
        <w:rPr>
          <w:rFonts w:ascii="Times New Roman" w:hAnsi="Times New Roman"/>
          <w:b w:val="0"/>
          <w:i w:val="0"/>
          <w:sz w:val="20"/>
        </w:rPr>
        <w:t>는 시계열 변동성 타이밍 예측력이 아닌 자산군 간 횡단면 수준 차이의 설명력에 주로 비롯된다. 이는 장기 예측의 실용적 활용 범위를 제약하는 구조적 한계이다. 여섯째, 전통적 변동성 모형 비교 대상을 GARCH(1,1)에 제한하여 비대칭 효과를 반영하는 GJR-GARCH, EGARCH 등의 변형 모형을 포함하지 않았다. 이들 모형은 금융 변동성의 레버리지 효과를 포착할 수 있어 향후 비교 대상으로 추가할 필요가 있다. 일곱째, 확률적 초기화가 있는 모형(XGBoost, Random Forest, LightGBM, BiLSTM-A, MLP)에 대해 단일 랜덤 시드(seed=42)만을 사용했다. 복수 시드 실험을 통한 성능 분산 분석이 이루어지지 않아, 특히 BiLSTM-A와 MLP의 최하위 성능이 특정 초기화에 의한 결과인지 일반적 경향인지를 확인하기 어렵다는 한계가 있다.</w:t>
      </w:r>
    </w:p>
    <w:p>
      <w:pPr>
        <w:spacing w:before="240" w:after="120" w:lineRule="auto" w:line="360"/>
        <w:jc w:val="left"/>
      </w:pPr>
      <w:r>
        <w:rPr>
          <w:rFonts w:ascii="Times New Roman" w:hAnsi="Times New Roman"/>
          <w:b/>
          <w:i w:val="0"/>
          <w:sz w:val="24"/>
        </w:rPr>
        <w:t>4. 향후 연구 방향</w:t>
      </w:r>
    </w:p>
    <w:p>
      <w:pPr>
        <w:spacing w:before="0" w:after="120" w:lineRule="auto" w:line="360"/>
        <w:ind w:firstLine="400"/>
        <w:jc w:val="both"/>
      </w:pPr>
      <w:r>
        <w:rPr>
          <w:rFonts w:ascii="Times New Roman" w:hAnsi="Times New Roman"/>
          <w:b w:val="0"/>
          <w:i w:val="0"/>
          <w:sz w:val="20"/>
        </w:rPr>
        <w:t>이러한 한계를 보완하기 위해 향후 연구에서는 다음의 방향을 탐색할 수 있다. 첫째, 예측된 RV를 활용한 변동성 타이밍 전략의 수익성 평가를 통해 예측 정확도와 경제적 가치의 연결성을 검증할 수 있다. 둘째, 자산군별 특성에 적응하는 모델 구조, 예를 들어 채권·원자재에 특화된 피처 설계와 별도 모델 아키텍처를 탐색할 수 있다. 셋째, 시장 국면 변화에 따라 가중치를 자동 조정하는 동적 앙상블은 고변동성 구간에서의 성능을 더욱 향상시킬 수 있을 것이다. 넷째, 각 예측 기간에 적합한 만기의 IV를 활용하는 방향, 예를 들어 60거래일 기간에는 VIX3M을, 252거래일 기간에는 장기 내재변동성 지표를 사용하면 만기 불일치 문제를 완화하고 VRP 측정의 정밀도를 높일 수 있다. 다섯째, 자산별 옵션 정보(GVZ, OVX 등)를 직접 활용하면 채권·원자재의 IV를 보다 정확하게 측정하여 크로스애셋 VRP 분석의 신뢰성을 제고할 수 있을 것이다.</w:t>
      </w:r>
    </w:p>
    <w:p>
      <w:r>
        <w:br w:type="page"/>
      </w:r>
    </w:p>
    <w:p>
      <w:pPr>
        <w:spacing w:before="0" w:after="240" w:lineRule="auto" w:line="360"/>
        <w:jc w:val="center"/>
      </w:pPr>
      <w:r>
        <w:rPr>
          <w:rFonts w:ascii="Times New Roman" w:hAnsi="Times New Roman"/>
          <w:b/>
          <w:i w:val="0"/>
          <w:sz w:val="28"/>
        </w:rPr>
        <w:t>참고문헌</w:t>
      </w:r>
    </w:p>
    <w:p>
      <w:pPr>
        <w:spacing w:before="40" w:after="40" w:lineRule="auto" w:line="312"/>
        <w:ind w:hanging="400" w:left="400"/>
        <w:jc w:val="both"/>
      </w:pPr>
      <w:r>
        <w:rPr>
          <w:rFonts w:ascii="Times New Roman" w:hAnsi="Times New Roman"/>
          <w:b w:val="0"/>
          <w:i w:val="0"/>
          <w:sz w:val="20"/>
        </w:rPr>
        <w:t xml:space="preserve">1. </w:t>
      </w:r>
      <w:r>
        <w:rPr>
          <w:rFonts w:ascii="Times New Roman" w:hAnsi="Times New Roman"/>
          <w:b w:val="0"/>
          <w:i w:val="0"/>
          <w:sz w:val="20"/>
        </w:rPr>
        <w:t xml:space="preserve">Corsi, F. 2009. </w:t>
      </w:r>
      <w:r>
        <w:rPr>
          <w:rFonts w:ascii="Times New Roman" w:hAnsi="Times New Roman"/>
          <w:b w:val="0"/>
          <w:i w:val="0"/>
          <w:sz w:val="20"/>
        </w:rPr>
        <w:t xml:space="preserve">A simple approximate long-memory model of realized volatility. </w:t>
      </w:r>
      <w:r>
        <w:rPr>
          <w:rFonts w:ascii="Times New Roman" w:hAnsi="Times New Roman"/>
          <w:b w:val="0"/>
          <w:i/>
          <w:sz w:val="20"/>
        </w:rPr>
        <w:t>Journal of Financial Econometrics</w:t>
      </w:r>
      <w:r>
        <w:rPr>
          <w:rFonts w:ascii="Times New Roman" w:hAnsi="Times New Roman"/>
          <w:b w:val="0"/>
          <w:i w:val="0"/>
          <w:sz w:val="20"/>
        </w:rPr>
        <w:t>, 7(2): 174-196.</w:t>
      </w:r>
    </w:p>
    <w:p>
      <w:pPr>
        <w:spacing w:before="40" w:after="40" w:lineRule="auto" w:line="312"/>
        <w:ind w:hanging="400" w:left="400"/>
        <w:jc w:val="both"/>
      </w:pPr>
      <w:r>
        <w:rPr>
          <w:rFonts w:ascii="Times New Roman" w:hAnsi="Times New Roman"/>
          <w:b w:val="0"/>
          <w:i w:val="0"/>
          <w:sz w:val="20"/>
        </w:rPr>
        <w:t xml:space="preserve">2. </w:t>
      </w:r>
      <w:r>
        <w:rPr>
          <w:rFonts w:ascii="Times New Roman" w:hAnsi="Times New Roman"/>
          <w:b w:val="0"/>
          <w:i w:val="0"/>
          <w:sz w:val="20"/>
        </w:rPr>
        <w:t xml:space="preserve">Gu, S., Kelly, B. and Xiu, D. 2020. </w:t>
      </w:r>
      <w:r>
        <w:rPr>
          <w:rFonts w:ascii="Times New Roman" w:hAnsi="Times New Roman"/>
          <w:b w:val="0"/>
          <w:i w:val="0"/>
          <w:sz w:val="20"/>
        </w:rPr>
        <w:t xml:space="preserve">Empirical asset pricing via machine learning. </w:t>
      </w:r>
      <w:r>
        <w:rPr>
          <w:rFonts w:ascii="Times New Roman" w:hAnsi="Times New Roman"/>
          <w:b w:val="0"/>
          <w:i/>
          <w:sz w:val="20"/>
        </w:rPr>
        <w:t>The Review of Financial Studies</w:t>
      </w:r>
      <w:r>
        <w:rPr>
          <w:rFonts w:ascii="Times New Roman" w:hAnsi="Times New Roman"/>
          <w:b w:val="0"/>
          <w:i w:val="0"/>
          <w:sz w:val="20"/>
        </w:rPr>
        <w:t>, 33(5): 2223-2273.</w:t>
      </w:r>
    </w:p>
    <w:p>
      <w:pPr>
        <w:spacing w:before="40" w:after="40" w:lineRule="auto" w:line="312"/>
        <w:ind w:hanging="400" w:left="400"/>
        <w:jc w:val="both"/>
      </w:pPr>
      <w:r>
        <w:rPr>
          <w:rFonts w:ascii="Times New Roman" w:hAnsi="Times New Roman"/>
          <w:b w:val="0"/>
          <w:i w:val="0"/>
          <w:sz w:val="20"/>
        </w:rPr>
        <w:t xml:space="preserve">3. </w:t>
      </w:r>
      <w:r>
        <w:rPr>
          <w:rFonts w:ascii="Times New Roman" w:hAnsi="Times New Roman"/>
          <w:b w:val="0"/>
          <w:i w:val="0"/>
          <w:sz w:val="20"/>
        </w:rPr>
        <w:t xml:space="preserve">Audrino, F. and Knaus, S. 2016. </w:t>
      </w:r>
      <w:r>
        <w:rPr>
          <w:rFonts w:ascii="Times New Roman" w:hAnsi="Times New Roman"/>
          <w:b w:val="0"/>
          <w:i w:val="0"/>
          <w:sz w:val="20"/>
        </w:rPr>
        <w:t xml:space="preserve">Lassoing the HAR model: a model selection perspective on realized volatility dynamics. </w:t>
      </w:r>
      <w:r>
        <w:rPr>
          <w:rFonts w:ascii="Times New Roman" w:hAnsi="Times New Roman"/>
          <w:b w:val="0"/>
          <w:i/>
          <w:sz w:val="20"/>
        </w:rPr>
        <w:t>Journal of Financial Econometrics</w:t>
      </w:r>
      <w:r>
        <w:rPr>
          <w:rFonts w:ascii="Times New Roman" w:hAnsi="Times New Roman"/>
          <w:b w:val="0"/>
          <w:i w:val="0"/>
          <w:sz w:val="20"/>
        </w:rPr>
        <w:t>, 14(2): 392-427.</w:t>
      </w:r>
    </w:p>
    <w:p>
      <w:pPr>
        <w:spacing w:before="40" w:after="40" w:lineRule="auto" w:line="312"/>
        <w:ind w:hanging="400" w:left="400"/>
        <w:jc w:val="both"/>
      </w:pPr>
      <w:r>
        <w:rPr>
          <w:rFonts w:ascii="Times New Roman" w:hAnsi="Times New Roman"/>
          <w:b w:val="0"/>
          <w:i w:val="0"/>
          <w:sz w:val="20"/>
        </w:rPr>
        <w:t xml:space="preserve">4. </w:t>
      </w:r>
      <w:r>
        <w:rPr>
          <w:rFonts w:ascii="Times New Roman" w:hAnsi="Times New Roman"/>
          <w:b w:val="0"/>
          <w:i w:val="0"/>
          <w:sz w:val="20"/>
        </w:rPr>
        <w:t xml:space="preserve">Christensen, K., Siggaard, M. and Veliyev, B. 2024. </w:t>
      </w:r>
      <w:r>
        <w:rPr>
          <w:rFonts w:ascii="Times New Roman" w:hAnsi="Times New Roman"/>
          <w:b w:val="0"/>
          <w:i w:val="0"/>
          <w:sz w:val="20"/>
        </w:rPr>
        <w:t xml:space="preserve">Volatility forecasting with machine learning and intraday commonality. </w:t>
      </w:r>
      <w:r>
        <w:rPr>
          <w:rFonts w:ascii="Times New Roman" w:hAnsi="Times New Roman"/>
          <w:b w:val="0"/>
          <w:i/>
          <w:sz w:val="20"/>
        </w:rPr>
        <w:t>Journal of Financial Econometrics</w:t>
      </w:r>
      <w:r>
        <w:rPr>
          <w:rFonts w:ascii="Times New Roman" w:hAnsi="Times New Roman"/>
          <w:b w:val="0"/>
          <w:i w:val="0"/>
          <w:sz w:val="20"/>
        </w:rPr>
        <w:t>, 22(1): 1-35.</w:t>
      </w:r>
    </w:p>
    <w:p>
      <w:pPr>
        <w:spacing w:before="40" w:after="40" w:lineRule="auto" w:line="312"/>
        <w:ind w:hanging="400" w:left="400"/>
        <w:jc w:val="both"/>
      </w:pPr>
      <w:r>
        <w:rPr>
          <w:rFonts w:ascii="Times New Roman" w:hAnsi="Times New Roman"/>
          <w:b w:val="0"/>
          <w:i w:val="0"/>
          <w:sz w:val="20"/>
        </w:rPr>
        <w:t xml:space="preserve">5. </w:t>
      </w:r>
      <w:r>
        <w:rPr>
          <w:rFonts w:ascii="Times New Roman" w:hAnsi="Times New Roman"/>
          <w:b w:val="0"/>
          <w:i w:val="0"/>
          <w:sz w:val="20"/>
        </w:rPr>
        <w:t xml:space="preserve">Carr, P. and Wu, L. 2009. </w:t>
      </w:r>
      <w:r>
        <w:rPr>
          <w:rFonts w:ascii="Times New Roman" w:hAnsi="Times New Roman"/>
          <w:b w:val="0"/>
          <w:i w:val="0"/>
          <w:sz w:val="20"/>
        </w:rPr>
        <w:t xml:space="preserve">Variance risk premia. </w:t>
      </w:r>
      <w:r>
        <w:rPr>
          <w:rFonts w:ascii="Times New Roman" w:hAnsi="Times New Roman"/>
          <w:b w:val="0"/>
          <w:i/>
          <w:sz w:val="20"/>
        </w:rPr>
        <w:t>The Review of Financial Studies</w:t>
      </w:r>
      <w:r>
        <w:rPr>
          <w:rFonts w:ascii="Times New Roman" w:hAnsi="Times New Roman"/>
          <w:b w:val="0"/>
          <w:i w:val="0"/>
          <w:sz w:val="20"/>
        </w:rPr>
        <w:t>, 22(3): 1311-1341.</w:t>
      </w:r>
    </w:p>
    <w:p>
      <w:pPr>
        <w:spacing w:before="40" w:after="40" w:lineRule="auto" w:line="312"/>
        <w:ind w:hanging="400" w:left="400"/>
        <w:jc w:val="both"/>
      </w:pPr>
      <w:r>
        <w:rPr>
          <w:rFonts w:ascii="Times New Roman" w:hAnsi="Times New Roman"/>
          <w:b w:val="0"/>
          <w:i w:val="0"/>
          <w:sz w:val="20"/>
        </w:rPr>
        <w:t xml:space="preserve">6. </w:t>
      </w:r>
      <w:r>
        <w:rPr>
          <w:rFonts w:ascii="Times New Roman" w:hAnsi="Times New Roman"/>
          <w:b w:val="0"/>
          <w:i w:val="0"/>
          <w:sz w:val="20"/>
        </w:rPr>
        <w:t xml:space="preserve">Bollerslev, T., Tauchen, G. and Zhou, H. 2009. </w:t>
      </w:r>
      <w:r>
        <w:rPr>
          <w:rFonts w:ascii="Times New Roman" w:hAnsi="Times New Roman"/>
          <w:b w:val="0"/>
          <w:i w:val="0"/>
          <w:sz w:val="20"/>
        </w:rPr>
        <w:t xml:space="preserve">Expected stock returns and variance risk premia. </w:t>
      </w:r>
      <w:r>
        <w:rPr>
          <w:rFonts w:ascii="Times New Roman" w:hAnsi="Times New Roman"/>
          <w:b w:val="0"/>
          <w:i/>
          <w:sz w:val="20"/>
        </w:rPr>
        <w:t>The Review of Financial Studies</w:t>
      </w:r>
      <w:r>
        <w:rPr>
          <w:rFonts w:ascii="Times New Roman" w:hAnsi="Times New Roman"/>
          <w:b w:val="0"/>
          <w:i w:val="0"/>
          <w:sz w:val="20"/>
        </w:rPr>
        <w:t>, 22(11): 4463-4492.</w:t>
      </w:r>
    </w:p>
    <w:p>
      <w:pPr>
        <w:spacing w:before="40" w:after="40" w:lineRule="auto" w:line="312"/>
        <w:ind w:hanging="400" w:left="400"/>
        <w:jc w:val="both"/>
      </w:pPr>
      <w:r>
        <w:rPr>
          <w:rFonts w:ascii="Times New Roman" w:hAnsi="Times New Roman"/>
          <w:b w:val="0"/>
          <w:i w:val="0"/>
          <w:sz w:val="20"/>
        </w:rPr>
        <w:t xml:space="preserve">7. </w:t>
      </w:r>
      <w:r>
        <w:rPr>
          <w:rFonts w:ascii="Times New Roman" w:hAnsi="Times New Roman"/>
          <w:b w:val="0"/>
          <w:i w:val="0"/>
          <w:sz w:val="20"/>
        </w:rPr>
        <w:t xml:space="preserve">Engle, R. F. 1982. </w:t>
      </w:r>
      <w:r>
        <w:rPr>
          <w:rFonts w:ascii="Times New Roman" w:hAnsi="Times New Roman"/>
          <w:b w:val="0"/>
          <w:i w:val="0"/>
          <w:sz w:val="20"/>
        </w:rPr>
        <w:t xml:space="preserve">Autoregressive conditional heteroscedasticity with estimates of the variance of United Kingdom inflation. </w:t>
      </w:r>
      <w:r>
        <w:rPr>
          <w:rFonts w:ascii="Times New Roman" w:hAnsi="Times New Roman"/>
          <w:b w:val="0"/>
          <w:i/>
          <w:sz w:val="20"/>
        </w:rPr>
        <w:t>Econometrica</w:t>
      </w:r>
      <w:r>
        <w:rPr>
          <w:rFonts w:ascii="Times New Roman" w:hAnsi="Times New Roman"/>
          <w:b w:val="0"/>
          <w:i w:val="0"/>
          <w:sz w:val="20"/>
        </w:rPr>
        <w:t>, 50(4): 987-1007.</w:t>
      </w:r>
    </w:p>
    <w:p>
      <w:pPr>
        <w:spacing w:before="40" w:after="40" w:lineRule="auto" w:line="312"/>
        <w:ind w:hanging="400" w:left="400"/>
        <w:jc w:val="both"/>
      </w:pPr>
      <w:r>
        <w:rPr>
          <w:rFonts w:ascii="Times New Roman" w:hAnsi="Times New Roman"/>
          <w:b w:val="0"/>
          <w:i w:val="0"/>
          <w:sz w:val="20"/>
        </w:rPr>
        <w:t xml:space="preserve">8. </w:t>
      </w:r>
      <w:r>
        <w:rPr>
          <w:rFonts w:ascii="Times New Roman" w:hAnsi="Times New Roman"/>
          <w:b w:val="0"/>
          <w:i w:val="0"/>
          <w:sz w:val="20"/>
        </w:rPr>
        <w:t xml:space="preserve">Bollerslev, T. 1986. </w:t>
      </w:r>
      <w:r>
        <w:rPr>
          <w:rFonts w:ascii="Times New Roman" w:hAnsi="Times New Roman"/>
          <w:b w:val="0"/>
          <w:i w:val="0"/>
          <w:sz w:val="20"/>
        </w:rPr>
        <w:t xml:space="preserve">Generalized autoregressive conditional heteroskedasticity. </w:t>
      </w:r>
      <w:r>
        <w:rPr>
          <w:rFonts w:ascii="Times New Roman" w:hAnsi="Times New Roman"/>
          <w:b w:val="0"/>
          <w:i/>
          <w:sz w:val="20"/>
        </w:rPr>
        <w:t>Journal of Econometrics</w:t>
      </w:r>
      <w:r>
        <w:rPr>
          <w:rFonts w:ascii="Times New Roman" w:hAnsi="Times New Roman"/>
          <w:b w:val="0"/>
          <w:i w:val="0"/>
          <w:sz w:val="20"/>
        </w:rPr>
        <w:t>, 31(3): 307-327.</w:t>
      </w:r>
    </w:p>
    <w:p>
      <w:pPr>
        <w:spacing w:before="40" w:after="40" w:lineRule="auto" w:line="312"/>
        <w:ind w:hanging="400" w:left="400"/>
        <w:jc w:val="both"/>
      </w:pPr>
      <w:r>
        <w:rPr>
          <w:rFonts w:ascii="Times New Roman" w:hAnsi="Times New Roman"/>
          <w:b w:val="0"/>
          <w:i w:val="0"/>
          <w:sz w:val="20"/>
        </w:rPr>
        <w:t xml:space="preserve">9. </w:t>
      </w:r>
      <w:r>
        <w:rPr>
          <w:rFonts w:ascii="Times New Roman" w:hAnsi="Times New Roman"/>
          <w:b w:val="0"/>
          <w:i w:val="0"/>
          <w:sz w:val="20"/>
        </w:rPr>
        <w:t xml:space="preserve">Andersen, T. G., Bollerslev, T., Diebold, F. X. and Labys, P. 2003. </w:t>
      </w:r>
      <w:r>
        <w:rPr>
          <w:rFonts w:ascii="Times New Roman" w:hAnsi="Times New Roman"/>
          <w:b w:val="0"/>
          <w:i w:val="0"/>
          <w:sz w:val="20"/>
        </w:rPr>
        <w:t xml:space="preserve">Modeling and forecasting realized volatility. </w:t>
      </w:r>
      <w:r>
        <w:rPr>
          <w:rFonts w:ascii="Times New Roman" w:hAnsi="Times New Roman"/>
          <w:b w:val="0"/>
          <w:i/>
          <w:sz w:val="20"/>
        </w:rPr>
        <w:t>Econometrica</w:t>
      </w:r>
      <w:r>
        <w:rPr>
          <w:rFonts w:ascii="Times New Roman" w:hAnsi="Times New Roman"/>
          <w:b w:val="0"/>
          <w:i w:val="0"/>
          <w:sz w:val="20"/>
        </w:rPr>
        <w:t>, 71(2): 579-625.</w:t>
      </w:r>
    </w:p>
    <w:p>
      <w:pPr>
        <w:spacing w:before="40" w:after="40" w:lineRule="auto" w:line="312"/>
        <w:ind w:hanging="400" w:left="400"/>
        <w:jc w:val="both"/>
      </w:pPr>
      <w:r>
        <w:rPr>
          <w:rFonts w:ascii="Times New Roman" w:hAnsi="Times New Roman"/>
          <w:b w:val="0"/>
          <w:i w:val="0"/>
          <w:sz w:val="20"/>
        </w:rPr>
        <w:t xml:space="preserve">10. </w:t>
      </w:r>
      <w:r>
        <w:rPr>
          <w:rFonts w:ascii="Times New Roman" w:hAnsi="Times New Roman"/>
          <w:b w:val="0"/>
          <w:i w:val="0"/>
          <w:sz w:val="20"/>
        </w:rPr>
        <w:t xml:space="preserve">Bekaert, G. and Hoerova, M. 2014. </w:t>
      </w:r>
      <w:r>
        <w:rPr>
          <w:rFonts w:ascii="Times New Roman" w:hAnsi="Times New Roman"/>
          <w:b w:val="0"/>
          <w:i w:val="0"/>
          <w:sz w:val="20"/>
        </w:rPr>
        <w:t xml:space="preserve">The VIX, the variance premium and stock market volatility. </w:t>
      </w:r>
      <w:r>
        <w:rPr>
          <w:rFonts w:ascii="Times New Roman" w:hAnsi="Times New Roman"/>
          <w:b w:val="0"/>
          <w:i/>
          <w:sz w:val="20"/>
        </w:rPr>
        <w:t>ECB Working Paper</w:t>
      </w:r>
      <w:r>
        <w:rPr>
          <w:rFonts w:ascii="Times New Roman" w:hAnsi="Times New Roman"/>
          <w:b w:val="0"/>
          <w:i w:val="0"/>
          <w:sz w:val="20"/>
        </w:rPr>
        <w:t>, No. 1675.</w:t>
      </w:r>
    </w:p>
    <w:p>
      <w:pPr>
        <w:spacing w:before="40" w:after="40" w:lineRule="auto" w:line="312"/>
        <w:ind w:hanging="400" w:left="400"/>
        <w:jc w:val="both"/>
      </w:pPr>
      <w:r>
        <w:rPr>
          <w:rFonts w:ascii="Times New Roman" w:hAnsi="Times New Roman"/>
          <w:b w:val="0"/>
          <w:i w:val="0"/>
          <w:sz w:val="20"/>
        </w:rPr>
        <w:t xml:space="preserve">11. </w:t>
      </w:r>
      <w:r>
        <w:rPr>
          <w:rFonts w:ascii="Times New Roman" w:hAnsi="Times New Roman"/>
          <w:b w:val="0"/>
          <w:i w:val="0"/>
          <w:sz w:val="20"/>
        </w:rPr>
        <w:t xml:space="preserve">Drechsler, I. and Yaron, A. 2011. </w:t>
      </w:r>
      <w:r>
        <w:rPr>
          <w:rFonts w:ascii="Times New Roman" w:hAnsi="Times New Roman"/>
          <w:b w:val="0"/>
          <w:i w:val="0"/>
          <w:sz w:val="20"/>
        </w:rPr>
        <w:t xml:space="preserve">What's vol got to do with it. </w:t>
      </w:r>
      <w:r>
        <w:rPr>
          <w:rFonts w:ascii="Times New Roman" w:hAnsi="Times New Roman"/>
          <w:b w:val="0"/>
          <w:i/>
          <w:sz w:val="20"/>
        </w:rPr>
        <w:t>The Review of Financial Studies</w:t>
      </w:r>
      <w:r>
        <w:rPr>
          <w:rFonts w:ascii="Times New Roman" w:hAnsi="Times New Roman"/>
          <w:b w:val="0"/>
          <w:i w:val="0"/>
          <w:sz w:val="20"/>
        </w:rPr>
        <w:t>, 24(1): 1-45.</w:t>
      </w:r>
    </w:p>
    <w:p>
      <w:pPr>
        <w:spacing w:before="40" w:after="40" w:lineRule="auto" w:line="312"/>
        <w:ind w:hanging="400" w:left="400"/>
        <w:jc w:val="both"/>
      </w:pPr>
      <w:r>
        <w:rPr>
          <w:rFonts w:ascii="Times New Roman" w:hAnsi="Times New Roman"/>
          <w:b w:val="0"/>
          <w:i w:val="0"/>
          <w:sz w:val="20"/>
        </w:rPr>
        <w:t xml:space="preserve">12. </w:t>
      </w:r>
      <w:r>
        <w:rPr>
          <w:rFonts w:ascii="Times New Roman" w:hAnsi="Times New Roman"/>
          <w:b w:val="0"/>
          <w:i w:val="0"/>
          <w:sz w:val="20"/>
        </w:rPr>
        <w:t xml:space="preserve">Zhang, B., Chen, Y. and Lu, Y. 2021. </w:t>
      </w:r>
      <w:r>
        <w:rPr>
          <w:rFonts w:ascii="Times New Roman" w:hAnsi="Times New Roman"/>
          <w:b w:val="0"/>
          <w:i w:val="0"/>
          <w:sz w:val="20"/>
        </w:rPr>
        <w:t xml:space="preserve">Nonparametric estimation of variance risk premiums. </w:t>
      </w:r>
      <w:r>
        <w:rPr>
          <w:rFonts w:ascii="Times New Roman" w:hAnsi="Times New Roman"/>
          <w:b w:val="0"/>
          <w:i/>
          <w:sz w:val="20"/>
        </w:rPr>
        <w:t>Journal of Financial Economics</w:t>
      </w:r>
      <w:r>
        <w:rPr>
          <w:rFonts w:ascii="Times New Roman" w:hAnsi="Times New Roman"/>
          <w:b w:val="0"/>
          <w:i w:val="0"/>
          <w:sz w:val="20"/>
        </w:rPr>
        <w:t>, 142(1): 312-328.</w:t>
      </w:r>
    </w:p>
    <w:p>
      <w:pPr>
        <w:spacing w:before="40" w:after="40" w:lineRule="auto" w:line="312"/>
        <w:ind w:hanging="400" w:left="400"/>
        <w:jc w:val="both"/>
      </w:pPr>
      <w:r>
        <w:rPr>
          <w:rFonts w:ascii="Times New Roman" w:hAnsi="Times New Roman"/>
          <w:b w:val="0"/>
          <w:i w:val="0"/>
          <w:sz w:val="20"/>
        </w:rPr>
        <w:t xml:space="preserve">13. </w:t>
      </w:r>
      <w:r>
        <w:rPr>
          <w:rFonts w:ascii="Times New Roman" w:hAnsi="Times New Roman"/>
          <w:b w:val="0"/>
          <w:i w:val="0"/>
          <w:sz w:val="20"/>
        </w:rPr>
        <w:t xml:space="preserve">Carr, P., Wu, L. and Zhang, Z. 2019. </w:t>
      </w:r>
      <w:r>
        <w:rPr>
          <w:rFonts w:ascii="Times New Roman" w:hAnsi="Times New Roman"/>
          <w:b w:val="0"/>
          <w:i w:val="0"/>
          <w:sz w:val="20"/>
        </w:rPr>
        <w:t xml:space="preserve">Using machine learning to predict realized variance. </w:t>
      </w:r>
      <w:r>
        <w:rPr>
          <w:rFonts w:ascii="Times New Roman" w:hAnsi="Times New Roman"/>
          <w:b w:val="0"/>
          <w:i/>
          <w:sz w:val="20"/>
        </w:rPr>
        <w:t>arXiv preprint.</w:t>
      </w:r>
    </w:p>
    <w:p>
      <w:pPr>
        <w:spacing w:before="40" w:after="40" w:lineRule="auto" w:line="312"/>
        <w:ind w:hanging="400" w:left="400"/>
        <w:jc w:val="both"/>
      </w:pPr>
      <w:r>
        <w:rPr>
          <w:rFonts w:ascii="Times New Roman" w:hAnsi="Times New Roman"/>
          <w:b w:val="0"/>
          <w:i w:val="0"/>
          <w:sz w:val="20"/>
        </w:rPr>
        <w:t xml:space="preserve">14. </w:t>
      </w:r>
      <w:r>
        <w:rPr>
          <w:rFonts w:ascii="Times New Roman" w:hAnsi="Times New Roman"/>
          <w:b w:val="0"/>
          <w:i w:val="0"/>
          <w:sz w:val="20"/>
        </w:rPr>
        <w:t xml:space="preserve">Hattori, M., Shim, I. and Sugihara, Y. 2018. </w:t>
      </w:r>
      <w:r>
        <w:rPr>
          <w:rFonts w:ascii="Times New Roman" w:hAnsi="Times New Roman"/>
          <w:b w:val="0"/>
          <w:i w:val="0"/>
          <w:sz w:val="20"/>
        </w:rPr>
        <w:t xml:space="preserve">The US variance risk premium and cross-market spillovers. </w:t>
      </w:r>
      <w:r>
        <w:rPr>
          <w:rFonts w:ascii="Times New Roman" w:hAnsi="Times New Roman"/>
          <w:b w:val="0"/>
          <w:i/>
          <w:sz w:val="20"/>
        </w:rPr>
        <w:t>BIS Working Paper</w:t>
      </w:r>
      <w:r>
        <w:rPr>
          <w:rFonts w:ascii="Times New Roman" w:hAnsi="Times New Roman"/>
          <w:b w:val="0"/>
          <w:i w:val="0"/>
          <w:sz w:val="20"/>
        </w:rPr>
        <w:t>, No. 713.</w:t>
      </w:r>
    </w:p>
    <w:p>
      <w:pPr>
        <w:spacing w:before="40" w:after="40" w:lineRule="auto" w:line="312"/>
        <w:ind w:hanging="400" w:left="400"/>
        <w:jc w:val="both"/>
      </w:pPr>
      <w:r>
        <w:rPr>
          <w:rFonts w:ascii="Times New Roman" w:hAnsi="Times New Roman"/>
          <w:b w:val="0"/>
          <w:i w:val="0"/>
          <w:sz w:val="20"/>
        </w:rPr>
        <w:t xml:space="preserve">15. </w:t>
      </w:r>
      <w:r>
        <w:rPr>
          <w:rFonts w:ascii="Times New Roman" w:hAnsi="Times New Roman"/>
          <w:b w:val="0"/>
          <w:i w:val="0"/>
          <w:sz w:val="20"/>
        </w:rPr>
        <w:t xml:space="preserve">Ornelas, J. R. et al. 2018. </w:t>
      </w:r>
      <w:r>
        <w:rPr>
          <w:rFonts w:ascii="Times New Roman" w:hAnsi="Times New Roman"/>
          <w:b w:val="0"/>
          <w:i w:val="0"/>
          <w:sz w:val="20"/>
        </w:rPr>
        <w:t xml:space="preserve">Volatility risk premia and future commodity returns. </w:t>
      </w:r>
      <w:r>
        <w:rPr>
          <w:rFonts w:ascii="Times New Roman" w:hAnsi="Times New Roman"/>
          <w:b w:val="0"/>
          <w:i/>
          <w:sz w:val="20"/>
        </w:rPr>
        <w:t>BIS Working Paper</w:t>
      </w:r>
      <w:r>
        <w:rPr>
          <w:rFonts w:ascii="Times New Roman" w:hAnsi="Times New Roman"/>
          <w:b w:val="0"/>
          <w:i w:val="0"/>
          <w:sz w:val="20"/>
        </w:rPr>
        <w:t>, No. 619.</w:t>
      </w:r>
    </w:p>
    <w:p>
      <w:pPr>
        <w:spacing w:before="40" w:after="40" w:lineRule="auto" w:line="312"/>
        <w:ind w:hanging="400" w:left="400"/>
        <w:jc w:val="both"/>
      </w:pPr>
      <w:r>
        <w:rPr>
          <w:rFonts w:ascii="Times New Roman" w:hAnsi="Times New Roman"/>
          <w:b w:val="0"/>
          <w:i w:val="0"/>
          <w:sz w:val="20"/>
        </w:rPr>
        <w:t xml:space="preserve">16. </w:t>
      </w:r>
      <w:r>
        <w:rPr>
          <w:rFonts w:ascii="Times New Roman" w:hAnsi="Times New Roman"/>
          <w:b w:val="0"/>
          <w:i w:val="0"/>
          <w:sz w:val="20"/>
        </w:rPr>
        <w:t xml:space="preserve">Dierckx, T., Davis, M. and Schoutens, W. 2022. </w:t>
      </w:r>
      <w:r>
        <w:rPr>
          <w:rFonts w:ascii="Times New Roman" w:hAnsi="Times New Roman"/>
          <w:b w:val="0"/>
          <w:i w:val="0"/>
          <w:sz w:val="20"/>
        </w:rPr>
        <w:t xml:space="preserve">Machine learning for the FX variance risk premium. </w:t>
      </w:r>
      <w:r>
        <w:rPr>
          <w:rFonts w:ascii="Times New Roman" w:hAnsi="Times New Roman"/>
          <w:b w:val="0"/>
          <w:i/>
          <w:sz w:val="20"/>
        </w:rPr>
        <w:t>Quantitative Finance</w:t>
      </w:r>
      <w:r>
        <w:rPr>
          <w:rFonts w:ascii="Times New Roman" w:hAnsi="Times New Roman"/>
          <w:b w:val="0"/>
          <w:i w:val="0"/>
          <w:sz w:val="20"/>
        </w:rPr>
        <w:t>, 22(1): 129-143.</w:t>
      </w:r>
    </w:p>
    <w:p>
      <w:pPr>
        <w:spacing w:before="40" w:after="40" w:lineRule="auto" w:line="312"/>
        <w:ind w:hanging="400" w:left="400"/>
        <w:jc w:val="both"/>
      </w:pPr>
      <w:r>
        <w:rPr>
          <w:rFonts w:ascii="Times New Roman" w:hAnsi="Times New Roman"/>
          <w:b w:val="0"/>
          <w:i w:val="0"/>
          <w:sz w:val="20"/>
        </w:rPr>
        <w:t xml:space="preserve">17. </w:t>
      </w:r>
      <w:r>
        <w:rPr>
          <w:rFonts w:ascii="Times New Roman" w:hAnsi="Times New Roman"/>
          <w:b w:val="0"/>
          <w:i w:val="0"/>
          <w:sz w:val="20"/>
        </w:rPr>
        <w:t xml:space="preserve">Heston, S. and Todorov, V. 2024. </w:t>
      </w:r>
      <w:r>
        <w:rPr>
          <w:rFonts w:ascii="Times New Roman" w:hAnsi="Times New Roman"/>
          <w:b w:val="0"/>
          <w:i w:val="0"/>
          <w:sz w:val="20"/>
        </w:rPr>
        <w:t xml:space="preserve">Exploring the variance risk premium across assets. </w:t>
      </w:r>
      <w:r>
        <w:rPr>
          <w:rFonts w:ascii="Times New Roman" w:hAnsi="Times New Roman"/>
          <w:b w:val="0"/>
          <w:i/>
          <w:sz w:val="20"/>
        </w:rPr>
        <w:t>AEA Conference Paper.</w:t>
      </w:r>
    </w:p>
    <w:p>
      <w:pPr>
        <w:spacing w:before="40" w:after="40" w:lineRule="auto" w:line="312"/>
        <w:ind w:hanging="400" w:left="400"/>
        <w:jc w:val="both"/>
      </w:pPr>
      <w:r>
        <w:rPr>
          <w:rFonts w:ascii="Times New Roman" w:hAnsi="Times New Roman"/>
          <w:b w:val="0"/>
          <w:i w:val="0"/>
          <w:sz w:val="20"/>
        </w:rPr>
        <w:t xml:space="preserve">18. </w:t>
      </w:r>
      <w:r>
        <w:rPr>
          <w:rFonts w:ascii="Times New Roman" w:hAnsi="Times New Roman"/>
          <w:b w:val="0"/>
          <w:i w:val="0"/>
          <w:sz w:val="20"/>
        </w:rPr>
        <w:t xml:space="preserve">López de Prado, M. 2018. </w:t>
      </w:r>
      <w:r>
        <w:rPr>
          <w:rFonts w:ascii="Times New Roman" w:hAnsi="Times New Roman"/>
          <w:b w:val="0"/>
          <w:i w:val="0"/>
          <w:sz w:val="20"/>
        </w:rPr>
        <w:t xml:space="preserve">Advances in Financial Machine Learning. </w:t>
      </w:r>
      <w:r>
        <w:rPr>
          <w:rFonts w:ascii="Times New Roman" w:hAnsi="Times New Roman"/>
          <w:b w:val="0"/>
          <w:i/>
          <w:sz w:val="20"/>
        </w:rPr>
        <w:t>Wiley.</w:t>
      </w:r>
    </w:p>
    <w:p>
      <w:pPr>
        <w:spacing w:before="40" w:after="40" w:lineRule="auto" w:line="312"/>
        <w:ind w:hanging="400" w:left="400"/>
        <w:jc w:val="both"/>
      </w:pPr>
      <w:r>
        <w:rPr>
          <w:rFonts w:ascii="Times New Roman" w:hAnsi="Times New Roman"/>
          <w:b w:val="0"/>
          <w:i w:val="0"/>
          <w:sz w:val="20"/>
        </w:rPr>
        <w:t xml:space="preserve">19. </w:t>
      </w:r>
      <w:r>
        <w:rPr>
          <w:rFonts w:ascii="Times New Roman" w:hAnsi="Times New Roman"/>
          <w:b w:val="0"/>
          <w:i w:val="0"/>
          <w:sz w:val="20"/>
        </w:rPr>
        <w:t xml:space="preserve">Diebold, F. X. and Mariano, R. S. 1995. </w:t>
      </w:r>
      <w:r>
        <w:rPr>
          <w:rFonts w:ascii="Times New Roman" w:hAnsi="Times New Roman"/>
          <w:b w:val="0"/>
          <w:i w:val="0"/>
          <w:sz w:val="20"/>
        </w:rPr>
        <w:t xml:space="preserve">Comparing predictive accuracy. </w:t>
      </w:r>
      <w:r>
        <w:rPr>
          <w:rFonts w:ascii="Times New Roman" w:hAnsi="Times New Roman"/>
          <w:b w:val="0"/>
          <w:i/>
          <w:sz w:val="20"/>
        </w:rPr>
        <w:t>Journal of Business &amp; Economic Statistics</w:t>
      </w:r>
      <w:r>
        <w:rPr>
          <w:rFonts w:ascii="Times New Roman" w:hAnsi="Times New Roman"/>
          <w:b w:val="0"/>
          <w:i w:val="0"/>
          <w:sz w:val="20"/>
        </w:rPr>
        <w:t>, 13(3): 253-263.</w:t>
      </w:r>
    </w:p>
    <w:p>
      <w:pPr>
        <w:spacing w:before="40" w:after="40" w:lineRule="auto" w:line="312"/>
        <w:ind w:hanging="400" w:left="400"/>
        <w:jc w:val="both"/>
      </w:pPr>
      <w:r>
        <w:rPr>
          <w:rFonts w:ascii="Times New Roman" w:hAnsi="Times New Roman"/>
          <w:b w:val="0"/>
          <w:i w:val="0"/>
          <w:sz w:val="20"/>
        </w:rPr>
        <w:t xml:space="preserve">20. </w:t>
      </w:r>
      <w:r>
        <w:rPr>
          <w:rFonts w:ascii="Times New Roman" w:hAnsi="Times New Roman"/>
          <w:b w:val="0"/>
          <w:i w:val="0"/>
          <w:sz w:val="20"/>
        </w:rPr>
        <w:t xml:space="preserve">Newey, W. K. and West, K. D. 1987. </w:t>
      </w:r>
      <w:r>
        <w:rPr>
          <w:rFonts w:ascii="Times New Roman" w:hAnsi="Times New Roman"/>
          <w:b w:val="0"/>
          <w:i w:val="0"/>
          <w:sz w:val="20"/>
        </w:rPr>
        <w:t xml:space="preserve">A simple, positive semi-definite, heteroskedasticity and autocorrelation consistent covariance matrix. </w:t>
      </w:r>
      <w:r>
        <w:rPr>
          <w:rFonts w:ascii="Times New Roman" w:hAnsi="Times New Roman"/>
          <w:b w:val="0"/>
          <w:i/>
          <w:sz w:val="20"/>
        </w:rPr>
        <w:t>Econometrica</w:t>
      </w:r>
      <w:r>
        <w:rPr>
          <w:rFonts w:ascii="Times New Roman" w:hAnsi="Times New Roman"/>
          <w:b w:val="0"/>
          <w:i w:val="0"/>
          <w:sz w:val="20"/>
        </w:rPr>
        <w:t>, 55(3): 703-708.</w:t>
      </w:r>
    </w:p>
    <w:p>
      <w:pPr>
        <w:spacing w:before="40" w:after="40" w:lineRule="auto" w:line="312"/>
        <w:ind w:hanging="400" w:left="400"/>
        <w:jc w:val="both"/>
      </w:pPr>
      <w:r>
        <w:rPr>
          <w:rFonts w:ascii="Times New Roman" w:hAnsi="Times New Roman"/>
          <w:b w:val="0"/>
          <w:i w:val="0"/>
          <w:sz w:val="20"/>
        </w:rPr>
        <w:t xml:space="preserve">21. </w:t>
      </w:r>
      <w:r>
        <w:rPr>
          <w:rFonts w:ascii="Times New Roman" w:hAnsi="Times New Roman"/>
          <w:b w:val="0"/>
          <w:i w:val="0"/>
          <w:sz w:val="20"/>
        </w:rPr>
        <w:t xml:space="preserve">Künsch, H. R. 1989. </w:t>
      </w:r>
      <w:r>
        <w:rPr>
          <w:rFonts w:ascii="Times New Roman" w:hAnsi="Times New Roman"/>
          <w:b w:val="0"/>
          <w:i w:val="0"/>
          <w:sz w:val="20"/>
        </w:rPr>
        <w:t xml:space="preserve">The jackknife and the bootstrap for general stationary observations. </w:t>
      </w:r>
      <w:r>
        <w:rPr>
          <w:rFonts w:ascii="Times New Roman" w:hAnsi="Times New Roman"/>
          <w:b w:val="0"/>
          <w:i/>
          <w:sz w:val="20"/>
        </w:rPr>
        <w:t>The Annals of Statistics</w:t>
      </w:r>
      <w:r>
        <w:rPr>
          <w:rFonts w:ascii="Times New Roman" w:hAnsi="Times New Roman"/>
          <w:b w:val="0"/>
          <w:i w:val="0"/>
          <w:sz w:val="20"/>
        </w:rPr>
        <w:t>, 17(3): 1217-1241.</w:t>
      </w:r>
    </w:p>
    <w:p>
      <w:pPr>
        <w:spacing w:before="40" w:after="40" w:lineRule="auto" w:line="312"/>
        <w:ind w:hanging="400" w:left="400"/>
        <w:jc w:val="both"/>
      </w:pPr>
      <w:r>
        <w:rPr>
          <w:rFonts w:ascii="Times New Roman" w:hAnsi="Times New Roman"/>
          <w:b w:val="0"/>
          <w:i w:val="0"/>
          <w:sz w:val="20"/>
        </w:rPr>
        <w:t xml:space="preserve">22. </w:t>
      </w:r>
      <w:r>
        <w:rPr>
          <w:rFonts w:ascii="Times New Roman" w:hAnsi="Times New Roman"/>
          <w:b w:val="0"/>
          <w:i w:val="0"/>
          <w:sz w:val="20"/>
        </w:rPr>
        <w:t xml:space="preserve">Harvey, D. I., Leybourne, S. J. and Newbold, P. 1997. </w:t>
      </w:r>
      <w:r>
        <w:rPr>
          <w:rFonts w:ascii="Times New Roman" w:hAnsi="Times New Roman"/>
          <w:b w:val="0"/>
          <w:i w:val="0"/>
          <w:sz w:val="20"/>
        </w:rPr>
        <w:t xml:space="preserve">Testing the equality of prediction mean squared errors. </w:t>
      </w:r>
      <w:r>
        <w:rPr>
          <w:rFonts w:ascii="Times New Roman" w:hAnsi="Times New Roman"/>
          <w:b w:val="0"/>
          <w:i/>
          <w:sz w:val="20"/>
        </w:rPr>
        <w:t>International Journal of Forecasting</w:t>
      </w:r>
      <w:r>
        <w:rPr>
          <w:rFonts w:ascii="Times New Roman" w:hAnsi="Times New Roman"/>
          <w:b w:val="0"/>
          <w:i w:val="0"/>
          <w:sz w:val="20"/>
        </w:rPr>
        <w:t>, 13(2): 281-291.</w:t>
      </w:r>
    </w:p>
    <w:p>
      <w:pPr>
        <w:spacing w:before="40" w:after="40" w:lineRule="auto" w:line="312"/>
        <w:ind w:hanging="400" w:left="400"/>
        <w:jc w:val="both"/>
      </w:pPr>
      <w:r>
        <w:rPr>
          <w:rFonts w:ascii="Times New Roman" w:hAnsi="Times New Roman"/>
          <w:b w:val="0"/>
          <w:i w:val="0"/>
          <w:sz w:val="20"/>
        </w:rPr>
        <w:t xml:space="preserve">23. </w:t>
      </w:r>
      <w:r>
        <w:rPr>
          <w:rFonts w:ascii="Times New Roman" w:hAnsi="Times New Roman"/>
          <w:b w:val="0"/>
          <w:i w:val="0"/>
          <w:sz w:val="20"/>
        </w:rPr>
        <w:t xml:space="preserve">Bates, J. M. and Granger, C. W. J. 1969. </w:t>
      </w:r>
      <w:r>
        <w:rPr>
          <w:rFonts w:ascii="Times New Roman" w:hAnsi="Times New Roman"/>
          <w:b w:val="0"/>
          <w:i w:val="0"/>
          <w:sz w:val="20"/>
        </w:rPr>
        <w:t xml:space="preserve">The combination of forecasts. </w:t>
      </w:r>
      <w:r>
        <w:rPr>
          <w:rFonts w:ascii="Times New Roman" w:hAnsi="Times New Roman"/>
          <w:b w:val="0"/>
          <w:i/>
          <w:sz w:val="20"/>
        </w:rPr>
        <w:t>Operational Research Quarterly</w:t>
      </w:r>
      <w:r>
        <w:rPr>
          <w:rFonts w:ascii="Times New Roman" w:hAnsi="Times New Roman"/>
          <w:b w:val="0"/>
          <w:i w:val="0"/>
          <w:sz w:val="20"/>
        </w:rPr>
        <w:t>, 20(4): 451-468.</w:t>
      </w:r>
    </w:p>
    <w:p>
      <w:r>
        <w:br w:type="page"/>
      </w:r>
    </w:p>
    <w:p>
      <w:pPr>
        <w:spacing w:before="240" w:after="120" w:lineRule="auto" w:line="360"/>
        <w:jc w:val="left"/>
      </w:pPr>
      <w:r>
        <w:rPr>
          <w:rFonts w:ascii="Times New Roman" w:hAnsi="Times New Roman"/>
          <w:b/>
          <w:i w:val="0"/>
          <w:sz w:val="24"/>
        </w:rPr>
        <w:t>부록 A. 피처 목록 및 정의 (35개 피처 전체)</w:t>
      </w:r>
    </w:p>
    <w:p>
      <w:pPr>
        <w:spacing w:before="60" w:after="60" w:lineRule="auto" w:line="288"/>
        <w:jc w:val="center"/>
      </w:pPr>
      <w:r>
        <w:rPr>
          <w:rFonts w:ascii="Times New Roman" w:hAnsi="Times New Roman"/>
          <w:b w:val="0"/>
          <w:i w:val="0"/>
          <w:sz w:val="20"/>
        </w:rPr>
        <w:t>표 A-1. 피처 목록 및 정의  /  Table A-1. Feature List and Definition (35 Features)</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tcPr>
          <w:p>
            <w:pPr>
              <w:spacing w:before="20" w:after="20"/>
              <w:jc w:val="center"/>
            </w:pPr>
            <w:r/>
            <w:r>
              <w:rPr>
                <w:rFonts w:ascii="Times New Roman" w:hAnsi="Times New Roman"/>
                <w:b/>
                <w:i w:val="0"/>
                <w:sz w:val="18"/>
              </w:rPr>
              <w:t>#</w:t>
            </w:r>
          </w:p>
        </w:tc>
        <w:tc>
          <w:tcPr>
            <w:tcW w:type="dxa" w:w="2055"/>
          </w:tcPr>
          <w:p>
            <w:pPr>
              <w:spacing w:before="20" w:after="20"/>
              <w:jc w:val="center"/>
            </w:pPr>
            <w:r/>
            <w:r>
              <w:rPr>
                <w:rFonts w:ascii="Times New Roman" w:hAnsi="Times New Roman"/>
                <w:b/>
                <w:i w:val="0"/>
                <w:sz w:val="18"/>
              </w:rPr>
              <w:t>Group</w:t>
            </w:r>
          </w:p>
        </w:tc>
        <w:tc>
          <w:tcPr>
            <w:tcW w:type="dxa" w:w="2055"/>
          </w:tcPr>
          <w:p>
            <w:pPr>
              <w:spacing w:before="20" w:after="20"/>
              <w:jc w:val="center"/>
            </w:pPr>
            <w:r/>
            <w:r>
              <w:rPr>
                <w:rFonts w:ascii="Times New Roman" w:hAnsi="Times New Roman"/>
                <w:b/>
                <w:i w:val="0"/>
                <w:sz w:val="18"/>
              </w:rPr>
              <w:t>Variable</w:t>
            </w:r>
          </w:p>
        </w:tc>
        <w:tc>
          <w:tcPr>
            <w:tcW w:type="dxa" w:w="2055"/>
          </w:tcPr>
          <w:p>
            <w:pPr>
              <w:spacing w:before="20" w:after="20"/>
              <w:jc w:val="center"/>
            </w:pPr>
            <w:r/>
            <w:r>
              <w:rPr>
                <w:rFonts w:ascii="Times New Roman" w:hAnsi="Times New Roman"/>
                <w:b/>
                <w:i w:val="0"/>
                <w:sz w:val="18"/>
              </w:rPr>
              <w:t>Calculation &amp; Description</w:t>
            </w:r>
          </w:p>
        </w:tc>
      </w:tr>
      <w:tr>
        <w:tc>
          <w:tcPr>
            <w:tcW w:type="dxa" w:w="2055"/>
          </w:tcPr>
          <w:p>
            <w:pPr>
              <w:spacing w:before="20" w:after="20"/>
              <w:jc w:val="center"/>
            </w:pPr>
            <w:r/>
            <w:r>
              <w:rPr>
                <w:rFonts w:ascii="Times New Roman" w:hAnsi="Times New Roman"/>
                <w:b w:val="0"/>
                <w:i w:val="0"/>
                <w:sz w:val="18"/>
              </w:rPr>
              <w:t>1</w:t>
            </w:r>
          </w:p>
        </w:tc>
        <w:tc>
          <w:tcPr>
            <w:tcW w:type="dxa" w:w="2055"/>
          </w:tcPr>
          <w:p>
            <w:pPr>
              <w:spacing w:before="20" w:after="20"/>
              <w:jc w:val="center"/>
            </w:pPr>
            <w:r/>
            <w:r>
              <w:rPr>
                <w:rFonts w:ascii="Times New Roman" w:hAnsi="Times New Roman"/>
                <w:b w:val="0"/>
                <w:i w:val="0"/>
                <w:sz w:val="18"/>
              </w:rPr>
              <w:t>HAR</w:t>
            </w:r>
          </w:p>
        </w:tc>
        <w:tc>
          <w:tcPr>
            <w:tcW w:type="dxa" w:w="2055"/>
          </w:tcPr>
          <w:p>
            <w:pPr>
              <w:spacing w:before="20" w:after="20"/>
              <w:jc w:val="center"/>
            </w:pPr>
            <w:r/>
            <w:r>
              <w:rPr>
                <w:rFonts w:ascii="Times New Roman" w:hAnsi="Times New Roman"/>
                <w:b w:val="0"/>
                <w:i w:val="0"/>
                <w:sz w:val="18"/>
              </w:rPr>
              <w:t>LogRV_lag1</w:t>
            </w:r>
          </w:p>
        </w:tc>
        <w:tc>
          <w:tcPr>
            <w:tcW w:type="dxa" w:w="2055"/>
          </w:tcPr>
          <w:p>
            <w:pPr>
              <w:spacing w:before="20" w:after="20"/>
              <w:jc w:val="center"/>
            </w:pPr>
            <w:r/>
            <w:r>
              <w:rPr>
                <w:rFonts w:ascii="Times New Roman" w:hAnsi="Times New Roman"/>
                <w:b w:val="0"/>
                <w:i w:val="0"/>
                <w:sz w:val="18"/>
              </w:rPr>
              <w:t>Prev-day Log-RV: log(RV_t-1)</w:t>
            </w:r>
          </w:p>
        </w:tc>
      </w:tr>
      <w:tr>
        <w:tc>
          <w:tcPr>
            <w:tcW w:type="dxa" w:w="2055"/>
          </w:tcPr>
          <w:p>
            <w:pPr>
              <w:spacing w:before="20" w:after="20"/>
              <w:jc w:val="center"/>
            </w:pPr>
            <w:r/>
            <w:r>
              <w:rPr>
                <w:rFonts w:ascii="Times New Roman" w:hAnsi="Times New Roman"/>
                <w:b w:val="0"/>
                <w:i w:val="0"/>
                <w:sz w:val="18"/>
              </w:rPr>
              <w:t>2</w:t>
            </w:r>
          </w:p>
        </w:tc>
        <w:tc>
          <w:tcPr>
            <w:tcW w:type="dxa" w:w="2055"/>
          </w:tcPr>
          <w:p>
            <w:pPr>
              <w:spacing w:before="20" w:after="20"/>
              <w:jc w:val="center"/>
            </w:pPr>
            <w:r/>
            <w:r>
              <w:rPr>
                <w:rFonts w:ascii="Times New Roman" w:hAnsi="Times New Roman"/>
                <w:b w:val="0"/>
                <w:i w:val="0"/>
                <w:sz w:val="18"/>
              </w:rPr>
              <w:t>HAR</w:t>
            </w:r>
          </w:p>
        </w:tc>
        <w:tc>
          <w:tcPr>
            <w:tcW w:type="dxa" w:w="2055"/>
          </w:tcPr>
          <w:p>
            <w:pPr>
              <w:spacing w:before="20" w:after="20"/>
              <w:jc w:val="center"/>
            </w:pPr>
            <w:r/>
            <w:r>
              <w:rPr>
                <w:rFonts w:ascii="Times New Roman" w:hAnsi="Times New Roman"/>
                <w:b w:val="0"/>
                <w:i w:val="0"/>
                <w:sz w:val="18"/>
              </w:rPr>
              <w:t>LogRV_lag5</w:t>
            </w:r>
          </w:p>
        </w:tc>
        <w:tc>
          <w:tcPr>
            <w:tcW w:type="dxa" w:w="2055"/>
          </w:tcPr>
          <w:p>
            <w:pPr>
              <w:spacing w:before="20" w:after="20"/>
              <w:jc w:val="center"/>
            </w:pPr>
            <w:r/>
            <w:r>
              <w:rPr>
                <w:rFonts w:ascii="Times New Roman" w:hAnsi="Times New Roman"/>
                <w:b w:val="0"/>
                <w:i w:val="0"/>
                <w:sz w:val="18"/>
              </w:rPr>
              <w:t>5d lag Log-RV: log(RV_t-5)</w:t>
            </w:r>
          </w:p>
        </w:tc>
      </w:tr>
      <w:tr>
        <w:tc>
          <w:tcPr>
            <w:tcW w:type="dxa" w:w="2055"/>
          </w:tcPr>
          <w:p>
            <w:pPr>
              <w:spacing w:before="20" w:after="20"/>
              <w:jc w:val="center"/>
            </w:pPr>
            <w:r/>
            <w:r>
              <w:rPr>
                <w:rFonts w:ascii="Times New Roman" w:hAnsi="Times New Roman"/>
                <w:b w:val="0"/>
                <w:i w:val="0"/>
                <w:sz w:val="18"/>
              </w:rPr>
              <w:t>3</w:t>
            </w:r>
          </w:p>
        </w:tc>
        <w:tc>
          <w:tcPr>
            <w:tcW w:type="dxa" w:w="2055"/>
          </w:tcPr>
          <w:p>
            <w:pPr>
              <w:spacing w:before="20" w:after="20"/>
              <w:jc w:val="center"/>
            </w:pPr>
            <w:r/>
            <w:r>
              <w:rPr>
                <w:rFonts w:ascii="Times New Roman" w:hAnsi="Times New Roman"/>
                <w:b w:val="0"/>
                <w:i w:val="0"/>
                <w:sz w:val="18"/>
              </w:rPr>
              <w:t>HAR</w:t>
            </w:r>
          </w:p>
        </w:tc>
        <w:tc>
          <w:tcPr>
            <w:tcW w:type="dxa" w:w="2055"/>
          </w:tcPr>
          <w:p>
            <w:pPr>
              <w:spacing w:before="20" w:after="20"/>
              <w:jc w:val="center"/>
            </w:pPr>
            <w:r/>
            <w:r>
              <w:rPr>
                <w:rFonts w:ascii="Times New Roman" w:hAnsi="Times New Roman"/>
                <w:b w:val="0"/>
                <w:i w:val="0"/>
                <w:sz w:val="18"/>
              </w:rPr>
              <w:t>LogRV_lag10</w:t>
            </w:r>
          </w:p>
        </w:tc>
        <w:tc>
          <w:tcPr>
            <w:tcW w:type="dxa" w:w="2055"/>
          </w:tcPr>
          <w:p>
            <w:pPr>
              <w:spacing w:before="20" w:after="20"/>
              <w:jc w:val="center"/>
            </w:pPr>
            <w:r/>
            <w:r>
              <w:rPr>
                <w:rFonts w:ascii="Times New Roman" w:hAnsi="Times New Roman"/>
                <w:b w:val="0"/>
                <w:i w:val="0"/>
                <w:sz w:val="18"/>
              </w:rPr>
              <w:t>10d lag Log-RV: log(RV_t-10)</w:t>
            </w:r>
          </w:p>
        </w:tc>
      </w:tr>
      <w:tr>
        <w:tc>
          <w:tcPr>
            <w:tcW w:type="dxa" w:w="2055"/>
          </w:tcPr>
          <w:p>
            <w:pPr>
              <w:spacing w:before="20" w:after="20"/>
              <w:jc w:val="center"/>
            </w:pPr>
            <w:r/>
            <w:r>
              <w:rPr>
                <w:rFonts w:ascii="Times New Roman" w:hAnsi="Times New Roman"/>
                <w:b w:val="0"/>
                <w:i w:val="0"/>
                <w:sz w:val="18"/>
              </w:rPr>
              <w:t>4</w:t>
            </w:r>
          </w:p>
        </w:tc>
        <w:tc>
          <w:tcPr>
            <w:tcW w:type="dxa" w:w="2055"/>
          </w:tcPr>
          <w:p>
            <w:pPr>
              <w:spacing w:before="20" w:after="20"/>
              <w:jc w:val="center"/>
            </w:pPr>
            <w:r/>
            <w:r>
              <w:rPr>
                <w:rFonts w:ascii="Times New Roman" w:hAnsi="Times New Roman"/>
                <w:b w:val="0"/>
                <w:i w:val="0"/>
                <w:sz w:val="18"/>
              </w:rPr>
              <w:t>HAR</w:t>
            </w:r>
          </w:p>
        </w:tc>
        <w:tc>
          <w:tcPr>
            <w:tcW w:type="dxa" w:w="2055"/>
          </w:tcPr>
          <w:p>
            <w:pPr>
              <w:spacing w:before="20" w:after="20"/>
              <w:jc w:val="center"/>
            </w:pPr>
            <w:r/>
            <w:r>
              <w:rPr>
                <w:rFonts w:ascii="Times New Roman" w:hAnsi="Times New Roman"/>
                <w:b w:val="0"/>
                <w:i w:val="0"/>
                <w:sz w:val="18"/>
              </w:rPr>
              <w:t>LogRV_lag22</w:t>
            </w:r>
          </w:p>
        </w:tc>
        <w:tc>
          <w:tcPr>
            <w:tcW w:type="dxa" w:w="2055"/>
          </w:tcPr>
          <w:p>
            <w:pPr>
              <w:spacing w:before="20" w:after="20"/>
              <w:jc w:val="center"/>
            </w:pPr>
            <w:r/>
            <w:r>
              <w:rPr>
                <w:rFonts w:ascii="Times New Roman" w:hAnsi="Times New Roman"/>
                <w:b w:val="0"/>
                <w:i w:val="0"/>
                <w:sz w:val="18"/>
              </w:rPr>
              <w:t>22d lag Log-RV: log(RV_t-22)</w:t>
            </w:r>
          </w:p>
        </w:tc>
      </w:tr>
      <w:tr>
        <w:tc>
          <w:tcPr>
            <w:tcW w:type="dxa" w:w="2055"/>
          </w:tcPr>
          <w:p>
            <w:pPr>
              <w:spacing w:before="20" w:after="20"/>
              <w:jc w:val="center"/>
            </w:pPr>
            <w:r/>
            <w:r>
              <w:rPr>
                <w:rFonts w:ascii="Times New Roman" w:hAnsi="Times New Roman"/>
                <w:b w:val="0"/>
                <w:i w:val="0"/>
                <w:sz w:val="18"/>
              </w:rPr>
              <w:t>5</w:t>
            </w:r>
          </w:p>
        </w:tc>
        <w:tc>
          <w:tcPr>
            <w:tcW w:type="dxa" w:w="2055"/>
          </w:tcPr>
          <w:p>
            <w:pPr>
              <w:spacing w:before="20" w:after="20"/>
              <w:jc w:val="center"/>
            </w:pPr>
            <w:r/>
            <w:r>
              <w:rPr>
                <w:rFonts w:ascii="Times New Roman" w:hAnsi="Times New Roman"/>
                <w:b w:val="0"/>
                <w:i w:val="0"/>
                <w:sz w:val="18"/>
              </w:rPr>
              <w:t>HAR</w:t>
            </w:r>
          </w:p>
        </w:tc>
        <w:tc>
          <w:tcPr>
            <w:tcW w:type="dxa" w:w="2055"/>
          </w:tcPr>
          <w:p>
            <w:pPr>
              <w:spacing w:before="20" w:after="20"/>
              <w:jc w:val="center"/>
            </w:pPr>
            <w:r/>
            <w:r>
              <w:rPr>
                <w:rFonts w:ascii="Times New Roman" w:hAnsi="Times New Roman"/>
                <w:b w:val="0"/>
                <w:i w:val="0"/>
                <w:sz w:val="18"/>
              </w:rPr>
              <w:t>LogRV_Std5</w:t>
            </w:r>
          </w:p>
        </w:tc>
        <w:tc>
          <w:tcPr>
            <w:tcW w:type="dxa" w:w="2055"/>
          </w:tcPr>
          <w:p>
            <w:pPr>
              <w:spacing w:before="20" w:after="20"/>
              <w:jc w:val="center"/>
            </w:pPr>
            <w:r/>
            <w:r>
              <w:rPr>
                <w:rFonts w:ascii="Times New Roman" w:hAnsi="Times New Roman"/>
                <w:b w:val="0"/>
                <w:i w:val="0"/>
                <w:sz w:val="18"/>
              </w:rPr>
              <w:t>5d Vol-of-Vol: std(log RV, 5d)</w:t>
            </w:r>
          </w:p>
        </w:tc>
      </w:tr>
      <w:tr>
        <w:tc>
          <w:tcPr>
            <w:tcW w:type="dxa" w:w="2055"/>
          </w:tcPr>
          <w:p>
            <w:pPr>
              <w:spacing w:before="20" w:after="20"/>
              <w:jc w:val="center"/>
            </w:pPr>
            <w:r/>
            <w:r>
              <w:rPr>
                <w:rFonts w:ascii="Times New Roman" w:hAnsi="Times New Roman"/>
                <w:b w:val="0"/>
                <w:i w:val="0"/>
                <w:sz w:val="18"/>
              </w:rPr>
              <w:t>6</w:t>
            </w:r>
          </w:p>
        </w:tc>
        <w:tc>
          <w:tcPr>
            <w:tcW w:type="dxa" w:w="2055"/>
          </w:tcPr>
          <w:p>
            <w:pPr>
              <w:spacing w:before="20" w:after="20"/>
              <w:jc w:val="center"/>
            </w:pPr>
            <w:r/>
            <w:r>
              <w:rPr>
                <w:rFonts w:ascii="Times New Roman" w:hAnsi="Times New Roman"/>
                <w:b w:val="0"/>
                <w:i w:val="0"/>
                <w:sz w:val="18"/>
              </w:rPr>
              <w:t>HAR</w:t>
            </w:r>
          </w:p>
        </w:tc>
        <w:tc>
          <w:tcPr>
            <w:tcW w:type="dxa" w:w="2055"/>
          </w:tcPr>
          <w:p>
            <w:pPr>
              <w:spacing w:before="20" w:after="20"/>
              <w:jc w:val="center"/>
            </w:pPr>
            <w:r/>
            <w:r>
              <w:rPr>
                <w:rFonts w:ascii="Times New Roman" w:hAnsi="Times New Roman"/>
                <w:b w:val="0"/>
                <w:i w:val="0"/>
                <w:sz w:val="18"/>
              </w:rPr>
              <w:t>LogRV_Std22</w:t>
            </w:r>
          </w:p>
        </w:tc>
        <w:tc>
          <w:tcPr>
            <w:tcW w:type="dxa" w:w="2055"/>
          </w:tcPr>
          <w:p>
            <w:pPr>
              <w:spacing w:before="20" w:after="20"/>
              <w:jc w:val="center"/>
            </w:pPr>
            <w:r/>
            <w:r>
              <w:rPr>
                <w:rFonts w:ascii="Times New Roman" w:hAnsi="Times New Roman"/>
                <w:b w:val="0"/>
                <w:i w:val="0"/>
                <w:sz w:val="18"/>
              </w:rPr>
              <w:t>22d Vol-of-Vol: std(log RV, 22d)</w:t>
            </w:r>
          </w:p>
        </w:tc>
      </w:tr>
      <w:tr>
        <w:tc>
          <w:tcPr>
            <w:tcW w:type="dxa" w:w="2055"/>
          </w:tcPr>
          <w:p>
            <w:pPr>
              <w:spacing w:before="20" w:after="20"/>
              <w:jc w:val="center"/>
            </w:pPr>
            <w:r/>
            <w:r>
              <w:rPr>
                <w:rFonts w:ascii="Times New Roman" w:hAnsi="Times New Roman"/>
                <w:b w:val="0"/>
                <w:i w:val="0"/>
                <w:sz w:val="18"/>
              </w:rPr>
              <w:t>7</w:t>
            </w:r>
          </w:p>
        </w:tc>
        <w:tc>
          <w:tcPr>
            <w:tcW w:type="dxa" w:w="2055"/>
          </w:tcPr>
          <w:p>
            <w:pPr>
              <w:spacing w:before="20" w:after="20"/>
              <w:jc w:val="center"/>
            </w:pPr>
            <w:r/>
            <w:r>
              <w:rPr>
                <w:rFonts w:ascii="Times New Roman" w:hAnsi="Times New Roman"/>
                <w:b w:val="0"/>
                <w:i w:val="0"/>
                <w:sz w:val="18"/>
              </w:rPr>
              <w:t>HAR</w:t>
            </w:r>
          </w:p>
        </w:tc>
        <w:tc>
          <w:tcPr>
            <w:tcW w:type="dxa" w:w="2055"/>
          </w:tcPr>
          <w:p>
            <w:pPr>
              <w:spacing w:before="20" w:after="20"/>
              <w:jc w:val="center"/>
            </w:pPr>
            <w:r/>
            <w:r>
              <w:rPr>
                <w:rFonts w:ascii="Times New Roman" w:hAnsi="Times New Roman"/>
                <w:b w:val="0"/>
                <w:i w:val="0"/>
                <w:sz w:val="18"/>
              </w:rPr>
              <w:t>RV_Mom5</w:t>
            </w:r>
          </w:p>
        </w:tc>
        <w:tc>
          <w:tcPr>
            <w:tcW w:type="dxa" w:w="2055"/>
          </w:tcPr>
          <w:p>
            <w:pPr>
              <w:spacing w:before="20" w:after="20"/>
              <w:jc w:val="center"/>
            </w:pPr>
            <w:r/>
            <w:r>
              <w:rPr>
                <w:rFonts w:ascii="Times New Roman" w:hAnsi="Times New Roman"/>
                <w:b w:val="0"/>
                <w:i w:val="0"/>
                <w:sz w:val="18"/>
              </w:rPr>
              <w:t>5d vol momentum</w:t>
            </w:r>
          </w:p>
        </w:tc>
      </w:tr>
      <w:tr>
        <w:tc>
          <w:tcPr>
            <w:tcW w:type="dxa" w:w="2055"/>
          </w:tcPr>
          <w:p>
            <w:pPr>
              <w:spacing w:before="20" w:after="20"/>
              <w:jc w:val="center"/>
            </w:pPr>
            <w:r/>
            <w:r>
              <w:rPr>
                <w:rFonts w:ascii="Times New Roman" w:hAnsi="Times New Roman"/>
                <w:b w:val="0"/>
                <w:i w:val="0"/>
                <w:sz w:val="18"/>
              </w:rPr>
              <w:t>8</w:t>
            </w:r>
          </w:p>
        </w:tc>
        <w:tc>
          <w:tcPr>
            <w:tcW w:type="dxa" w:w="2055"/>
          </w:tcPr>
          <w:p>
            <w:pPr>
              <w:spacing w:before="20" w:after="20"/>
              <w:jc w:val="center"/>
            </w:pPr>
            <w:r/>
            <w:r>
              <w:rPr>
                <w:rFonts w:ascii="Times New Roman" w:hAnsi="Times New Roman"/>
                <w:b w:val="0"/>
                <w:i w:val="0"/>
                <w:sz w:val="18"/>
              </w:rPr>
              <w:t>HAR</w:t>
            </w:r>
          </w:p>
        </w:tc>
        <w:tc>
          <w:tcPr>
            <w:tcW w:type="dxa" w:w="2055"/>
          </w:tcPr>
          <w:p>
            <w:pPr>
              <w:spacing w:before="20" w:after="20"/>
              <w:jc w:val="center"/>
            </w:pPr>
            <w:r/>
            <w:r>
              <w:rPr>
                <w:rFonts w:ascii="Times New Roman" w:hAnsi="Times New Roman"/>
                <w:b w:val="0"/>
                <w:i w:val="0"/>
                <w:sz w:val="18"/>
              </w:rPr>
              <w:t>RV_Mom22</w:t>
            </w:r>
          </w:p>
        </w:tc>
        <w:tc>
          <w:tcPr>
            <w:tcW w:type="dxa" w:w="2055"/>
          </w:tcPr>
          <w:p>
            <w:pPr>
              <w:spacing w:before="20" w:after="20"/>
              <w:jc w:val="center"/>
            </w:pPr>
            <w:r/>
            <w:r>
              <w:rPr>
                <w:rFonts w:ascii="Times New Roman" w:hAnsi="Times New Roman"/>
                <w:b w:val="0"/>
                <w:i w:val="0"/>
                <w:sz w:val="18"/>
              </w:rPr>
              <w:t>22d vol momentum</w:t>
            </w:r>
          </w:p>
        </w:tc>
      </w:tr>
      <w:tr>
        <w:tc>
          <w:tcPr>
            <w:tcW w:type="dxa" w:w="2055"/>
          </w:tcPr>
          <w:p>
            <w:pPr>
              <w:spacing w:before="20" w:after="20"/>
              <w:jc w:val="center"/>
            </w:pPr>
            <w:r/>
            <w:r>
              <w:rPr>
                <w:rFonts w:ascii="Times New Roman" w:hAnsi="Times New Roman"/>
                <w:b w:val="0"/>
                <w:i w:val="0"/>
                <w:sz w:val="18"/>
              </w:rPr>
              <w:t>9</w:t>
            </w:r>
          </w:p>
        </w:tc>
        <w:tc>
          <w:tcPr>
            <w:tcW w:type="dxa" w:w="2055"/>
          </w:tcPr>
          <w:p>
            <w:pPr>
              <w:spacing w:before="20" w:after="20"/>
              <w:jc w:val="center"/>
            </w:pPr>
            <w:r/>
            <w:r>
              <w:rPr>
                <w:rFonts w:ascii="Times New Roman" w:hAnsi="Times New Roman"/>
                <w:b w:val="0"/>
                <w:i w:val="0"/>
                <w:sz w:val="18"/>
              </w:rPr>
              <w:t>Cross</w:t>
            </w:r>
          </w:p>
        </w:tc>
        <w:tc>
          <w:tcPr>
            <w:tcW w:type="dxa" w:w="2055"/>
          </w:tcPr>
          <w:p>
            <w:pPr>
              <w:spacing w:before="20" w:after="20"/>
              <w:jc w:val="center"/>
            </w:pPr>
            <w:r/>
            <w:r>
              <w:rPr>
                <w:rFonts w:ascii="Times New Roman" w:hAnsi="Times New Roman"/>
                <w:b w:val="0"/>
                <w:i w:val="0"/>
                <w:sz w:val="18"/>
              </w:rPr>
              <w:t>SPY_LogRV</w:t>
            </w:r>
          </w:p>
        </w:tc>
        <w:tc>
          <w:tcPr>
            <w:tcW w:type="dxa" w:w="2055"/>
          </w:tcPr>
          <w:p>
            <w:pPr>
              <w:spacing w:before="20" w:after="20"/>
              <w:jc w:val="center"/>
            </w:pPr>
            <w:r/>
            <w:r>
              <w:rPr>
                <w:rFonts w:ascii="Times New Roman" w:hAnsi="Times New Roman"/>
                <w:b w:val="0"/>
                <w:i w:val="0"/>
                <w:sz w:val="18"/>
              </w:rPr>
              <w:t>SPY Log-RV (market reference)</w:t>
            </w:r>
          </w:p>
        </w:tc>
      </w:tr>
      <w:tr>
        <w:tc>
          <w:tcPr>
            <w:tcW w:type="dxa" w:w="2055"/>
          </w:tcPr>
          <w:p>
            <w:pPr>
              <w:spacing w:before="20" w:after="20"/>
              <w:jc w:val="center"/>
            </w:pPr>
            <w:r/>
            <w:r>
              <w:rPr>
                <w:rFonts w:ascii="Times New Roman" w:hAnsi="Times New Roman"/>
                <w:b w:val="0"/>
                <w:i w:val="0"/>
                <w:sz w:val="18"/>
              </w:rPr>
              <w:t>10</w:t>
            </w:r>
          </w:p>
        </w:tc>
        <w:tc>
          <w:tcPr>
            <w:tcW w:type="dxa" w:w="2055"/>
          </w:tcPr>
          <w:p>
            <w:pPr>
              <w:spacing w:before="20" w:after="20"/>
              <w:jc w:val="center"/>
            </w:pPr>
            <w:r/>
            <w:r>
              <w:rPr>
                <w:rFonts w:ascii="Times New Roman" w:hAnsi="Times New Roman"/>
                <w:b w:val="0"/>
                <w:i w:val="0"/>
                <w:sz w:val="18"/>
              </w:rPr>
              <w:t>HAR</w:t>
            </w:r>
          </w:p>
        </w:tc>
        <w:tc>
          <w:tcPr>
            <w:tcW w:type="dxa" w:w="2055"/>
          </w:tcPr>
          <w:p>
            <w:pPr>
              <w:spacing w:before="20" w:after="20"/>
              <w:jc w:val="center"/>
            </w:pPr>
            <w:r/>
            <w:r>
              <w:rPr>
                <w:rFonts w:ascii="Times New Roman" w:hAnsi="Times New Roman"/>
                <w:b w:val="0"/>
                <w:i w:val="0"/>
                <w:sz w:val="18"/>
              </w:rPr>
              <w:t>Ret_lag1</w:t>
            </w:r>
          </w:p>
        </w:tc>
        <w:tc>
          <w:tcPr>
            <w:tcW w:type="dxa" w:w="2055"/>
          </w:tcPr>
          <w:p>
            <w:pPr>
              <w:spacing w:before="20" w:after="20"/>
              <w:jc w:val="center"/>
            </w:pPr>
            <w:r/>
            <w:r>
              <w:rPr>
                <w:rFonts w:ascii="Times New Roman" w:hAnsi="Times New Roman"/>
                <w:b w:val="0"/>
                <w:i w:val="0"/>
                <w:sz w:val="18"/>
              </w:rPr>
              <w:t>Prev-day log return</w:t>
            </w:r>
          </w:p>
        </w:tc>
      </w:tr>
      <w:tr>
        <w:tc>
          <w:tcPr>
            <w:tcW w:type="dxa" w:w="2055"/>
          </w:tcPr>
          <w:p>
            <w:pPr>
              <w:spacing w:before="20" w:after="20"/>
              <w:jc w:val="center"/>
            </w:pPr>
            <w:r/>
            <w:r>
              <w:rPr>
                <w:rFonts w:ascii="Times New Roman" w:hAnsi="Times New Roman"/>
                <w:b w:val="0"/>
                <w:i w:val="0"/>
                <w:sz w:val="18"/>
              </w:rPr>
              <w:t>11</w:t>
            </w:r>
          </w:p>
        </w:tc>
        <w:tc>
          <w:tcPr>
            <w:tcW w:type="dxa" w:w="2055"/>
          </w:tcPr>
          <w:p>
            <w:pPr>
              <w:spacing w:before="20" w:after="20"/>
              <w:jc w:val="center"/>
            </w:pPr>
            <w:r/>
            <w:r>
              <w:rPr>
                <w:rFonts w:ascii="Times New Roman" w:hAnsi="Times New Roman"/>
                <w:b w:val="0"/>
                <w:i w:val="0"/>
                <w:sz w:val="18"/>
              </w:rPr>
              <w:t>HAR</w:t>
            </w:r>
          </w:p>
        </w:tc>
        <w:tc>
          <w:tcPr>
            <w:tcW w:type="dxa" w:w="2055"/>
          </w:tcPr>
          <w:p>
            <w:pPr>
              <w:spacing w:before="20" w:after="20"/>
              <w:jc w:val="center"/>
            </w:pPr>
            <w:r/>
            <w:r>
              <w:rPr>
                <w:rFonts w:ascii="Times New Roman" w:hAnsi="Times New Roman"/>
                <w:b w:val="0"/>
                <w:i w:val="0"/>
                <w:sz w:val="18"/>
              </w:rPr>
              <w:t>Ret_abs_lag1</w:t>
            </w:r>
          </w:p>
        </w:tc>
        <w:tc>
          <w:tcPr>
            <w:tcW w:type="dxa" w:w="2055"/>
          </w:tcPr>
          <w:p>
            <w:pPr>
              <w:spacing w:before="20" w:after="20"/>
              <w:jc w:val="center"/>
            </w:pPr>
            <w:r/>
            <w:r>
              <w:rPr>
                <w:rFonts w:ascii="Times New Roman" w:hAnsi="Times New Roman"/>
                <w:b w:val="0"/>
                <w:i w:val="0"/>
                <w:sz w:val="18"/>
              </w:rPr>
              <w:t>Prev-day abs return</w:t>
            </w:r>
          </w:p>
        </w:tc>
      </w:tr>
      <w:tr>
        <w:tc>
          <w:tcPr>
            <w:tcW w:type="dxa" w:w="2055"/>
          </w:tcPr>
          <w:p>
            <w:pPr>
              <w:spacing w:before="20" w:after="20"/>
              <w:jc w:val="center"/>
            </w:pPr>
            <w:r/>
            <w:r>
              <w:rPr>
                <w:rFonts w:ascii="Times New Roman" w:hAnsi="Times New Roman"/>
                <w:b w:val="0"/>
                <w:i w:val="0"/>
                <w:sz w:val="18"/>
              </w:rPr>
              <w:t>12</w:t>
            </w:r>
          </w:p>
        </w:tc>
        <w:tc>
          <w:tcPr>
            <w:tcW w:type="dxa" w:w="2055"/>
          </w:tcPr>
          <w:p>
            <w:pPr>
              <w:spacing w:before="20" w:after="20"/>
              <w:jc w:val="center"/>
            </w:pPr>
            <w:r/>
            <w:r>
              <w:rPr>
                <w:rFonts w:ascii="Times New Roman" w:hAnsi="Times New Roman"/>
                <w:b w:val="0"/>
                <w:i w:val="0"/>
                <w:sz w:val="18"/>
              </w:rPr>
              <w:t>Cross</w:t>
            </w:r>
          </w:p>
        </w:tc>
        <w:tc>
          <w:tcPr>
            <w:tcW w:type="dxa" w:w="2055"/>
          </w:tcPr>
          <w:p>
            <w:pPr>
              <w:spacing w:before="20" w:after="20"/>
              <w:jc w:val="center"/>
            </w:pPr>
            <w:r/>
            <w:r>
              <w:rPr>
                <w:rFonts w:ascii="Times New Roman" w:hAnsi="Times New Roman"/>
                <w:b w:val="0"/>
                <w:i w:val="0"/>
                <w:sz w:val="18"/>
              </w:rPr>
              <w:t>Corr_SPY</w:t>
            </w:r>
          </w:p>
        </w:tc>
        <w:tc>
          <w:tcPr>
            <w:tcW w:type="dxa" w:w="2055"/>
          </w:tcPr>
          <w:p>
            <w:pPr>
              <w:spacing w:before="20" w:after="20"/>
              <w:jc w:val="center"/>
            </w:pPr>
            <w:r/>
            <w:r>
              <w:rPr>
                <w:rFonts w:ascii="Times New Roman" w:hAnsi="Times New Roman"/>
                <w:b w:val="0"/>
                <w:i w:val="0"/>
                <w:sz w:val="18"/>
              </w:rPr>
              <w:t>SPY correlation (22d rolling)</w:t>
            </w:r>
          </w:p>
        </w:tc>
      </w:tr>
      <w:tr>
        <w:tc>
          <w:tcPr>
            <w:tcW w:type="dxa" w:w="2055"/>
          </w:tcPr>
          <w:p>
            <w:pPr>
              <w:spacing w:before="20" w:after="20"/>
              <w:jc w:val="center"/>
            </w:pPr>
            <w:r/>
            <w:r>
              <w:rPr>
                <w:rFonts w:ascii="Times New Roman" w:hAnsi="Times New Roman"/>
                <w:b w:val="0"/>
                <w:i w:val="0"/>
                <w:sz w:val="18"/>
              </w:rPr>
              <w:t>13</w:t>
            </w:r>
          </w:p>
        </w:tc>
        <w:tc>
          <w:tcPr>
            <w:tcW w:type="dxa" w:w="2055"/>
          </w:tcPr>
          <w:p>
            <w:pPr>
              <w:spacing w:before="20" w:after="20"/>
              <w:jc w:val="center"/>
            </w:pPr>
            <w:r/>
            <w:r>
              <w:rPr>
                <w:rFonts w:ascii="Times New Roman" w:hAnsi="Times New Roman"/>
                <w:b w:val="0"/>
                <w:i w:val="0"/>
                <w:sz w:val="18"/>
              </w:rPr>
              <w:t>HF</w:t>
            </w:r>
          </w:p>
        </w:tc>
        <w:tc>
          <w:tcPr>
            <w:tcW w:type="dxa" w:w="2055"/>
          </w:tcPr>
          <w:p>
            <w:pPr>
              <w:spacing w:before="20" w:after="20"/>
              <w:jc w:val="center"/>
            </w:pPr>
            <w:r/>
            <w:r>
              <w:rPr>
                <w:rFonts w:ascii="Times New Roman" w:hAnsi="Times New Roman"/>
                <w:b w:val="0"/>
                <w:i w:val="0"/>
                <w:sz w:val="18"/>
              </w:rPr>
              <w:t>Parkinson_5</w:t>
            </w:r>
          </w:p>
        </w:tc>
        <w:tc>
          <w:tcPr>
            <w:tcW w:type="dxa" w:w="2055"/>
          </w:tcPr>
          <w:p>
            <w:pPr>
              <w:spacing w:before="20" w:after="20"/>
              <w:jc w:val="center"/>
            </w:pPr>
            <w:r/>
            <w:r>
              <w:rPr>
                <w:rFonts w:ascii="Times New Roman" w:hAnsi="Times New Roman"/>
                <w:b w:val="0"/>
                <w:i w:val="0"/>
                <w:sz w:val="18"/>
              </w:rPr>
              <w:t>5d Parkinson volatility</w:t>
            </w:r>
          </w:p>
        </w:tc>
      </w:tr>
      <w:tr>
        <w:tc>
          <w:tcPr>
            <w:tcW w:type="dxa" w:w="2055"/>
          </w:tcPr>
          <w:p>
            <w:pPr>
              <w:spacing w:before="20" w:after="20"/>
              <w:jc w:val="center"/>
            </w:pPr>
            <w:r/>
            <w:r>
              <w:rPr>
                <w:rFonts w:ascii="Times New Roman" w:hAnsi="Times New Roman"/>
                <w:b w:val="0"/>
                <w:i w:val="0"/>
                <w:sz w:val="18"/>
              </w:rPr>
              <w:t>14</w:t>
            </w:r>
          </w:p>
        </w:tc>
        <w:tc>
          <w:tcPr>
            <w:tcW w:type="dxa" w:w="2055"/>
          </w:tcPr>
          <w:p>
            <w:pPr>
              <w:spacing w:before="20" w:after="20"/>
              <w:jc w:val="center"/>
            </w:pPr>
            <w:r/>
            <w:r>
              <w:rPr>
                <w:rFonts w:ascii="Times New Roman" w:hAnsi="Times New Roman"/>
                <w:b w:val="0"/>
                <w:i w:val="0"/>
                <w:sz w:val="18"/>
              </w:rPr>
              <w:t>HF</w:t>
            </w:r>
          </w:p>
        </w:tc>
        <w:tc>
          <w:tcPr>
            <w:tcW w:type="dxa" w:w="2055"/>
          </w:tcPr>
          <w:p>
            <w:pPr>
              <w:spacing w:before="20" w:after="20"/>
              <w:jc w:val="center"/>
            </w:pPr>
            <w:r/>
            <w:r>
              <w:rPr>
                <w:rFonts w:ascii="Times New Roman" w:hAnsi="Times New Roman"/>
                <w:b w:val="0"/>
                <w:i w:val="0"/>
                <w:sz w:val="18"/>
              </w:rPr>
              <w:t>Parkinson_22</w:t>
            </w:r>
          </w:p>
        </w:tc>
        <w:tc>
          <w:tcPr>
            <w:tcW w:type="dxa" w:w="2055"/>
          </w:tcPr>
          <w:p>
            <w:pPr>
              <w:spacing w:before="20" w:after="20"/>
              <w:jc w:val="center"/>
            </w:pPr>
            <w:r/>
            <w:r>
              <w:rPr>
                <w:rFonts w:ascii="Times New Roman" w:hAnsi="Times New Roman"/>
                <w:b w:val="0"/>
                <w:i w:val="0"/>
                <w:sz w:val="18"/>
              </w:rPr>
              <w:t>22d Parkinson volatility</w:t>
            </w:r>
          </w:p>
        </w:tc>
      </w:tr>
      <w:tr>
        <w:tc>
          <w:tcPr>
            <w:tcW w:type="dxa" w:w="2055"/>
          </w:tcPr>
          <w:p>
            <w:pPr>
              <w:spacing w:before="20" w:after="20"/>
              <w:jc w:val="center"/>
            </w:pPr>
            <w:r/>
            <w:r>
              <w:rPr>
                <w:rFonts w:ascii="Times New Roman" w:hAnsi="Times New Roman"/>
                <w:b w:val="0"/>
                <w:i w:val="0"/>
                <w:sz w:val="18"/>
              </w:rPr>
              <w:t>15</w:t>
            </w:r>
          </w:p>
        </w:tc>
        <w:tc>
          <w:tcPr>
            <w:tcW w:type="dxa" w:w="2055"/>
          </w:tcPr>
          <w:p>
            <w:pPr>
              <w:spacing w:before="20" w:after="20"/>
              <w:jc w:val="center"/>
            </w:pPr>
            <w:r/>
            <w:r>
              <w:rPr>
                <w:rFonts w:ascii="Times New Roman" w:hAnsi="Times New Roman"/>
                <w:b w:val="0"/>
                <w:i w:val="0"/>
                <w:sz w:val="18"/>
              </w:rPr>
              <w:t>HF</w:t>
            </w:r>
          </w:p>
        </w:tc>
        <w:tc>
          <w:tcPr>
            <w:tcW w:type="dxa" w:w="2055"/>
          </w:tcPr>
          <w:p>
            <w:pPr>
              <w:spacing w:before="20" w:after="20"/>
              <w:jc w:val="center"/>
            </w:pPr>
            <w:r/>
            <w:r>
              <w:rPr>
                <w:rFonts w:ascii="Times New Roman" w:hAnsi="Times New Roman"/>
                <w:b w:val="0"/>
                <w:i w:val="0"/>
                <w:sz w:val="18"/>
              </w:rPr>
              <w:t>GarmanKlass_22</w:t>
            </w:r>
          </w:p>
        </w:tc>
        <w:tc>
          <w:tcPr>
            <w:tcW w:type="dxa" w:w="2055"/>
          </w:tcPr>
          <w:p>
            <w:pPr>
              <w:spacing w:before="20" w:after="20"/>
              <w:jc w:val="center"/>
            </w:pPr>
            <w:r/>
            <w:r>
              <w:rPr>
                <w:rFonts w:ascii="Times New Roman" w:hAnsi="Times New Roman"/>
                <w:b w:val="0"/>
                <w:i w:val="0"/>
                <w:sz w:val="18"/>
              </w:rPr>
              <w:t>22d Garman-Klass volatility</w:t>
            </w:r>
          </w:p>
        </w:tc>
      </w:tr>
      <w:tr>
        <w:tc>
          <w:tcPr>
            <w:tcW w:type="dxa" w:w="2055"/>
          </w:tcPr>
          <w:p>
            <w:pPr>
              <w:spacing w:before="20" w:after="20"/>
              <w:jc w:val="center"/>
            </w:pPr>
            <w:r/>
            <w:r>
              <w:rPr>
                <w:rFonts w:ascii="Times New Roman" w:hAnsi="Times New Roman"/>
                <w:b w:val="0"/>
                <w:i w:val="0"/>
                <w:sz w:val="18"/>
              </w:rPr>
              <w:t>16</w:t>
            </w:r>
          </w:p>
        </w:tc>
        <w:tc>
          <w:tcPr>
            <w:tcW w:type="dxa" w:w="2055"/>
          </w:tcPr>
          <w:p>
            <w:pPr>
              <w:spacing w:before="20" w:after="20"/>
              <w:jc w:val="center"/>
            </w:pPr>
            <w:r/>
            <w:r>
              <w:rPr>
                <w:rFonts w:ascii="Times New Roman" w:hAnsi="Times New Roman"/>
                <w:b w:val="0"/>
                <w:i w:val="0"/>
                <w:sz w:val="18"/>
              </w:rPr>
              <w:t>HF</w:t>
            </w:r>
          </w:p>
        </w:tc>
        <w:tc>
          <w:tcPr>
            <w:tcW w:type="dxa" w:w="2055"/>
          </w:tcPr>
          <w:p>
            <w:pPr>
              <w:spacing w:before="20" w:after="20"/>
              <w:jc w:val="center"/>
            </w:pPr>
            <w:r/>
            <w:r>
              <w:rPr>
                <w:rFonts w:ascii="Times New Roman" w:hAnsi="Times New Roman"/>
                <w:b w:val="0"/>
                <w:i w:val="0"/>
                <w:sz w:val="18"/>
              </w:rPr>
              <w:t>RogersSatchell_22</w:t>
            </w:r>
          </w:p>
        </w:tc>
        <w:tc>
          <w:tcPr>
            <w:tcW w:type="dxa" w:w="2055"/>
          </w:tcPr>
          <w:p>
            <w:pPr>
              <w:spacing w:before="20" w:after="20"/>
              <w:jc w:val="center"/>
            </w:pPr>
            <w:r/>
            <w:r>
              <w:rPr>
                <w:rFonts w:ascii="Times New Roman" w:hAnsi="Times New Roman"/>
                <w:b w:val="0"/>
                <w:i w:val="0"/>
                <w:sz w:val="18"/>
              </w:rPr>
              <w:t>22d Rogers-Satchell volatility</w:t>
            </w:r>
          </w:p>
        </w:tc>
      </w:tr>
      <w:tr>
        <w:tc>
          <w:tcPr>
            <w:tcW w:type="dxa" w:w="2055"/>
          </w:tcPr>
          <w:p>
            <w:pPr>
              <w:spacing w:before="20" w:after="20"/>
              <w:jc w:val="center"/>
            </w:pPr>
            <w:r/>
            <w:r>
              <w:rPr>
                <w:rFonts w:ascii="Times New Roman" w:hAnsi="Times New Roman"/>
                <w:b w:val="0"/>
                <w:i w:val="0"/>
                <w:sz w:val="18"/>
              </w:rPr>
              <w:t>17</w:t>
            </w:r>
          </w:p>
        </w:tc>
        <w:tc>
          <w:tcPr>
            <w:tcW w:type="dxa" w:w="2055"/>
          </w:tcPr>
          <w:p>
            <w:pPr>
              <w:spacing w:before="20" w:after="20"/>
              <w:jc w:val="center"/>
            </w:pPr>
            <w:r/>
            <w:r>
              <w:rPr>
                <w:rFonts w:ascii="Times New Roman" w:hAnsi="Times New Roman"/>
                <w:b w:val="0"/>
                <w:i w:val="0"/>
                <w:sz w:val="18"/>
              </w:rPr>
              <w:t>HF</w:t>
            </w:r>
          </w:p>
        </w:tc>
        <w:tc>
          <w:tcPr>
            <w:tcW w:type="dxa" w:w="2055"/>
          </w:tcPr>
          <w:p>
            <w:pPr>
              <w:spacing w:before="20" w:after="20"/>
              <w:jc w:val="center"/>
            </w:pPr>
            <w:r/>
            <w:r>
              <w:rPr>
                <w:rFonts w:ascii="Times New Roman" w:hAnsi="Times New Roman"/>
                <w:b w:val="0"/>
                <w:i w:val="0"/>
                <w:sz w:val="18"/>
              </w:rPr>
              <w:t>Range_Close_Ratio</w:t>
            </w:r>
          </w:p>
        </w:tc>
        <w:tc>
          <w:tcPr>
            <w:tcW w:type="dxa" w:w="2055"/>
          </w:tcPr>
          <w:p>
            <w:pPr>
              <w:spacing w:before="20" w:after="20"/>
              <w:jc w:val="center"/>
            </w:pPr>
            <w:r/>
            <w:r>
              <w:rPr>
                <w:rFonts w:ascii="Times New Roman" w:hAnsi="Times New Roman"/>
                <w:b w:val="0"/>
                <w:i w:val="0"/>
                <w:sz w:val="18"/>
              </w:rPr>
              <w:t>Range-close ratio</w:t>
            </w:r>
          </w:p>
        </w:tc>
      </w:tr>
      <w:tr>
        <w:tc>
          <w:tcPr>
            <w:tcW w:type="dxa" w:w="2055"/>
          </w:tcPr>
          <w:p>
            <w:pPr>
              <w:spacing w:before="20" w:after="20"/>
              <w:jc w:val="center"/>
            </w:pPr>
            <w:r/>
            <w:r>
              <w:rPr>
                <w:rFonts w:ascii="Times New Roman" w:hAnsi="Times New Roman"/>
                <w:b w:val="0"/>
                <w:i w:val="0"/>
                <w:sz w:val="18"/>
              </w:rPr>
              <w:t>18</w:t>
            </w:r>
          </w:p>
        </w:tc>
        <w:tc>
          <w:tcPr>
            <w:tcW w:type="dxa" w:w="2055"/>
          </w:tcPr>
          <w:p>
            <w:pPr>
              <w:spacing w:before="20" w:after="20"/>
              <w:jc w:val="center"/>
            </w:pPr>
            <w:r/>
            <w:r>
              <w:rPr>
                <w:rFonts w:ascii="Times New Roman" w:hAnsi="Times New Roman"/>
                <w:b w:val="0"/>
                <w:i w:val="0"/>
                <w:sz w:val="18"/>
              </w:rPr>
              <w:t>HF</w:t>
            </w:r>
          </w:p>
        </w:tc>
        <w:tc>
          <w:tcPr>
            <w:tcW w:type="dxa" w:w="2055"/>
          </w:tcPr>
          <w:p>
            <w:pPr>
              <w:spacing w:before="20" w:after="20"/>
              <w:jc w:val="center"/>
            </w:pPr>
            <w:r/>
            <w:r>
              <w:rPr>
                <w:rFonts w:ascii="Times New Roman" w:hAnsi="Times New Roman"/>
                <w:b w:val="0"/>
                <w:i w:val="0"/>
                <w:sz w:val="18"/>
              </w:rPr>
              <w:t>Overnight_Vol</w:t>
            </w:r>
          </w:p>
        </w:tc>
        <w:tc>
          <w:tcPr>
            <w:tcW w:type="dxa" w:w="2055"/>
          </w:tcPr>
          <w:p>
            <w:pPr>
              <w:spacing w:before="20" w:after="20"/>
              <w:jc w:val="center"/>
            </w:pPr>
            <w:r/>
            <w:r>
              <w:rPr>
                <w:rFonts w:ascii="Times New Roman" w:hAnsi="Times New Roman"/>
                <w:b w:val="0"/>
                <w:i w:val="0"/>
                <w:sz w:val="18"/>
              </w:rPr>
              <w:t>Overnight volatility</w:t>
            </w:r>
          </w:p>
        </w:tc>
      </w:tr>
      <w:tr>
        <w:tc>
          <w:tcPr>
            <w:tcW w:type="dxa" w:w="2055"/>
          </w:tcPr>
          <w:p>
            <w:pPr>
              <w:spacing w:before="20" w:after="20"/>
              <w:jc w:val="center"/>
            </w:pPr>
            <w:r/>
            <w:r>
              <w:rPr>
                <w:rFonts w:ascii="Times New Roman" w:hAnsi="Times New Roman"/>
                <w:b w:val="0"/>
                <w:i w:val="0"/>
                <w:sz w:val="18"/>
              </w:rPr>
              <w:t>19</w:t>
            </w:r>
          </w:p>
        </w:tc>
        <w:tc>
          <w:tcPr>
            <w:tcW w:type="dxa" w:w="2055"/>
          </w:tcPr>
          <w:p>
            <w:pPr>
              <w:spacing w:before="20" w:after="20"/>
              <w:jc w:val="center"/>
            </w:pPr>
            <w:r/>
            <w:r>
              <w:rPr>
                <w:rFonts w:ascii="Times New Roman" w:hAnsi="Times New Roman"/>
                <w:b w:val="0"/>
                <w:i w:val="0"/>
                <w:sz w:val="18"/>
              </w:rPr>
              <w:t>HF</w:t>
            </w:r>
          </w:p>
        </w:tc>
        <w:tc>
          <w:tcPr>
            <w:tcW w:type="dxa" w:w="2055"/>
          </w:tcPr>
          <w:p>
            <w:pPr>
              <w:spacing w:before="20" w:after="20"/>
              <w:jc w:val="center"/>
            </w:pPr>
            <w:r/>
            <w:r>
              <w:rPr>
                <w:rFonts w:ascii="Times New Roman" w:hAnsi="Times New Roman"/>
                <w:b w:val="0"/>
                <w:i w:val="0"/>
                <w:sz w:val="18"/>
              </w:rPr>
              <w:t>Overnight_Ret</w:t>
            </w:r>
          </w:p>
        </w:tc>
        <w:tc>
          <w:tcPr>
            <w:tcW w:type="dxa" w:w="2055"/>
          </w:tcPr>
          <w:p>
            <w:pPr>
              <w:spacing w:before="20" w:after="20"/>
              <w:jc w:val="center"/>
            </w:pPr>
            <w:r/>
            <w:r>
              <w:rPr>
                <w:rFonts w:ascii="Times New Roman" w:hAnsi="Times New Roman"/>
                <w:b w:val="0"/>
                <w:i w:val="0"/>
                <w:sz w:val="18"/>
              </w:rPr>
              <w:t>Overnight return</w:t>
            </w:r>
          </w:p>
        </w:tc>
      </w:tr>
      <w:tr>
        <w:tc>
          <w:tcPr>
            <w:tcW w:type="dxa" w:w="2055"/>
          </w:tcPr>
          <w:p>
            <w:pPr>
              <w:spacing w:before="20" w:after="20"/>
              <w:jc w:val="center"/>
            </w:pPr>
            <w:r/>
            <w:r>
              <w:rPr>
                <w:rFonts w:ascii="Times New Roman" w:hAnsi="Times New Roman"/>
                <w:b w:val="0"/>
                <w:i w:val="0"/>
                <w:sz w:val="18"/>
              </w:rPr>
              <w:t>20</w:t>
            </w:r>
          </w:p>
        </w:tc>
        <w:tc>
          <w:tcPr>
            <w:tcW w:type="dxa" w:w="2055"/>
          </w:tcPr>
          <w:p>
            <w:pPr>
              <w:spacing w:before="20" w:after="20"/>
              <w:jc w:val="center"/>
            </w:pPr>
            <w:r/>
            <w:r>
              <w:rPr>
                <w:rFonts w:ascii="Times New Roman" w:hAnsi="Times New Roman"/>
                <w:b w:val="0"/>
                <w:i w:val="0"/>
                <w:sz w:val="18"/>
              </w:rPr>
              <w:t>IV</w:t>
            </w:r>
          </w:p>
        </w:tc>
        <w:tc>
          <w:tcPr>
            <w:tcW w:type="dxa" w:w="2055"/>
          </w:tcPr>
          <w:p>
            <w:pPr>
              <w:spacing w:before="20" w:after="20"/>
              <w:jc w:val="center"/>
            </w:pPr>
            <w:r/>
            <w:r>
              <w:rPr>
                <w:rFonts w:ascii="Times New Roman" w:hAnsi="Times New Roman"/>
                <w:b w:val="0"/>
                <w:i w:val="0"/>
                <w:sz w:val="18"/>
              </w:rPr>
              <w:t>IV_VIX</w:t>
            </w:r>
          </w:p>
        </w:tc>
        <w:tc>
          <w:tcPr>
            <w:tcW w:type="dxa" w:w="2055"/>
          </w:tcPr>
          <w:p>
            <w:pPr>
              <w:spacing w:before="20" w:after="20"/>
              <w:jc w:val="center"/>
            </w:pPr>
            <w:r/>
            <w:r>
              <w:rPr>
                <w:rFonts w:ascii="Times New Roman" w:hAnsi="Times New Roman"/>
                <w:b w:val="0"/>
                <w:i w:val="0"/>
                <w:sz w:val="18"/>
              </w:rPr>
              <w:t>VIX level: log(VIX)</w:t>
            </w:r>
          </w:p>
        </w:tc>
      </w:tr>
      <w:tr>
        <w:tc>
          <w:tcPr>
            <w:tcW w:type="dxa" w:w="2055"/>
          </w:tcPr>
          <w:p>
            <w:pPr>
              <w:spacing w:before="20" w:after="20"/>
              <w:jc w:val="center"/>
            </w:pPr>
            <w:r/>
            <w:r>
              <w:rPr>
                <w:rFonts w:ascii="Times New Roman" w:hAnsi="Times New Roman"/>
                <w:b w:val="0"/>
                <w:i w:val="0"/>
                <w:sz w:val="18"/>
              </w:rPr>
              <w:t>21</w:t>
            </w:r>
          </w:p>
        </w:tc>
        <w:tc>
          <w:tcPr>
            <w:tcW w:type="dxa" w:w="2055"/>
          </w:tcPr>
          <w:p>
            <w:pPr>
              <w:spacing w:before="20" w:after="20"/>
              <w:jc w:val="center"/>
            </w:pPr>
            <w:r/>
            <w:r>
              <w:rPr>
                <w:rFonts w:ascii="Times New Roman" w:hAnsi="Times New Roman"/>
                <w:b w:val="0"/>
                <w:i w:val="0"/>
                <w:sz w:val="18"/>
              </w:rPr>
              <w:t>IV</w:t>
            </w:r>
          </w:p>
        </w:tc>
        <w:tc>
          <w:tcPr>
            <w:tcW w:type="dxa" w:w="2055"/>
          </w:tcPr>
          <w:p>
            <w:pPr>
              <w:spacing w:before="20" w:after="20"/>
              <w:jc w:val="center"/>
            </w:pPr>
            <w:r/>
            <w:r>
              <w:rPr>
                <w:rFonts w:ascii="Times New Roman" w:hAnsi="Times New Roman"/>
                <w:b w:val="0"/>
                <w:i w:val="0"/>
                <w:sz w:val="18"/>
              </w:rPr>
              <w:t>IV_VIX_chg</w:t>
            </w:r>
          </w:p>
        </w:tc>
        <w:tc>
          <w:tcPr>
            <w:tcW w:type="dxa" w:w="2055"/>
          </w:tcPr>
          <w:p>
            <w:pPr>
              <w:spacing w:before="20" w:after="20"/>
              <w:jc w:val="center"/>
            </w:pPr>
            <w:r/>
            <w:r>
              <w:rPr>
                <w:rFonts w:ascii="Times New Roman" w:hAnsi="Times New Roman"/>
                <w:b w:val="0"/>
                <w:i w:val="0"/>
                <w:sz w:val="18"/>
              </w:rPr>
              <w:t>VIX daily change</w:t>
            </w:r>
          </w:p>
        </w:tc>
      </w:tr>
      <w:tr>
        <w:tc>
          <w:tcPr>
            <w:tcW w:type="dxa" w:w="2055"/>
          </w:tcPr>
          <w:p>
            <w:pPr>
              <w:spacing w:before="20" w:after="20"/>
              <w:jc w:val="center"/>
            </w:pPr>
            <w:r/>
            <w:r>
              <w:rPr>
                <w:rFonts w:ascii="Times New Roman" w:hAnsi="Times New Roman"/>
                <w:b w:val="0"/>
                <w:i w:val="0"/>
                <w:sz w:val="18"/>
              </w:rPr>
              <w:t>22</w:t>
            </w:r>
          </w:p>
        </w:tc>
        <w:tc>
          <w:tcPr>
            <w:tcW w:type="dxa" w:w="2055"/>
          </w:tcPr>
          <w:p>
            <w:pPr>
              <w:spacing w:before="20" w:after="20"/>
              <w:jc w:val="center"/>
            </w:pPr>
            <w:r/>
            <w:r>
              <w:rPr>
                <w:rFonts w:ascii="Times New Roman" w:hAnsi="Times New Roman"/>
                <w:b w:val="0"/>
                <w:i w:val="0"/>
                <w:sz w:val="18"/>
              </w:rPr>
              <w:t>IV</w:t>
            </w:r>
          </w:p>
        </w:tc>
        <w:tc>
          <w:tcPr>
            <w:tcW w:type="dxa" w:w="2055"/>
          </w:tcPr>
          <w:p>
            <w:pPr>
              <w:spacing w:before="20" w:after="20"/>
              <w:jc w:val="center"/>
            </w:pPr>
            <w:r/>
            <w:r>
              <w:rPr>
                <w:rFonts w:ascii="Times New Roman" w:hAnsi="Times New Roman"/>
                <w:b w:val="0"/>
                <w:i w:val="0"/>
                <w:sz w:val="18"/>
              </w:rPr>
              <w:t>IV_VIX_ma5</w:t>
            </w:r>
          </w:p>
        </w:tc>
        <w:tc>
          <w:tcPr>
            <w:tcW w:type="dxa" w:w="2055"/>
          </w:tcPr>
          <w:p>
            <w:pPr>
              <w:spacing w:before="20" w:after="20"/>
              <w:jc w:val="center"/>
            </w:pPr>
            <w:r/>
            <w:r>
              <w:rPr>
                <w:rFonts w:ascii="Times New Roman" w:hAnsi="Times New Roman"/>
                <w:b w:val="0"/>
                <w:i w:val="0"/>
                <w:sz w:val="18"/>
              </w:rPr>
              <w:t>VIX 5d MA</w:t>
            </w:r>
          </w:p>
        </w:tc>
      </w:tr>
      <w:tr>
        <w:tc>
          <w:tcPr>
            <w:tcW w:type="dxa" w:w="2055"/>
          </w:tcPr>
          <w:p>
            <w:pPr>
              <w:spacing w:before="20" w:after="20"/>
              <w:jc w:val="center"/>
            </w:pPr>
            <w:r/>
            <w:r>
              <w:rPr>
                <w:rFonts w:ascii="Times New Roman" w:hAnsi="Times New Roman"/>
                <w:b w:val="0"/>
                <w:i w:val="0"/>
                <w:sz w:val="18"/>
              </w:rPr>
              <w:t>23</w:t>
            </w:r>
          </w:p>
        </w:tc>
        <w:tc>
          <w:tcPr>
            <w:tcW w:type="dxa" w:w="2055"/>
          </w:tcPr>
          <w:p>
            <w:pPr>
              <w:spacing w:before="20" w:after="20"/>
              <w:jc w:val="center"/>
            </w:pPr>
            <w:r/>
            <w:r>
              <w:rPr>
                <w:rFonts w:ascii="Times New Roman" w:hAnsi="Times New Roman"/>
                <w:b w:val="0"/>
                <w:i w:val="0"/>
                <w:sz w:val="18"/>
              </w:rPr>
              <w:t>IV</w:t>
            </w:r>
          </w:p>
        </w:tc>
        <w:tc>
          <w:tcPr>
            <w:tcW w:type="dxa" w:w="2055"/>
          </w:tcPr>
          <w:p>
            <w:pPr>
              <w:spacing w:before="20" w:after="20"/>
              <w:jc w:val="center"/>
            </w:pPr>
            <w:r/>
            <w:r>
              <w:rPr>
                <w:rFonts w:ascii="Times New Roman" w:hAnsi="Times New Roman"/>
                <w:b w:val="0"/>
                <w:i w:val="0"/>
                <w:sz w:val="18"/>
              </w:rPr>
              <w:t>IV_VIX_std5</w:t>
            </w:r>
          </w:p>
        </w:tc>
        <w:tc>
          <w:tcPr>
            <w:tcW w:type="dxa" w:w="2055"/>
          </w:tcPr>
          <w:p>
            <w:pPr>
              <w:spacing w:before="20" w:after="20"/>
              <w:jc w:val="center"/>
            </w:pPr>
            <w:r/>
            <w:r>
              <w:rPr>
                <w:rFonts w:ascii="Times New Roman" w:hAnsi="Times New Roman"/>
                <w:b w:val="0"/>
                <w:i w:val="0"/>
                <w:sz w:val="18"/>
              </w:rPr>
              <w:t>VIX 5d std (VVIX proxy)</w:t>
            </w:r>
          </w:p>
        </w:tc>
      </w:tr>
      <w:tr>
        <w:tc>
          <w:tcPr>
            <w:tcW w:type="dxa" w:w="2055"/>
          </w:tcPr>
          <w:p>
            <w:pPr>
              <w:spacing w:before="20" w:after="20"/>
              <w:jc w:val="center"/>
            </w:pPr>
            <w:r/>
            <w:r>
              <w:rPr>
                <w:rFonts w:ascii="Times New Roman" w:hAnsi="Times New Roman"/>
                <w:b w:val="0"/>
                <w:i w:val="0"/>
                <w:sz w:val="18"/>
              </w:rPr>
              <w:t>24</w:t>
            </w:r>
          </w:p>
        </w:tc>
        <w:tc>
          <w:tcPr>
            <w:tcW w:type="dxa" w:w="2055"/>
          </w:tcPr>
          <w:p>
            <w:pPr>
              <w:spacing w:before="20" w:after="20"/>
              <w:jc w:val="center"/>
            </w:pPr>
            <w:r/>
            <w:r>
              <w:rPr>
                <w:rFonts w:ascii="Times New Roman" w:hAnsi="Times New Roman"/>
                <w:b w:val="0"/>
                <w:i w:val="0"/>
                <w:sz w:val="18"/>
              </w:rPr>
              <w:t>IV</w:t>
            </w:r>
          </w:p>
        </w:tc>
        <w:tc>
          <w:tcPr>
            <w:tcW w:type="dxa" w:w="2055"/>
          </w:tcPr>
          <w:p>
            <w:pPr>
              <w:spacing w:before="20" w:after="20"/>
              <w:jc w:val="center"/>
            </w:pPr>
            <w:r/>
            <w:r>
              <w:rPr>
                <w:rFonts w:ascii="Times New Roman" w:hAnsi="Times New Roman"/>
                <w:b w:val="0"/>
                <w:i w:val="0"/>
                <w:sz w:val="18"/>
              </w:rPr>
              <w:t>IV_VIX3M</w:t>
            </w:r>
          </w:p>
        </w:tc>
        <w:tc>
          <w:tcPr>
            <w:tcW w:type="dxa" w:w="2055"/>
          </w:tcPr>
          <w:p>
            <w:pPr>
              <w:spacing w:before="20" w:after="20"/>
              <w:jc w:val="center"/>
            </w:pPr>
            <w:r/>
            <w:r>
              <w:rPr>
                <w:rFonts w:ascii="Times New Roman" w:hAnsi="Times New Roman"/>
                <w:b w:val="0"/>
                <w:i w:val="0"/>
                <w:sz w:val="18"/>
              </w:rPr>
              <w:t>VIX3M level: log(VIX3M)</w:t>
            </w:r>
          </w:p>
        </w:tc>
      </w:tr>
      <w:tr>
        <w:tc>
          <w:tcPr>
            <w:tcW w:type="dxa" w:w="2055"/>
          </w:tcPr>
          <w:p>
            <w:pPr>
              <w:spacing w:before="20" w:after="20"/>
              <w:jc w:val="center"/>
            </w:pPr>
            <w:r/>
            <w:r>
              <w:rPr>
                <w:rFonts w:ascii="Times New Roman" w:hAnsi="Times New Roman"/>
                <w:b w:val="0"/>
                <w:i w:val="0"/>
                <w:sz w:val="18"/>
              </w:rPr>
              <w:t>25</w:t>
            </w:r>
          </w:p>
        </w:tc>
        <w:tc>
          <w:tcPr>
            <w:tcW w:type="dxa" w:w="2055"/>
          </w:tcPr>
          <w:p>
            <w:pPr>
              <w:spacing w:before="20" w:after="20"/>
              <w:jc w:val="center"/>
            </w:pPr>
            <w:r/>
            <w:r>
              <w:rPr>
                <w:rFonts w:ascii="Times New Roman" w:hAnsi="Times New Roman"/>
                <w:b w:val="0"/>
                <w:i w:val="0"/>
                <w:sz w:val="18"/>
              </w:rPr>
              <w:t>IV</w:t>
            </w:r>
          </w:p>
        </w:tc>
        <w:tc>
          <w:tcPr>
            <w:tcW w:type="dxa" w:w="2055"/>
          </w:tcPr>
          <w:p>
            <w:pPr>
              <w:spacing w:before="20" w:after="20"/>
              <w:jc w:val="center"/>
            </w:pPr>
            <w:r/>
            <w:r>
              <w:rPr>
                <w:rFonts w:ascii="Times New Roman" w:hAnsi="Times New Roman"/>
                <w:b w:val="0"/>
                <w:i w:val="0"/>
                <w:sz w:val="18"/>
              </w:rPr>
              <w:t>IV_VIX_TermSlope</w:t>
            </w:r>
          </w:p>
        </w:tc>
        <w:tc>
          <w:tcPr>
            <w:tcW w:type="dxa" w:w="2055"/>
          </w:tcPr>
          <w:p>
            <w:pPr>
              <w:spacing w:before="20" w:after="20"/>
              <w:jc w:val="center"/>
            </w:pPr>
            <w:r/>
            <w:r>
              <w:rPr>
                <w:rFonts w:ascii="Times New Roman" w:hAnsi="Times New Roman"/>
                <w:b w:val="0"/>
                <w:i w:val="0"/>
                <w:sz w:val="18"/>
              </w:rPr>
              <w:t>VIX term slope (VIX3M - VIX)</w:t>
            </w:r>
          </w:p>
        </w:tc>
      </w:tr>
      <w:tr>
        <w:tc>
          <w:tcPr>
            <w:tcW w:type="dxa" w:w="2055"/>
          </w:tcPr>
          <w:p>
            <w:pPr>
              <w:spacing w:before="20" w:after="20"/>
              <w:jc w:val="center"/>
            </w:pPr>
            <w:r/>
            <w:r>
              <w:rPr>
                <w:rFonts w:ascii="Times New Roman" w:hAnsi="Times New Roman"/>
                <w:b w:val="0"/>
                <w:i w:val="0"/>
                <w:sz w:val="18"/>
              </w:rPr>
              <w:t>26</w:t>
            </w:r>
          </w:p>
        </w:tc>
        <w:tc>
          <w:tcPr>
            <w:tcW w:type="dxa" w:w="2055"/>
          </w:tcPr>
          <w:p>
            <w:pPr>
              <w:spacing w:before="20" w:after="20"/>
              <w:jc w:val="center"/>
            </w:pPr>
            <w:r/>
            <w:r>
              <w:rPr>
                <w:rFonts w:ascii="Times New Roman" w:hAnsi="Times New Roman"/>
                <w:b w:val="0"/>
                <w:i w:val="0"/>
                <w:sz w:val="18"/>
              </w:rPr>
              <w:t>IV</w:t>
            </w:r>
          </w:p>
        </w:tc>
        <w:tc>
          <w:tcPr>
            <w:tcW w:type="dxa" w:w="2055"/>
          </w:tcPr>
          <w:p>
            <w:pPr>
              <w:spacing w:before="20" w:after="20"/>
              <w:jc w:val="center"/>
            </w:pPr>
            <w:r/>
            <w:r>
              <w:rPr>
                <w:rFonts w:ascii="Times New Roman" w:hAnsi="Times New Roman"/>
                <w:b w:val="0"/>
                <w:i w:val="0"/>
                <w:sz w:val="18"/>
              </w:rPr>
              <w:t>IV_VIX9D</w:t>
            </w:r>
          </w:p>
        </w:tc>
        <w:tc>
          <w:tcPr>
            <w:tcW w:type="dxa" w:w="2055"/>
          </w:tcPr>
          <w:p>
            <w:pPr>
              <w:spacing w:before="20" w:after="20"/>
              <w:jc w:val="center"/>
            </w:pPr>
            <w:r/>
            <w:r>
              <w:rPr>
                <w:rFonts w:ascii="Times New Roman" w:hAnsi="Times New Roman"/>
                <w:b w:val="0"/>
                <w:i w:val="0"/>
                <w:sz w:val="18"/>
              </w:rPr>
              <w:t>VIX9D level: log(VIX9D)</w:t>
            </w:r>
          </w:p>
        </w:tc>
      </w:tr>
      <w:tr>
        <w:tc>
          <w:tcPr>
            <w:tcW w:type="dxa" w:w="2055"/>
          </w:tcPr>
          <w:p>
            <w:pPr>
              <w:spacing w:before="20" w:after="20"/>
              <w:jc w:val="center"/>
            </w:pPr>
            <w:r/>
            <w:r>
              <w:rPr>
                <w:rFonts w:ascii="Times New Roman" w:hAnsi="Times New Roman"/>
                <w:b w:val="0"/>
                <w:i w:val="0"/>
                <w:sz w:val="18"/>
              </w:rPr>
              <w:t>27</w:t>
            </w:r>
          </w:p>
        </w:tc>
        <w:tc>
          <w:tcPr>
            <w:tcW w:type="dxa" w:w="2055"/>
          </w:tcPr>
          <w:p>
            <w:pPr>
              <w:spacing w:before="20" w:after="20"/>
              <w:jc w:val="center"/>
            </w:pPr>
            <w:r/>
            <w:r>
              <w:rPr>
                <w:rFonts w:ascii="Times New Roman" w:hAnsi="Times New Roman"/>
                <w:b w:val="0"/>
                <w:i w:val="0"/>
                <w:sz w:val="18"/>
              </w:rPr>
              <w:t>IV</w:t>
            </w:r>
          </w:p>
        </w:tc>
        <w:tc>
          <w:tcPr>
            <w:tcW w:type="dxa" w:w="2055"/>
          </w:tcPr>
          <w:p>
            <w:pPr>
              <w:spacing w:before="20" w:after="20"/>
              <w:jc w:val="center"/>
            </w:pPr>
            <w:r/>
            <w:r>
              <w:rPr>
                <w:rFonts w:ascii="Times New Roman" w:hAnsi="Times New Roman"/>
                <w:b w:val="0"/>
                <w:i w:val="0"/>
                <w:sz w:val="18"/>
              </w:rPr>
              <w:t>IV_VIX_ShortSlope</w:t>
            </w:r>
          </w:p>
        </w:tc>
        <w:tc>
          <w:tcPr>
            <w:tcW w:type="dxa" w:w="2055"/>
          </w:tcPr>
          <w:p>
            <w:pPr>
              <w:spacing w:before="20" w:after="20"/>
              <w:jc w:val="center"/>
            </w:pPr>
            <w:r/>
            <w:r>
              <w:rPr>
                <w:rFonts w:ascii="Times New Roman" w:hAnsi="Times New Roman"/>
                <w:b w:val="0"/>
                <w:i w:val="0"/>
                <w:sz w:val="18"/>
              </w:rPr>
              <w:t>VIX9D slope (VIX - VIX9D)</w:t>
            </w:r>
          </w:p>
        </w:tc>
      </w:tr>
      <w:tr>
        <w:tc>
          <w:tcPr>
            <w:tcW w:type="dxa" w:w="2055"/>
          </w:tcPr>
          <w:p>
            <w:pPr>
              <w:spacing w:before="20" w:after="20"/>
              <w:jc w:val="center"/>
            </w:pPr>
            <w:r/>
            <w:r>
              <w:rPr>
                <w:rFonts w:ascii="Times New Roman" w:hAnsi="Times New Roman"/>
                <w:b w:val="0"/>
                <w:i w:val="0"/>
                <w:sz w:val="18"/>
              </w:rPr>
              <w:t>28</w:t>
            </w:r>
          </w:p>
        </w:tc>
        <w:tc>
          <w:tcPr>
            <w:tcW w:type="dxa" w:w="2055"/>
          </w:tcPr>
          <w:p>
            <w:pPr>
              <w:spacing w:before="20" w:after="20"/>
              <w:jc w:val="center"/>
            </w:pPr>
            <w:r/>
            <w:r>
              <w:rPr>
                <w:rFonts w:ascii="Times New Roman" w:hAnsi="Times New Roman"/>
                <w:b w:val="0"/>
                <w:i w:val="0"/>
                <w:sz w:val="18"/>
              </w:rPr>
              <w:t>IV</w:t>
            </w:r>
          </w:p>
        </w:tc>
        <w:tc>
          <w:tcPr>
            <w:tcW w:type="dxa" w:w="2055"/>
          </w:tcPr>
          <w:p>
            <w:pPr>
              <w:spacing w:before="20" w:after="20"/>
              <w:jc w:val="center"/>
            </w:pPr>
            <w:r/>
            <w:r>
              <w:rPr>
                <w:rFonts w:ascii="Times New Roman" w:hAnsi="Times New Roman"/>
                <w:b w:val="0"/>
                <w:i w:val="0"/>
                <w:sz w:val="18"/>
              </w:rPr>
              <w:t>IV_VRP</w:t>
            </w:r>
          </w:p>
        </w:tc>
        <w:tc>
          <w:tcPr>
            <w:tcW w:type="dxa" w:w="2055"/>
          </w:tcPr>
          <w:p>
            <w:pPr>
              <w:spacing w:before="20" w:after="20"/>
              <w:jc w:val="center"/>
            </w:pPr>
            <w:r/>
            <w:r>
              <w:rPr>
                <w:rFonts w:ascii="Times New Roman" w:hAnsi="Times New Roman"/>
                <w:b w:val="0"/>
                <w:i w:val="0"/>
                <w:sz w:val="18"/>
              </w:rPr>
              <w:t>VRP proxy: (VIX/100)^2 - RV_SPY</w:t>
            </w:r>
          </w:p>
        </w:tc>
      </w:tr>
      <w:tr>
        <w:tc>
          <w:tcPr>
            <w:tcW w:type="dxa" w:w="2055"/>
          </w:tcPr>
          <w:p>
            <w:pPr>
              <w:spacing w:before="20" w:after="20"/>
              <w:jc w:val="center"/>
            </w:pPr>
            <w:r/>
            <w:r>
              <w:rPr>
                <w:rFonts w:ascii="Times New Roman" w:hAnsi="Times New Roman"/>
                <w:b w:val="0"/>
                <w:i w:val="0"/>
                <w:sz w:val="18"/>
              </w:rPr>
              <w:t>29</w:t>
            </w:r>
          </w:p>
        </w:tc>
        <w:tc>
          <w:tcPr>
            <w:tcW w:type="dxa" w:w="2055"/>
          </w:tcPr>
          <w:p>
            <w:pPr>
              <w:spacing w:before="20" w:after="20"/>
              <w:jc w:val="center"/>
            </w:pPr>
            <w:r/>
            <w:r>
              <w:rPr>
                <w:rFonts w:ascii="Times New Roman" w:hAnsi="Times New Roman"/>
                <w:b w:val="0"/>
                <w:i w:val="0"/>
                <w:sz w:val="18"/>
              </w:rPr>
              <w:t>IV</w:t>
            </w:r>
          </w:p>
        </w:tc>
        <w:tc>
          <w:tcPr>
            <w:tcW w:type="dxa" w:w="2055"/>
          </w:tcPr>
          <w:p>
            <w:pPr>
              <w:spacing w:before="20" w:after="20"/>
              <w:jc w:val="center"/>
            </w:pPr>
            <w:r/>
            <w:r>
              <w:rPr>
                <w:rFonts w:ascii="Times New Roman" w:hAnsi="Times New Roman"/>
                <w:b w:val="0"/>
                <w:i w:val="0"/>
                <w:sz w:val="18"/>
              </w:rPr>
              <w:t>IV_VRP_ma22</w:t>
            </w:r>
          </w:p>
        </w:tc>
        <w:tc>
          <w:tcPr>
            <w:tcW w:type="dxa" w:w="2055"/>
          </w:tcPr>
          <w:p>
            <w:pPr>
              <w:spacing w:before="20" w:after="20"/>
              <w:jc w:val="center"/>
            </w:pPr>
            <w:r/>
            <w:r>
              <w:rPr>
                <w:rFonts w:ascii="Times New Roman" w:hAnsi="Times New Roman"/>
                <w:b w:val="0"/>
                <w:i w:val="0"/>
                <w:sz w:val="18"/>
              </w:rPr>
              <w:t>VRP 22d moving average</w:t>
            </w:r>
          </w:p>
        </w:tc>
      </w:tr>
      <w:tr>
        <w:tc>
          <w:tcPr>
            <w:tcW w:type="dxa" w:w="2055"/>
          </w:tcPr>
          <w:p>
            <w:pPr>
              <w:spacing w:before="20" w:after="20"/>
              <w:jc w:val="center"/>
            </w:pPr>
            <w:r/>
            <w:r>
              <w:rPr>
                <w:rFonts w:ascii="Times New Roman" w:hAnsi="Times New Roman"/>
                <w:b w:val="0"/>
                <w:i w:val="0"/>
                <w:sz w:val="18"/>
              </w:rPr>
              <w:t>30</w:t>
            </w:r>
          </w:p>
        </w:tc>
        <w:tc>
          <w:tcPr>
            <w:tcW w:type="dxa" w:w="2055"/>
          </w:tcPr>
          <w:p>
            <w:pPr>
              <w:spacing w:before="20" w:after="20"/>
              <w:jc w:val="center"/>
            </w:pPr>
            <w:r/>
            <w:r>
              <w:rPr>
                <w:rFonts w:ascii="Times New Roman" w:hAnsi="Times New Roman"/>
                <w:b w:val="0"/>
                <w:i w:val="0"/>
                <w:sz w:val="18"/>
              </w:rPr>
              <w:t>Alt</w:t>
            </w:r>
          </w:p>
        </w:tc>
        <w:tc>
          <w:tcPr>
            <w:tcW w:type="dxa" w:w="2055"/>
          </w:tcPr>
          <w:p>
            <w:pPr>
              <w:spacing w:before="20" w:after="20"/>
              <w:jc w:val="center"/>
            </w:pPr>
            <w:r/>
            <w:r>
              <w:rPr>
                <w:rFonts w:ascii="Times New Roman" w:hAnsi="Times New Roman"/>
                <w:b w:val="0"/>
                <w:i w:val="0"/>
                <w:sz w:val="18"/>
              </w:rPr>
              <w:t>AltVol_Amihud</w:t>
            </w:r>
          </w:p>
        </w:tc>
        <w:tc>
          <w:tcPr>
            <w:tcW w:type="dxa" w:w="2055"/>
          </w:tcPr>
          <w:p>
            <w:pPr>
              <w:spacing w:before="20" w:after="20"/>
              <w:jc w:val="center"/>
            </w:pPr>
            <w:r/>
            <w:r>
              <w:rPr>
                <w:rFonts w:ascii="Times New Roman" w:hAnsi="Times New Roman"/>
                <w:b w:val="0"/>
                <w:i w:val="0"/>
                <w:sz w:val="18"/>
              </w:rPr>
              <w:t>Amihud illiquidity (22d)</w:t>
            </w:r>
          </w:p>
        </w:tc>
      </w:tr>
      <w:tr>
        <w:tc>
          <w:tcPr>
            <w:tcW w:type="dxa" w:w="2055"/>
          </w:tcPr>
          <w:p>
            <w:pPr>
              <w:spacing w:before="20" w:after="20"/>
              <w:jc w:val="center"/>
            </w:pPr>
            <w:r/>
            <w:r>
              <w:rPr>
                <w:rFonts w:ascii="Times New Roman" w:hAnsi="Times New Roman"/>
                <w:b w:val="0"/>
                <w:i w:val="0"/>
                <w:sz w:val="18"/>
              </w:rPr>
              <w:t>31</w:t>
            </w:r>
          </w:p>
        </w:tc>
        <w:tc>
          <w:tcPr>
            <w:tcW w:type="dxa" w:w="2055"/>
          </w:tcPr>
          <w:p>
            <w:pPr>
              <w:spacing w:before="20" w:after="20"/>
              <w:jc w:val="center"/>
            </w:pPr>
            <w:r/>
            <w:r>
              <w:rPr>
                <w:rFonts w:ascii="Times New Roman" w:hAnsi="Times New Roman"/>
                <w:b w:val="0"/>
                <w:i w:val="0"/>
                <w:sz w:val="18"/>
              </w:rPr>
              <w:t>Alt</w:t>
            </w:r>
          </w:p>
        </w:tc>
        <w:tc>
          <w:tcPr>
            <w:tcW w:type="dxa" w:w="2055"/>
          </w:tcPr>
          <w:p>
            <w:pPr>
              <w:spacing w:before="20" w:after="20"/>
              <w:jc w:val="center"/>
            </w:pPr>
            <w:r/>
            <w:r>
              <w:rPr>
                <w:rFonts w:ascii="Times New Roman" w:hAnsi="Times New Roman"/>
                <w:b w:val="0"/>
                <w:i w:val="0"/>
                <w:sz w:val="18"/>
              </w:rPr>
              <w:t>AltVol_Vol_Ratio</w:t>
            </w:r>
          </w:p>
        </w:tc>
        <w:tc>
          <w:tcPr>
            <w:tcW w:type="dxa" w:w="2055"/>
          </w:tcPr>
          <w:p>
            <w:pPr>
              <w:spacing w:before="20" w:after="20"/>
              <w:jc w:val="center"/>
            </w:pPr>
            <w:r/>
            <w:r>
              <w:rPr>
                <w:rFonts w:ascii="Times New Roman" w:hAnsi="Times New Roman"/>
                <w:b w:val="0"/>
                <w:i w:val="0"/>
                <w:sz w:val="18"/>
              </w:rPr>
              <w:t>Volume ratio (short/long)</w:t>
            </w:r>
          </w:p>
        </w:tc>
      </w:tr>
      <w:tr>
        <w:tc>
          <w:tcPr>
            <w:tcW w:type="dxa" w:w="2055"/>
          </w:tcPr>
          <w:p>
            <w:pPr>
              <w:spacing w:before="20" w:after="20"/>
              <w:jc w:val="center"/>
            </w:pPr>
            <w:r/>
            <w:r>
              <w:rPr>
                <w:rFonts w:ascii="Times New Roman" w:hAnsi="Times New Roman"/>
                <w:b w:val="0"/>
                <w:i w:val="0"/>
                <w:sz w:val="18"/>
              </w:rPr>
              <w:t>32</w:t>
            </w:r>
          </w:p>
        </w:tc>
        <w:tc>
          <w:tcPr>
            <w:tcW w:type="dxa" w:w="2055"/>
          </w:tcPr>
          <w:p>
            <w:pPr>
              <w:spacing w:before="20" w:after="20"/>
              <w:jc w:val="center"/>
            </w:pPr>
            <w:r/>
            <w:r>
              <w:rPr>
                <w:rFonts w:ascii="Times New Roman" w:hAnsi="Times New Roman"/>
                <w:b w:val="0"/>
                <w:i w:val="0"/>
                <w:sz w:val="18"/>
              </w:rPr>
              <w:t>Alt</w:t>
            </w:r>
          </w:p>
        </w:tc>
        <w:tc>
          <w:tcPr>
            <w:tcW w:type="dxa" w:w="2055"/>
          </w:tcPr>
          <w:p>
            <w:pPr>
              <w:spacing w:before="20" w:after="20"/>
              <w:jc w:val="center"/>
            </w:pPr>
            <w:r/>
            <w:r>
              <w:rPr>
                <w:rFonts w:ascii="Times New Roman" w:hAnsi="Times New Roman"/>
                <w:b w:val="0"/>
                <w:i w:val="0"/>
                <w:sz w:val="18"/>
              </w:rPr>
              <w:t>AltVol_PV_Corr</w:t>
            </w:r>
          </w:p>
        </w:tc>
        <w:tc>
          <w:tcPr>
            <w:tcW w:type="dxa" w:w="2055"/>
          </w:tcPr>
          <w:p>
            <w:pPr>
              <w:spacing w:before="20" w:after="20"/>
              <w:jc w:val="center"/>
            </w:pPr>
            <w:r/>
            <w:r>
              <w:rPr>
                <w:rFonts w:ascii="Times New Roman" w:hAnsi="Times New Roman"/>
                <w:b w:val="0"/>
                <w:i w:val="0"/>
                <w:sz w:val="18"/>
              </w:rPr>
              <w:t>Price-volume correlation</w:t>
            </w:r>
          </w:p>
        </w:tc>
      </w:tr>
      <w:tr>
        <w:tc>
          <w:tcPr>
            <w:tcW w:type="dxa" w:w="2055"/>
          </w:tcPr>
          <w:p>
            <w:pPr>
              <w:spacing w:before="20" w:after="20"/>
              <w:jc w:val="center"/>
            </w:pPr>
            <w:r/>
            <w:r>
              <w:rPr>
                <w:rFonts w:ascii="Times New Roman" w:hAnsi="Times New Roman"/>
                <w:b w:val="0"/>
                <w:i w:val="0"/>
                <w:sz w:val="18"/>
              </w:rPr>
              <w:t>33</w:t>
            </w:r>
          </w:p>
        </w:tc>
        <w:tc>
          <w:tcPr>
            <w:tcW w:type="dxa" w:w="2055"/>
          </w:tcPr>
          <w:p>
            <w:pPr>
              <w:spacing w:before="20" w:after="20"/>
              <w:jc w:val="center"/>
            </w:pPr>
            <w:r/>
            <w:r>
              <w:rPr>
                <w:rFonts w:ascii="Times New Roman" w:hAnsi="Times New Roman"/>
                <w:b w:val="0"/>
                <w:i w:val="0"/>
                <w:sz w:val="18"/>
              </w:rPr>
              <w:t>Alt</w:t>
            </w:r>
          </w:p>
        </w:tc>
        <w:tc>
          <w:tcPr>
            <w:tcW w:type="dxa" w:w="2055"/>
          </w:tcPr>
          <w:p>
            <w:pPr>
              <w:spacing w:before="20" w:after="20"/>
              <w:jc w:val="center"/>
            </w:pPr>
            <w:r/>
            <w:r>
              <w:rPr>
                <w:rFonts w:ascii="Times New Roman" w:hAnsi="Times New Roman"/>
                <w:b w:val="0"/>
                <w:i w:val="0"/>
                <w:sz w:val="18"/>
              </w:rPr>
              <w:t>AltVol_Vol_Surprise</w:t>
            </w:r>
          </w:p>
        </w:tc>
        <w:tc>
          <w:tcPr>
            <w:tcW w:type="dxa" w:w="2055"/>
          </w:tcPr>
          <w:p>
            <w:pPr>
              <w:spacing w:before="20" w:after="20"/>
              <w:jc w:val="center"/>
            </w:pPr>
            <w:r/>
            <w:r>
              <w:rPr>
                <w:rFonts w:ascii="Times New Roman" w:hAnsi="Times New Roman"/>
                <w:b w:val="0"/>
                <w:i w:val="0"/>
                <w:sz w:val="18"/>
              </w:rPr>
              <w:t>Volume surprise (Z-score)</w:t>
            </w:r>
          </w:p>
        </w:tc>
      </w:tr>
      <w:tr>
        <w:tc>
          <w:tcPr>
            <w:tcW w:type="dxa" w:w="2055"/>
          </w:tcPr>
          <w:p>
            <w:pPr>
              <w:spacing w:before="20" w:after="20"/>
              <w:jc w:val="center"/>
            </w:pPr>
            <w:r/>
            <w:r>
              <w:rPr>
                <w:rFonts w:ascii="Times New Roman" w:hAnsi="Times New Roman"/>
                <w:b w:val="0"/>
                <w:i w:val="0"/>
                <w:sz w:val="18"/>
              </w:rPr>
              <w:t>34</w:t>
            </w:r>
          </w:p>
        </w:tc>
        <w:tc>
          <w:tcPr>
            <w:tcW w:type="dxa" w:w="2055"/>
          </w:tcPr>
          <w:p>
            <w:pPr>
              <w:spacing w:before="20" w:after="20"/>
              <w:jc w:val="center"/>
            </w:pPr>
            <w:r/>
            <w:r>
              <w:rPr>
                <w:rFonts w:ascii="Times New Roman" w:hAnsi="Times New Roman"/>
                <w:b w:val="0"/>
                <w:i w:val="0"/>
                <w:sz w:val="18"/>
              </w:rPr>
              <w:t>Alt</w:t>
            </w:r>
          </w:p>
        </w:tc>
        <w:tc>
          <w:tcPr>
            <w:tcW w:type="dxa" w:w="2055"/>
          </w:tcPr>
          <w:p>
            <w:pPr>
              <w:spacing w:before="20" w:after="20"/>
              <w:jc w:val="center"/>
            </w:pPr>
            <w:r/>
            <w:r>
              <w:rPr>
                <w:rFonts w:ascii="Times New Roman" w:hAnsi="Times New Roman"/>
                <w:b w:val="0"/>
                <w:i w:val="0"/>
                <w:sz w:val="18"/>
              </w:rPr>
              <w:t>AltVol_Order_Imbalance</w:t>
            </w:r>
          </w:p>
        </w:tc>
        <w:tc>
          <w:tcPr>
            <w:tcW w:type="dxa" w:w="2055"/>
          </w:tcPr>
          <w:p>
            <w:pPr>
              <w:spacing w:before="20" w:after="20"/>
              <w:jc w:val="center"/>
            </w:pPr>
            <w:r/>
            <w:r>
              <w:rPr>
                <w:rFonts w:ascii="Times New Roman" w:hAnsi="Times New Roman"/>
                <w:b w:val="0"/>
                <w:i w:val="0"/>
                <w:sz w:val="18"/>
              </w:rPr>
              <w:t>Signed volume imbalance</w:t>
            </w:r>
          </w:p>
        </w:tc>
      </w:tr>
      <w:tr>
        <w:tc>
          <w:tcPr>
            <w:tcW w:type="dxa" w:w="2055"/>
          </w:tcPr>
          <w:p>
            <w:pPr>
              <w:spacing w:before="20" w:after="20"/>
              <w:jc w:val="center"/>
            </w:pPr>
            <w:r/>
            <w:r>
              <w:rPr>
                <w:rFonts w:ascii="Times New Roman" w:hAnsi="Times New Roman"/>
                <w:b w:val="0"/>
                <w:i w:val="0"/>
                <w:sz w:val="18"/>
              </w:rPr>
              <w:t>35</w:t>
            </w:r>
          </w:p>
        </w:tc>
        <w:tc>
          <w:tcPr>
            <w:tcW w:type="dxa" w:w="2055"/>
          </w:tcPr>
          <w:p>
            <w:pPr>
              <w:spacing w:before="20" w:after="20"/>
              <w:jc w:val="center"/>
            </w:pPr>
            <w:r/>
            <w:r>
              <w:rPr>
                <w:rFonts w:ascii="Times New Roman" w:hAnsi="Times New Roman"/>
                <w:b w:val="0"/>
                <w:i w:val="0"/>
                <w:sz w:val="18"/>
              </w:rPr>
              <w:t>Alt</w:t>
            </w:r>
          </w:p>
        </w:tc>
        <w:tc>
          <w:tcPr>
            <w:tcW w:type="dxa" w:w="2055"/>
          </w:tcPr>
          <w:p>
            <w:pPr>
              <w:spacing w:before="20" w:after="20"/>
              <w:jc w:val="center"/>
            </w:pPr>
            <w:r/>
            <w:r>
              <w:rPr>
                <w:rFonts w:ascii="Times New Roman" w:hAnsi="Times New Roman"/>
                <w:b w:val="0"/>
                <w:i w:val="0"/>
                <w:sz w:val="18"/>
              </w:rPr>
              <w:t>AltVol_Kyle_Lambda</w:t>
            </w:r>
          </w:p>
        </w:tc>
        <w:tc>
          <w:tcPr>
            <w:tcW w:type="dxa" w:w="2055"/>
          </w:tcPr>
          <w:p>
            <w:pPr>
              <w:spacing w:before="20" w:after="20"/>
              <w:jc w:val="center"/>
            </w:pPr>
            <w:r/>
            <w:r>
              <w:rPr>
                <w:rFonts w:ascii="Times New Roman" w:hAnsi="Times New Roman"/>
                <w:b w:val="0"/>
                <w:i w:val="0"/>
                <w:sz w:val="18"/>
              </w:rPr>
              <w:t>Kyle Lambda (price impact)</w:t>
            </w:r>
          </w:p>
        </w:tc>
      </w:tr>
    </w:tbl>
    <w:p/>
    <w:p>
      <w:pPr>
        <w:spacing w:before="0" w:after="120" w:lineRule="auto" w:line="360"/>
        <w:jc w:val="both"/>
      </w:pPr>
      <w:r>
        <w:rPr>
          <w:rFonts w:ascii="Times New Roman" w:hAnsi="Times New Roman"/>
          <w:b w:val="0"/>
          <w:i w:val="0"/>
          <w:sz w:val="20"/>
        </w:rPr>
        <w:t>(비고 1: Group 열의 "Cross"는 HAR 기반 그룹 내 크로스-자산 피처(#9, #12)를 구분하기 위한 서브레이블이며, 본문의 4개 그룹 분류(HAR 기반·HF Proxy·IV Surface·Alternative)에서는 HAR 기반에 포함된다. HAR 기반 피처 총 12개 = HAR 10개 + Cross 2개.)</w:t>
      </w:r>
    </w:p>
    <w:p>
      <w:pPr>
        <w:spacing w:before="0" w:after="120" w:lineRule="auto" w:line="360"/>
        <w:jc w:val="both"/>
      </w:pPr>
      <w:r>
        <w:rPr>
          <w:rFonts w:ascii="Times New Roman" w:hAnsi="Times New Roman"/>
          <w:b w:val="0"/>
          <w:i w:val="0"/>
          <w:sz w:val="20"/>
        </w:rPr>
        <w:t>(비고 2: 초기 설계에 포함되었던 GARCH_Daily, GARCH_Weekly 2개 피처는 Ridge 내부 검증 왜곡 문제로 최종 피처세트에서 제외하였다.)</w:t>
      </w:r>
    </w:p>
    <w:p>
      <w:r>
        <w:br w:type="page"/>
      </w:r>
    </w:p>
    <w:p>
      <w:pPr>
        <w:spacing w:before="240" w:after="120" w:lineRule="auto" w:line="360"/>
        <w:jc w:val="left"/>
      </w:pPr>
      <w:r>
        <w:rPr>
          <w:rFonts w:ascii="Times New Roman" w:hAnsi="Times New Roman"/>
          <w:b/>
          <w:i w:val="0"/>
          <w:sz w:val="24"/>
        </w:rPr>
        <w:t>부록 B. 모형별 하이퍼파라미터 탐색 범위 (확장)</w:t>
      </w:r>
    </w:p>
    <w:p>
      <w:pPr>
        <w:spacing w:before="60" w:after="60" w:lineRule="auto" w:line="288"/>
        <w:jc w:val="center"/>
      </w:pPr>
      <w:r>
        <w:rPr>
          <w:rFonts w:ascii="Times New Roman" w:hAnsi="Times New Roman"/>
          <w:b w:val="0"/>
          <w:i w:val="0"/>
          <w:sz w:val="20"/>
        </w:rPr>
        <w:t>표 B-1. 모형별 하이퍼파라미터 탐색 공간 상세  /  Table B-1. Hyperparameter Search Space (Extended)</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tcPr>
          <w:p>
            <w:pPr>
              <w:spacing w:before="20" w:after="20"/>
              <w:jc w:val="center"/>
            </w:pPr>
            <w:r/>
            <w:r>
              <w:rPr>
                <w:rFonts w:ascii="Times New Roman" w:hAnsi="Times New Roman"/>
                <w:b/>
                <w:i w:val="0"/>
                <w:sz w:val="18"/>
              </w:rPr>
              <w:t>Model</w:t>
            </w:r>
          </w:p>
        </w:tc>
        <w:tc>
          <w:tcPr>
            <w:tcW w:type="dxa" w:w="2055"/>
          </w:tcPr>
          <w:p>
            <w:pPr>
              <w:spacing w:before="20" w:after="20"/>
              <w:jc w:val="center"/>
            </w:pPr>
            <w:r/>
            <w:r>
              <w:rPr>
                <w:rFonts w:ascii="Times New Roman" w:hAnsi="Times New Roman"/>
                <w:b/>
                <w:i w:val="0"/>
                <w:sz w:val="18"/>
              </w:rPr>
              <w:t>Hyperparameter</w:t>
            </w:r>
          </w:p>
        </w:tc>
        <w:tc>
          <w:tcPr>
            <w:tcW w:type="dxa" w:w="2055"/>
          </w:tcPr>
          <w:p>
            <w:pPr>
              <w:spacing w:before="20" w:after="20"/>
              <w:jc w:val="center"/>
            </w:pPr>
            <w:r/>
            <w:r>
              <w:rPr>
                <w:rFonts w:ascii="Times New Roman" w:hAnsi="Times New Roman"/>
                <w:b/>
                <w:i w:val="0"/>
                <w:sz w:val="18"/>
              </w:rPr>
              <w:t>Search Space</w:t>
            </w:r>
          </w:p>
        </w:tc>
        <w:tc>
          <w:tcPr>
            <w:tcW w:type="dxa" w:w="2055"/>
          </w:tcPr>
          <w:p>
            <w:pPr>
              <w:spacing w:before="20" w:after="20"/>
              <w:jc w:val="center"/>
            </w:pPr>
            <w:r/>
            <w:r>
              <w:rPr>
                <w:rFonts w:ascii="Times New Roman" w:hAnsi="Times New Roman"/>
                <w:b/>
                <w:i w:val="0"/>
                <w:sz w:val="18"/>
              </w:rPr>
              <w:t>비고</w:t>
            </w:r>
          </w:p>
        </w:tc>
      </w:tr>
      <w:tr>
        <w:tc>
          <w:tcPr>
            <w:tcW w:type="dxa" w:w="2055"/>
          </w:tcPr>
          <w:p>
            <w:pPr>
              <w:spacing w:before="20" w:after="20"/>
              <w:jc w:val="center"/>
            </w:pPr>
            <w:r/>
            <w:r>
              <w:rPr>
                <w:rFonts w:ascii="Times New Roman" w:hAnsi="Times New Roman"/>
                <w:b w:val="0"/>
                <w:i w:val="0"/>
                <w:sz w:val="18"/>
              </w:rPr>
              <w:t>Ridge</w:t>
            </w:r>
          </w:p>
        </w:tc>
        <w:tc>
          <w:tcPr>
            <w:tcW w:type="dxa" w:w="2055"/>
          </w:tcPr>
          <w:p>
            <w:pPr>
              <w:spacing w:before="20" w:after="20"/>
              <w:jc w:val="center"/>
            </w:pPr>
            <w:r/>
            <w:r>
              <w:rPr>
                <w:rFonts w:ascii="Times New Roman" w:hAnsi="Times New Roman"/>
                <w:b w:val="0"/>
                <w:i w:val="0"/>
                <w:sz w:val="18"/>
              </w:rPr>
              <w:t>α</w:t>
            </w:r>
          </w:p>
        </w:tc>
        <w:tc>
          <w:tcPr>
            <w:tcW w:type="dxa" w:w="2055"/>
          </w:tcPr>
          <w:p>
            <w:pPr>
              <w:spacing w:before="20" w:after="20"/>
              <w:jc w:val="center"/>
            </w:pPr>
            <w:r/>
            <w:r>
              <w:rPr>
                <w:rFonts w:ascii="Times New Roman" w:hAnsi="Times New Roman"/>
                <w:b w:val="0"/>
                <w:i w:val="0"/>
                <w:sz w:val="18"/>
              </w:rPr>
              <w:t>{0.01, 0.1, 1, 10, 100, 1000}</w:t>
            </w:r>
          </w:p>
        </w:tc>
        <w:tc>
          <w:tcPr>
            <w:tcW w:type="dxa" w:w="2055"/>
          </w:tcPr>
          <w:p>
            <w:pPr>
              <w:spacing w:before="20" w:after="20"/>
              <w:jc w:val="center"/>
            </w:pPr>
            <w:r/>
            <w:r>
              <w:rPr>
                <w:rFonts w:ascii="Times New Roman" w:hAnsi="Times New Roman"/>
                <w:b w:val="0"/>
                <w:i w:val="0"/>
                <w:sz w:val="18"/>
              </w:rPr>
              <w:t>자산군별 독립 탐색</w:t>
            </w:r>
          </w:p>
        </w:tc>
      </w:tr>
      <w:tr>
        <w:tc>
          <w:tcPr>
            <w:tcW w:type="dxa" w:w="2055"/>
          </w:tcPr>
          <w:p>
            <w:pPr>
              <w:spacing w:before="20" w:after="20"/>
              <w:jc w:val="center"/>
            </w:pPr>
            <w:r/>
            <w:r>
              <w:rPr>
                <w:rFonts w:ascii="Times New Roman" w:hAnsi="Times New Roman"/>
                <w:b w:val="0"/>
                <w:i w:val="0"/>
                <w:sz w:val="18"/>
              </w:rPr>
              <w:t>Lasso</w:t>
            </w:r>
          </w:p>
        </w:tc>
        <w:tc>
          <w:tcPr>
            <w:tcW w:type="dxa" w:w="2055"/>
          </w:tcPr>
          <w:p>
            <w:pPr>
              <w:spacing w:before="20" w:after="20"/>
              <w:jc w:val="center"/>
            </w:pPr>
            <w:r/>
            <w:r>
              <w:rPr>
                <w:rFonts w:ascii="Times New Roman" w:hAnsi="Times New Roman"/>
                <w:b w:val="0"/>
                <w:i w:val="0"/>
                <w:sz w:val="18"/>
              </w:rPr>
              <w:t>α</w:t>
            </w:r>
          </w:p>
        </w:tc>
        <w:tc>
          <w:tcPr>
            <w:tcW w:type="dxa" w:w="2055"/>
          </w:tcPr>
          <w:p>
            <w:pPr>
              <w:spacing w:before="20" w:after="20"/>
              <w:jc w:val="center"/>
            </w:pPr>
            <w:r/>
            <w:r>
              <w:rPr>
                <w:rFonts w:ascii="Times New Roman" w:hAnsi="Times New Roman"/>
                <w:b w:val="0"/>
                <w:i w:val="0"/>
                <w:sz w:val="18"/>
              </w:rPr>
              <w:t>{0.001, 0.01, 0.1, 1, 10}</w:t>
            </w:r>
          </w:p>
        </w:tc>
        <w:tc>
          <w:tcPr>
            <w:tcW w:type="dxa" w:w="2055"/>
          </w:tcPr>
          <w:p>
            <w:pPr>
              <w:spacing w:before="20" w:after="20"/>
              <w:jc w:val="center"/>
            </w:pPr>
            <w:r/>
            <w:r>
              <w:rPr>
                <w:rFonts w:ascii="Times New Roman" w:hAnsi="Times New Roman"/>
                <w:b w:val="0"/>
                <w:i w:val="0"/>
                <w:sz w:val="18"/>
              </w:rPr>
              <w:t>자산군별 독립 탐색</w:t>
            </w:r>
          </w:p>
        </w:tc>
      </w:tr>
      <w:tr>
        <w:tc>
          <w:tcPr>
            <w:tcW w:type="dxa" w:w="2055"/>
          </w:tcPr>
          <w:p>
            <w:pPr>
              <w:spacing w:before="20" w:after="20"/>
              <w:jc w:val="center"/>
            </w:pPr>
            <w:r/>
            <w:r>
              <w:rPr>
                <w:rFonts w:ascii="Times New Roman" w:hAnsi="Times New Roman"/>
                <w:b w:val="0"/>
                <w:i w:val="0"/>
                <w:sz w:val="18"/>
              </w:rPr>
              <w:t>ElasticNet</w:t>
            </w:r>
          </w:p>
        </w:tc>
        <w:tc>
          <w:tcPr>
            <w:tcW w:type="dxa" w:w="2055"/>
          </w:tcPr>
          <w:p>
            <w:pPr>
              <w:spacing w:before="20" w:after="20"/>
              <w:jc w:val="center"/>
            </w:pPr>
            <w:r/>
            <w:r>
              <w:rPr>
                <w:rFonts w:ascii="Times New Roman" w:hAnsi="Times New Roman"/>
                <w:b w:val="0"/>
                <w:i w:val="0"/>
                <w:sz w:val="18"/>
              </w:rPr>
              <w:t>α</w:t>
            </w:r>
          </w:p>
        </w:tc>
        <w:tc>
          <w:tcPr>
            <w:tcW w:type="dxa" w:w="2055"/>
          </w:tcPr>
          <w:p>
            <w:pPr>
              <w:spacing w:before="20" w:after="20"/>
              <w:jc w:val="center"/>
            </w:pPr>
            <w:r/>
            <w:r>
              <w:rPr>
                <w:rFonts w:ascii="Times New Roman" w:hAnsi="Times New Roman"/>
                <w:b w:val="0"/>
                <w:i w:val="0"/>
                <w:sz w:val="18"/>
              </w:rPr>
              <w:t>{0.001, 0.01, 0.1, 1}</w:t>
            </w:r>
          </w:p>
        </w:tc>
        <w:tc>
          <w:tcPr>
            <w:tcW w:type="dxa" w:w="2055"/>
          </w:tcPr>
          <w:p>
            <w:pPr>
              <w:spacing w:before="20" w:after="20"/>
              <w:jc w:val="center"/>
            </w:pPr>
            <w:r/>
            <w:r>
              <w:rPr>
                <w:rFonts w:ascii="Times New Roman" w:hAnsi="Times New Roman"/>
                <w:b w:val="0"/>
                <w:i w:val="0"/>
                <w:sz w:val="18"/>
              </w:rPr>
              <w:t>22d 최적: α=0.01, l1=0.1</w:t>
            </w:r>
          </w:p>
        </w:tc>
      </w:tr>
      <w:tr>
        <w:tc>
          <w:tcPr>
            <w:tcW w:type="dxa" w:w="2055"/>
          </w:tcPr>
          <w:p>
            <w:pPr>
              <w:spacing w:before="20" w:after="20"/>
              <w:jc w:val="center"/>
            </w:pPr>
            <w:r/>
            <w:r>
              <w:rPr>
                <w:rFonts w:ascii="Times New Roman" w:hAnsi="Times New Roman"/>
                <w:b w:val="0"/>
                <w:i w:val="0"/>
                <w:sz w:val="18"/>
              </w:rPr>
              <w:t>ElasticNet</w:t>
            </w:r>
          </w:p>
        </w:tc>
        <w:tc>
          <w:tcPr>
            <w:tcW w:type="dxa" w:w="2055"/>
          </w:tcPr>
          <w:p>
            <w:pPr>
              <w:spacing w:before="20" w:after="20"/>
              <w:jc w:val="center"/>
            </w:pPr>
            <w:r/>
            <w:r>
              <w:rPr>
                <w:rFonts w:ascii="Times New Roman" w:hAnsi="Times New Roman"/>
                <w:b w:val="0"/>
                <w:i w:val="0"/>
                <w:sz w:val="18"/>
              </w:rPr>
              <w:t>l1_ratio</w:t>
            </w:r>
          </w:p>
        </w:tc>
        <w:tc>
          <w:tcPr>
            <w:tcW w:type="dxa" w:w="2055"/>
          </w:tcPr>
          <w:p>
            <w:pPr>
              <w:spacing w:before="20" w:after="20"/>
              <w:jc w:val="center"/>
            </w:pPr>
            <w:r/>
            <w:r>
              <w:rPr>
                <w:rFonts w:ascii="Times New Roman" w:hAnsi="Times New Roman"/>
                <w:b w:val="0"/>
                <w:i w:val="0"/>
                <w:sz w:val="18"/>
              </w:rPr>
              <w:t>{0.1, 0.3, 0.5, 0.7, 0.9}</w:t>
            </w:r>
          </w:p>
        </w:tc>
        <w:tc>
          <w:tcPr>
            <w:tcW w:type="dxa" w:w="2055"/>
          </w:tcPr>
          <w:p>
            <w:pPr>
              <w:spacing w:before="20" w:after="20"/>
              <w:jc w:val="center"/>
            </w:pPr>
            <w:r/>
            <w:r>
              <w:rPr>
                <w:rFonts w:ascii="Times New Roman" w:hAnsi="Times New Roman"/>
                <w:b w:val="0"/>
                <w:i w:val="0"/>
                <w:sz w:val="18"/>
              </w:rPr>
              <w:t>-</w:t>
            </w:r>
          </w:p>
        </w:tc>
      </w:tr>
      <w:tr>
        <w:tc>
          <w:tcPr>
            <w:tcW w:type="dxa" w:w="2055"/>
          </w:tcPr>
          <w:p>
            <w:pPr>
              <w:spacing w:before="20" w:after="20"/>
              <w:jc w:val="center"/>
            </w:pPr>
            <w:r/>
            <w:r>
              <w:rPr>
                <w:rFonts w:ascii="Times New Roman" w:hAnsi="Times New Roman"/>
                <w:b w:val="0"/>
                <w:i w:val="0"/>
                <w:sz w:val="18"/>
              </w:rPr>
              <w:t>Random Forest</w:t>
            </w:r>
          </w:p>
        </w:tc>
        <w:tc>
          <w:tcPr>
            <w:tcW w:type="dxa" w:w="2055"/>
          </w:tcPr>
          <w:p>
            <w:pPr>
              <w:spacing w:before="20" w:after="20"/>
              <w:jc w:val="center"/>
            </w:pPr>
            <w:r/>
            <w:r>
              <w:rPr>
                <w:rFonts w:ascii="Times New Roman" w:hAnsi="Times New Roman"/>
                <w:b w:val="0"/>
                <w:i w:val="0"/>
                <w:sz w:val="18"/>
              </w:rPr>
              <w:t>n_estimators</w:t>
            </w:r>
          </w:p>
        </w:tc>
        <w:tc>
          <w:tcPr>
            <w:tcW w:type="dxa" w:w="2055"/>
          </w:tcPr>
          <w:p>
            <w:pPr>
              <w:spacing w:before="20" w:after="20"/>
              <w:jc w:val="center"/>
            </w:pPr>
            <w:r/>
            <w:r>
              <w:rPr>
                <w:rFonts w:ascii="Times New Roman" w:hAnsi="Times New Roman"/>
                <w:b w:val="0"/>
                <w:i w:val="0"/>
                <w:sz w:val="18"/>
              </w:rPr>
              <w:t>200</w:t>
            </w:r>
          </w:p>
        </w:tc>
        <w:tc>
          <w:tcPr>
            <w:tcW w:type="dxa" w:w="2055"/>
          </w:tcPr>
          <w:p>
            <w:pPr>
              <w:spacing w:before="20" w:after="20"/>
              <w:jc w:val="center"/>
            </w:pPr>
            <w:r/>
            <w:r>
              <w:rPr>
                <w:rFonts w:ascii="Times New Roman" w:hAnsi="Times New Roman"/>
                <w:b w:val="0"/>
                <w:i w:val="0"/>
                <w:sz w:val="18"/>
              </w:rPr>
              <w:t>seed=42 고정</w:t>
            </w:r>
          </w:p>
        </w:tc>
      </w:tr>
      <w:tr>
        <w:tc>
          <w:tcPr>
            <w:tcW w:type="dxa" w:w="2055"/>
          </w:tcPr>
          <w:p>
            <w:pPr>
              <w:spacing w:before="20" w:after="20"/>
              <w:jc w:val="center"/>
            </w:pPr>
            <w:r/>
            <w:r>
              <w:rPr>
                <w:rFonts w:ascii="Times New Roman" w:hAnsi="Times New Roman"/>
                <w:b w:val="0"/>
                <w:i w:val="0"/>
                <w:sz w:val="18"/>
              </w:rPr>
              <w:t>Random Forest</w:t>
            </w:r>
          </w:p>
        </w:tc>
        <w:tc>
          <w:tcPr>
            <w:tcW w:type="dxa" w:w="2055"/>
          </w:tcPr>
          <w:p>
            <w:pPr>
              <w:spacing w:before="20" w:after="20"/>
              <w:jc w:val="center"/>
            </w:pPr>
            <w:r/>
            <w:r>
              <w:rPr>
                <w:rFonts w:ascii="Times New Roman" w:hAnsi="Times New Roman"/>
                <w:b w:val="0"/>
                <w:i w:val="0"/>
                <w:sz w:val="18"/>
              </w:rPr>
              <w:t>max_depth</w:t>
            </w:r>
          </w:p>
        </w:tc>
        <w:tc>
          <w:tcPr>
            <w:tcW w:type="dxa" w:w="2055"/>
          </w:tcPr>
          <w:p>
            <w:pPr>
              <w:spacing w:before="20" w:after="20"/>
              <w:jc w:val="center"/>
            </w:pPr>
            <w:r/>
            <w:r>
              <w:rPr>
                <w:rFonts w:ascii="Times New Roman" w:hAnsi="Times New Roman"/>
                <w:b w:val="0"/>
                <w:i w:val="0"/>
                <w:sz w:val="18"/>
              </w:rPr>
              <w:t>{5, 8, 10}</w:t>
            </w:r>
          </w:p>
        </w:tc>
        <w:tc>
          <w:tcPr>
            <w:tcW w:type="dxa" w:w="2055"/>
          </w:tcPr>
          <w:p>
            <w:pPr>
              <w:spacing w:before="20" w:after="20"/>
              <w:jc w:val="center"/>
            </w:pPr>
            <w:r/>
            <w:r>
              <w:rPr>
                <w:rFonts w:ascii="Times New Roman" w:hAnsi="Times New Roman"/>
                <w:b w:val="0"/>
                <w:i w:val="0"/>
                <w:sz w:val="18"/>
              </w:rPr>
              <w:t>-</w:t>
            </w:r>
          </w:p>
        </w:tc>
      </w:tr>
      <w:tr>
        <w:tc>
          <w:tcPr>
            <w:tcW w:type="dxa" w:w="2055"/>
          </w:tcPr>
          <w:p>
            <w:pPr>
              <w:spacing w:before="20" w:after="20"/>
              <w:jc w:val="center"/>
            </w:pPr>
            <w:r/>
            <w:r>
              <w:rPr>
                <w:rFonts w:ascii="Times New Roman" w:hAnsi="Times New Roman"/>
                <w:b w:val="0"/>
                <w:i w:val="0"/>
                <w:sz w:val="18"/>
              </w:rPr>
              <w:t>Random Forest</w:t>
            </w:r>
          </w:p>
        </w:tc>
        <w:tc>
          <w:tcPr>
            <w:tcW w:type="dxa" w:w="2055"/>
          </w:tcPr>
          <w:p>
            <w:pPr>
              <w:spacing w:before="20" w:after="20"/>
              <w:jc w:val="center"/>
            </w:pPr>
            <w:r/>
            <w:r>
              <w:rPr>
                <w:rFonts w:ascii="Times New Roman" w:hAnsi="Times New Roman"/>
                <w:b w:val="0"/>
                <w:i w:val="0"/>
                <w:sz w:val="18"/>
              </w:rPr>
              <w:t>max_features</w:t>
            </w:r>
          </w:p>
        </w:tc>
        <w:tc>
          <w:tcPr>
            <w:tcW w:type="dxa" w:w="2055"/>
          </w:tcPr>
          <w:p>
            <w:pPr>
              <w:spacing w:before="20" w:after="20"/>
              <w:jc w:val="center"/>
            </w:pPr>
            <w:r/>
            <w:r>
              <w:rPr>
                <w:rFonts w:ascii="Times New Roman" w:hAnsi="Times New Roman"/>
                <w:b w:val="0"/>
                <w:i w:val="0"/>
                <w:sz w:val="18"/>
              </w:rPr>
              <w:t>sqrt</w:t>
            </w:r>
          </w:p>
        </w:tc>
        <w:tc>
          <w:tcPr>
            <w:tcW w:type="dxa" w:w="2055"/>
          </w:tcPr>
          <w:p>
            <w:pPr>
              <w:spacing w:before="20" w:after="20"/>
              <w:jc w:val="center"/>
            </w:pPr>
            <w:r/>
            <w:r>
              <w:rPr>
                <w:rFonts w:ascii="Times New Roman" w:hAnsi="Times New Roman"/>
                <w:b w:val="0"/>
                <w:i w:val="0"/>
                <w:sz w:val="18"/>
              </w:rPr>
              <w:t>-</w:t>
            </w:r>
          </w:p>
        </w:tc>
      </w:tr>
      <w:tr>
        <w:tc>
          <w:tcPr>
            <w:tcW w:type="dxa" w:w="2055"/>
          </w:tcPr>
          <w:p>
            <w:pPr>
              <w:spacing w:before="20" w:after="20"/>
              <w:jc w:val="center"/>
            </w:pPr>
            <w:r/>
            <w:r>
              <w:rPr>
                <w:rFonts w:ascii="Times New Roman" w:hAnsi="Times New Roman"/>
                <w:b w:val="0"/>
                <w:i w:val="0"/>
                <w:sz w:val="18"/>
              </w:rPr>
              <w:t>Random Forest</w:t>
            </w:r>
          </w:p>
        </w:tc>
        <w:tc>
          <w:tcPr>
            <w:tcW w:type="dxa" w:w="2055"/>
          </w:tcPr>
          <w:p>
            <w:pPr>
              <w:spacing w:before="20" w:after="20"/>
              <w:jc w:val="center"/>
            </w:pPr>
            <w:r/>
            <w:r>
              <w:rPr>
                <w:rFonts w:ascii="Times New Roman" w:hAnsi="Times New Roman"/>
                <w:b w:val="0"/>
                <w:i w:val="0"/>
                <w:sz w:val="18"/>
              </w:rPr>
              <w:t>min_samples_leaf</w:t>
            </w:r>
          </w:p>
        </w:tc>
        <w:tc>
          <w:tcPr>
            <w:tcW w:type="dxa" w:w="2055"/>
          </w:tcPr>
          <w:p>
            <w:pPr>
              <w:spacing w:before="20" w:after="20"/>
              <w:jc w:val="center"/>
            </w:pPr>
            <w:r/>
            <w:r>
              <w:rPr>
                <w:rFonts w:ascii="Times New Roman" w:hAnsi="Times New Roman"/>
                <w:b w:val="0"/>
                <w:i w:val="0"/>
                <w:sz w:val="18"/>
              </w:rPr>
              <w:t>{5, 20}</w:t>
            </w:r>
          </w:p>
        </w:tc>
        <w:tc>
          <w:tcPr>
            <w:tcW w:type="dxa" w:w="2055"/>
          </w:tcPr>
          <w:p>
            <w:pPr>
              <w:spacing w:before="20" w:after="20"/>
              <w:jc w:val="center"/>
            </w:pPr>
            <w:r/>
            <w:r>
              <w:rPr>
                <w:rFonts w:ascii="Times New Roman" w:hAnsi="Times New Roman"/>
                <w:b w:val="0"/>
                <w:i w:val="0"/>
                <w:sz w:val="18"/>
              </w:rPr>
              <w:t>-</w:t>
            </w:r>
          </w:p>
        </w:tc>
      </w:tr>
      <w:tr>
        <w:tc>
          <w:tcPr>
            <w:tcW w:type="dxa" w:w="2055"/>
          </w:tcPr>
          <w:p>
            <w:pPr>
              <w:spacing w:before="20" w:after="20"/>
              <w:jc w:val="center"/>
            </w:pPr>
            <w:r/>
            <w:r>
              <w:rPr>
                <w:rFonts w:ascii="Times New Roman" w:hAnsi="Times New Roman"/>
                <w:b w:val="0"/>
                <w:i w:val="0"/>
                <w:sz w:val="18"/>
              </w:rPr>
              <w:t>XGBoost</w:t>
            </w:r>
          </w:p>
        </w:tc>
        <w:tc>
          <w:tcPr>
            <w:tcW w:type="dxa" w:w="2055"/>
          </w:tcPr>
          <w:p>
            <w:pPr>
              <w:spacing w:before="20" w:after="20"/>
              <w:jc w:val="center"/>
            </w:pPr>
            <w:r/>
            <w:r>
              <w:rPr>
                <w:rFonts w:ascii="Times New Roman" w:hAnsi="Times New Roman"/>
                <w:b w:val="0"/>
                <w:i w:val="0"/>
                <w:sz w:val="18"/>
              </w:rPr>
              <w:t>n_estimators</w:t>
            </w:r>
          </w:p>
        </w:tc>
        <w:tc>
          <w:tcPr>
            <w:tcW w:type="dxa" w:w="2055"/>
          </w:tcPr>
          <w:p>
            <w:pPr>
              <w:spacing w:before="20" w:after="20"/>
              <w:jc w:val="center"/>
            </w:pPr>
            <w:r/>
            <w:r>
              <w:rPr>
                <w:rFonts w:ascii="Times New Roman" w:hAnsi="Times New Roman"/>
                <w:b w:val="0"/>
                <w:i w:val="0"/>
                <w:sz w:val="18"/>
              </w:rPr>
              <w:t>{100, 300}</w:t>
            </w:r>
          </w:p>
        </w:tc>
        <w:tc>
          <w:tcPr>
            <w:tcW w:type="dxa" w:w="2055"/>
          </w:tcPr>
          <w:p>
            <w:pPr>
              <w:spacing w:before="20" w:after="20"/>
              <w:jc w:val="center"/>
            </w:pPr>
            <w:r/>
            <w:r>
              <w:rPr>
                <w:rFonts w:ascii="Times New Roman" w:hAnsi="Times New Roman"/>
                <w:b w:val="0"/>
                <w:i w:val="0"/>
                <w:sz w:val="18"/>
              </w:rPr>
              <w:t>seed=42 고정</w:t>
            </w:r>
          </w:p>
        </w:tc>
      </w:tr>
      <w:tr>
        <w:tc>
          <w:tcPr>
            <w:tcW w:type="dxa" w:w="2055"/>
          </w:tcPr>
          <w:p>
            <w:pPr>
              <w:spacing w:before="20" w:after="20"/>
              <w:jc w:val="center"/>
            </w:pPr>
            <w:r/>
            <w:r>
              <w:rPr>
                <w:rFonts w:ascii="Times New Roman" w:hAnsi="Times New Roman"/>
                <w:b w:val="0"/>
                <w:i w:val="0"/>
                <w:sz w:val="18"/>
              </w:rPr>
              <w:t>XGBoost</w:t>
            </w:r>
          </w:p>
        </w:tc>
        <w:tc>
          <w:tcPr>
            <w:tcW w:type="dxa" w:w="2055"/>
          </w:tcPr>
          <w:p>
            <w:pPr>
              <w:spacing w:before="20" w:after="20"/>
              <w:jc w:val="center"/>
            </w:pPr>
            <w:r/>
            <w:r>
              <w:rPr>
                <w:rFonts w:ascii="Times New Roman" w:hAnsi="Times New Roman"/>
                <w:b w:val="0"/>
                <w:i w:val="0"/>
                <w:sz w:val="18"/>
              </w:rPr>
              <w:t>max_depth</w:t>
            </w:r>
          </w:p>
        </w:tc>
        <w:tc>
          <w:tcPr>
            <w:tcW w:type="dxa" w:w="2055"/>
          </w:tcPr>
          <w:p>
            <w:pPr>
              <w:spacing w:before="20" w:after="20"/>
              <w:jc w:val="center"/>
            </w:pPr>
            <w:r/>
            <w:r>
              <w:rPr>
                <w:rFonts w:ascii="Times New Roman" w:hAnsi="Times New Roman"/>
                <w:b w:val="0"/>
                <w:i w:val="0"/>
                <w:sz w:val="18"/>
              </w:rPr>
              <w:t>{3, 5}</w:t>
            </w:r>
          </w:p>
        </w:tc>
        <w:tc>
          <w:tcPr>
            <w:tcW w:type="dxa" w:w="2055"/>
          </w:tcPr>
          <w:p>
            <w:pPr>
              <w:spacing w:before="20" w:after="20"/>
              <w:jc w:val="center"/>
            </w:pPr>
            <w:r/>
            <w:r>
              <w:rPr>
                <w:rFonts w:ascii="Times New Roman" w:hAnsi="Times New Roman"/>
                <w:b w:val="0"/>
                <w:i w:val="0"/>
                <w:sz w:val="18"/>
              </w:rPr>
              <w:t>-</w:t>
            </w:r>
          </w:p>
        </w:tc>
      </w:tr>
      <w:tr>
        <w:tc>
          <w:tcPr>
            <w:tcW w:type="dxa" w:w="2055"/>
          </w:tcPr>
          <w:p>
            <w:pPr>
              <w:spacing w:before="20" w:after="20"/>
              <w:jc w:val="center"/>
            </w:pPr>
            <w:r/>
            <w:r>
              <w:rPr>
                <w:rFonts w:ascii="Times New Roman" w:hAnsi="Times New Roman"/>
                <w:b w:val="0"/>
                <w:i w:val="0"/>
                <w:sz w:val="18"/>
              </w:rPr>
              <w:t>XGBoost</w:t>
            </w:r>
          </w:p>
        </w:tc>
        <w:tc>
          <w:tcPr>
            <w:tcW w:type="dxa" w:w="2055"/>
          </w:tcPr>
          <w:p>
            <w:pPr>
              <w:spacing w:before="20" w:after="20"/>
              <w:jc w:val="center"/>
            </w:pPr>
            <w:r/>
            <w:r>
              <w:rPr>
                <w:rFonts w:ascii="Times New Roman" w:hAnsi="Times New Roman"/>
                <w:b w:val="0"/>
                <w:i w:val="0"/>
                <w:sz w:val="18"/>
              </w:rPr>
              <w:t>learning_rate</w:t>
            </w:r>
          </w:p>
        </w:tc>
        <w:tc>
          <w:tcPr>
            <w:tcW w:type="dxa" w:w="2055"/>
          </w:tcPr>
          <w:p>
            <w:pPr>
              <w:spacing w:before="20" w:after="20"/>
              <w:jc w:val="center"/>
            </w:pPr>
            <w:r/>
            <w:r>
              <w:rPr>
                <w:rFonts w:ascii="Times New Roman" w:hAnsi="Times New Roman"/>
                <w:b w:val="0"/>
                <w:i w:val="0"/>
                <w:sz w:val="18"/>
              </w:rPr>
              <w:t>{0.05, 0.1}</w:t>
            </w:r>
          </w:p>
        </w:tc>
        <w:tc>
          <w:tcPr>
            <w:tcW w:type="dxa" w:w="2055"/>
          </w:tcPr>
          <w:p>
            <w:pPr>
              <w:spacing w:before="20" w:after="20"/>
              <w:jc w:val="center"/>
            </w:pPr>
            <w:r/>
            <w:r>
              <w:rPr>
                <w:rFonts w:ascii="Times New Roman" w:hAnsi="Times New Roman"/>
                <w:b w:val="0"/>
                <w:i w:val="0"/>
                <w:sz w:val="18"/>
              </w:rPr>
              <w:t>-</w:t>
            </w:r>
          </w:p>
        </w:tc>
      </w:tr>
      <w:tr>
        <w:tc>
          <w:tcPr>
            <w:tcW w:type="dxa" w:w="2055"/>
          </w:tcPr>
          <w:p>
            <w:pPr>
              <w:spacing w:before="20" w:after="20"/>
              <w:jc w:val="center"/>
            </w:pPr>
            <w:r/>
            <w:r>
              <w:rPr>
                <w:rFonts w:ascii="Times New Roman" w:hAnsi="Times New Roman"/>
                <w:b w:val="0"/>
                <w:i w:val="0"/>
                <w:sz w:val="18"/>
              </w:rPr>
              <w:t>LightGBM</w:t>
            </w:r>
          </w:p>
        </w:tc>
        <w:tc>
          <w:tcPr>
            <w:tcW w:type="dxa" w:w="2055"/>
          </w:tcPr>
          <w:p>
            <w:pPr>
              <w:spacing w:before="20" w:after="20"/>
              <w:jc w:val="center"/>
            </w:pPr>
            <w:r/>
            <w:r>
              <w:rPr>
                <w:rFonts w:ascii="Times New Roman" w:hAnsi="Times New Roman"/>
                <w:b w:val="0"/>
                <w:i w:val="0"/>
                <w:sz w:val="18"/>
              </w:rPr>
              <w:t>n_estimators</w:t>
            </w:r>
          </w:p>
        </w:tc>
        <w:tc>
          <w:tcPr>
            <w:tcW w:type="dxa" w:w="2055"/>
          </w:tcPr>
          <w:p>
            <w:pPr>
              <w:spacing w:before="20" w:after="20"/>
              <w:jc w:val="center"/>
            </w:pPr>
            <w:r/>
            <w:r>
              <w:rPr>
                <w:rFonts w:ascii="Times New Roman" w:hAnsi="Times New Roman"/>
                <w:b w:val="0"/>
                <w:i w:val="0"/>
                <w:sz w:val="18"/>
              </w:rPr>
              <w:t>{100, 300}</w:t>
            </w:r>
          </w:p>
        </w:tc>
        <w:tc>
          <w:tcPr>
            <w:tcW w:type="dxa" w:w="2055"/>
          </w:tcPr>
          <w:p>
            <w:pPr>
              <w:spacing w:before="20" w:after="20"/>
              <w:jc w:val="center"/>
            </w:pPr>
            <w:r/>
            <w:r>
              <w:rPr>
                <w:rFonts w:ascii="Times New Roman" w:hAnsi="Times New Roman"/>
                <w:b w:val="0"/>
                <w:i w:val="0"/>
                <w:sz w:val="18"/>
              </w:rPr>
              <w:t>seed=42 고정</w:t>
            </w:r>
          </w:p>
        </w:tc>
      </w:tr>
      <w:tr>
        <w:tc>
          <w:tcPr>
            <w:tcW w:type="dxa" w:w="2055"/>
          </w:tcPr>
          <w:p>
            <w:pPr>
              <w:spacing w:before="20" w:after="20"/>
              <w:jc w:val="center"/>
            </w:pPr>
            <w:r/>
            <w:r>
              <w:rPr>
                <w:rFonts w:ascii="Times New Roman" w:hAnsi="Times New Roman"/>
                <w:b w:val="0"/>
                <w:i w:val="0"/>
                <w:sz w:val="18"/>
              </w:rPr>
              <w:t>LightGBM</w:t>
            </w:r>
          </w:p>
        </w:tc>
        <w:tc>
          <w:tcPr>
            <w:tcW w:type="dxa" w:w="2055"/>
          </w:tcPr>
          <w:p>
            <w:pPr>
              <w:spacing w:before="20" w:after="20"/>
              <w:jc w:val="center"/>
            </w:pPr>
            <w:r/>
            <w:r>
              <w:rPr>
                <w:rFonts w:ascii="Times New Roman" w:hAnsi="Times New Roman"/>
                <w:b w:val="0"/>
                <w:i w:val="0"/>
                <w:sz w:val="18"/>
              </w:rPr>
              <w:t>num_leaves</w:t>
            </w:r>
          </w:p>
        </w:tc>
        <w:tc>
          <w:tcPr>
            <w:tcW w:type="dxa" w:w="2055"/>
          </w:tcPr>
          <w:p>
            <w:pPr>
              <w:spacing w:before="20" w:after="20"/>
              <w:jc w:val="center"/>
            </w:pPr>
            <w:r/>
            <w:r>
              <w:rPr>
                <w:rFonts w:ascii="Times New Roman" w:hAnsi="Times New Roman"/>
                <w:b w:val="0"/>
                <w:i w:val="0"/>
                <w:sz w:val="18"/>
              </w:rPr>
              <w:t>{31, 63}</w:t>
            </w:r>
          </w:p>
        </w:tc>
        <w:tc>
          <w:tcPr>
            <w:tcW w:type="dxa" w:w="2055"/>
          </w:tcPr>
          <w:p>
            <w:pPr>
              <w:spacing w:before="20" w:after="20"/>
              <w:jc w:val="center"/>
            </w:pPr>
            <w:r/>
            <w:r>
              <w:rPr>
                <w:rFonts w:ascii="Times New Roman" w:hAnsi="Times New Roman"/>
                <w:b w:val="0"/>
                <w:i w:val="0"/>
                <w:sz w:val="18"/>
              </w:rPr>
              <w:t>-</w:t>
            </w:r>
          </w:p>
        </w:tc>
      </w:tr>
      <w:tr>
        <w:tc>
          <w:tcPr>
            <w:tcW w:type="dxa" w:w="2055"/>
          </w:tcPr>
          <w:p>
            <w:pPr>
              <w:spacing w:before="20" w:after="20"/>
              <w:jc w:val="center"/>
            </w:pPr>
            <w:r/>
            <w:r>
              <w:rPr>
                <w:rFonts w:ascii="Times New Roman" w:hAnsi="Times New Roman"/>
                <w:b w:val="0"/>
                <w:i w:val="0"/>
                <w:sz w:val="18"/>
              </w:rPr>
              <w:t>LightGBM</w:t>
            </w:r>
          </w:p>
        </w:tc>
        <w:tc>
          <w:tcPr>
            <w:tcW w:type="dxa" w:w="2055"/>
          </w:tcPr>
          <w:p>
            <w:pPr>
              <w:spacing w:before="20" w:after="20"/>
              <w:jc w:val="center"/>
            </w:pPr>
            <w:r/>
            <w:r>
              <w:rPr>
                <w:rFonts w:ascii="Times New Roman" w:hAnsi="Times New Roman"/>
                <w:b w:val="0"/>
                <w:i w:val="0"/>
                <w:sz w:val="18"/>
              </w:rPr>
              <w:t>learning_rate</w:t>
            </w:r>
          </w:p>
        </w:tc>
        <w:tc>
          <w:tcPr>
            <w:tcW w:type="dxa" w:w="2055"/>
          </w:tcPr>
          <w:p>
            <w:pPr>
              <w:spacing w:before="20" w:after="20"/>
              <w:jc w:val="center"/>
            </w:pPr>
            <w:r/>
            <w:r>
              <w:rPr>
                <w:rFonts w:ascii="Times New Roman" w:hAnsi="Times New Roman"/>
                <w:b w:val="0"/>
                <w:i w:val="0"/>
                <w:sz w:val="18"/>
              </w:rPr>
              <w:t>{0.05, 0.1}</w:t>
            </w:r>
          </w:p>
        </w:tc>
        <w:tc>
          <w:tcPr>
            <w:tcW w:type="dxa" w:w="2055"/>
          </w:tcPr>
          <w:p>
            <w:pPr>
              <w:spacing w:before="20" w:after="20"/>
              <w:jc w:val="center"/>
            </w:pPr>
            <w:r/>
            <w:r>
              <w:rPr>
                <w:rFonts w:ascii="Times New Roman" w:hAnsi="Times New Roman"/>
                <w:b w:val="0"/>
                <w:i w:val="0"/>
                <w:sz w:val="18"/>
              </w:rPr>
              <w:t>-</w:t>
            </w:r>
          </w:p>
        </w:tc>
      </w:tr>
      <w:tr>
        <w:tc>
          <w:tcPr>
            <w:tcW w:type="dxa" w:w="2055"/>
          </w:tcPr>
          <w:p>
            <w:pPr>
              <w:spacing w:before="20" w:after="20"/>
              <w:jc w:val="center"/>
            </w:pPr>
            <w:r/>
            <w:r>
              <w:rPr>
                <w:rFonts w:ascii="Times New Roman" w:hAnsi="Times New Roman"/>
                <w:b w:val="0"/>
                <w:i w:val="0"/>
                <w:sz w:val="18"/>
              </w:rPr>
              <w:t>MLP</w:t>
            </w:r>
          </w:p>
        </w:tc>
        <w:tc>
          <w:tcPr>
            <w:tcW w:type="dxa" w:w="2055"/>
          </w:tcPr>
          <w:p>
            <w:pPr>
              <w:spacing w:before="20" w:after="20"/>
              <w:jc w:val="center"/>
            </w:pPr>
            <w:r/>
            <w:r>
              <w:rPr>
                <w:rFonts w:ascii="Times New Roman" w:hAnsi="Times New Roman"/>
                <w:b w:val="0"/>
                <w:i w:val="0"/>
                <w:sz w:val="18"/>
              </w:rPr>
              <w:t>hidden_layers</w:t>
            </w:r>
          </w:p>
        </w:tc>
        <w:tc>
          <w:tcPr>
            <w:tcW w:type="dxa" w:w="2055"/>
          </w:tcPr>
          <w:p>
            <w:pPr>
              <w:spacing w:before="20" w:after="20"/>
              <w:jc w:val="center"/>
            </w:pPr>
            <w:r/>
            <w:r>
              <w:rPr>
                <w:rFonts w:ascii="Times New Roman" w:hAnsi="Times New Roman"/>
                <w:b w:val="0"/>
                <w:i w:val="0"/>
                <w:sz w:val="18"/>
              </w:rPr>
              <w:t>{(64,), (64,32)}</w:t>
            </w:r>
          </w:p>
        </w:tc>
        <w:tc>
          <w:tcPr>
            <w:tcW w:type="dxa" w:w="2055"/>
          </w:tcPr>
          <w:p>
            <w:pPr>
              <w:spacing w:before="20" w:after="20"/>
              <w:jc w:val="center"/>
            </w:pPr>
            <w:r/>
            <w:r>
              <w:rPr>
                <w:rFonts w:ascii="Times New Roman" w:hAnsi="Times New Roman"/>
                <w:b w:val="0"/>
                <w:i w:val="0"/>
                <w:sz w:val="18"/>
              </w:rPr>
              <w:t>seed=42 고정</w:t>
            </w:r>
          </w:p>
        </w:tc>
      </w:tr>
      <w:tr>
        <w:tc>
          <w:tcPr>
            <w:tcW w:type="dxa" w:w="2055"/>
          </w:tcPr>
          <w:p>
            <w:pPr>
              <w:spacing w:before="20" w:after="20"/>
              <w:jc w:val="center"/>
            </w:pPr>
            <w:r/>
            <w:r>
              <w:rPr>
                <w:rFonts w:ascii="Times New Roman" w:hAnsi="Times New Roman"/>
                <w:b w:val="0"/>
                <w:i w:val="0"/>
                <w:sz w:val="18"/>
              </w:rPr>
              <w:t>MLP</w:t>
            </w:r>
          </w:p>
        </w:tc>
        <w:tc>
          <w:tcPr>
            <w:tcW w:type="dxa" w:w="2055"/>
          </w:tcPr>
          <w:p>
            <w:pPr>
              <w:spacing w:before="20" w:after="20"/>
              <w:jc w:val="center"/>
            </w:pPr>
            <w:r/>
            <w:r>
              <w:rPr>
                <w:rFonts w:ascii="Times New Roman" w:hAnsi="Times New Roman"/>
                <w:b w:val="0"/>
                <w:i w:val="0"/>
                <w:sz w:val="18"/>
              </w:rPr>
              <w:t>alpha (L2)</w:t>
            </w:r>
          </w:p>
        </w:tc>
        <w:tc>
          <w:tcPr>
            <w:tcW w:type="dxa" w:w="2055"/>
          </w:tcPr>
          <w:p>
            <w:pPr>
              <w:spacing w:before="20" w:after="20"/>
              <w:jc w:val="center"/>
            </w:pPr>
            <w:r/>
            <w:r>
              <w:rPr>
                <w:rFonts w:ascii="Times New Roman" w:hAnsi="Times New Roman"/>
                <w:b w:val="0"/>
                <w:i w:val="0"/>
                <w:sz w:val="18"/>
              </w:rPr>
              <w:t>{0.0001, 0.01}</w:t>
            </w:r>
          </w:p>
        </w:tc>
        <w:tc>
          <w:tcPr>
            <w:tcW w:type="dxa" w:w="2055"/>
          </w:tcPr>
          <w:p>
            <w:pPr>
              <w:spacing w:before="20" w:after="20"/>
              <w:jc w:val="center"/>
            </w:pPr>
            <w:r/>
            <w:r>
              <w:rPr>
                <w:rFonts w:ascii="Times New Roman" w:hAnsi="Times New Roman"/>
                <w:b w:val="0"/>
                <w:i w:val="0"/>
                <w:sz w:val="18"/>
              </w:rPr>
              <w:t>sklearn MLPRegressor L2 규제</w:t>
            </w:r>
          </w:p>
        </w:tc>
      </w:tr>
      <w:tr>
        <w:tc>
          <w:tcPr>
            <w:tcW w:type="dxa" w:w="2055"/>
          </w:tcPr>
          <w:p>
            <w:pPr>
              <w:spacing w:before="20" w:after="20"/>
              <w:jc w:val="center"/>
            </w:pPr>
            <w:r/>
            <w:r>
              <w:rPr>
                <w:rFonts w:ascii="Times New Roman" w:hAnsi="Times New Roman"/>
                <w:b w:val="0"/>
                <w:i w:val="0"/>
                <w:sz w:val="18"/>
              </w:rPr>
              <w:t>MLP</w:t>
            </w:r>
          </w:p>
        </w:tc>
        <w:tc>
          <w:tcPr>
            <w:tcW w:type="dxa" w:w="2055"/>
          </w:tcPr>
          <w:p>
            <w:pPr>
              <w:spacing w:before="20" w:after="20"/>
              <w:jc w:val="center"/>
            </w:pPr>
            <w:r/>
            <w:r>
              <w:rPr>
                <w:rFonts w:ascii="Times New Roman" w:hAnsi="Times New Roman"/>
                <w:b w:val="0"/>
                <w:i w:val="0"/>
                <w:sz w:val="18"/>
              </w:rPr>
              <w:t>max_iter</w:t>
            </w:r>
          </w:p>
        </w:tc>
        <w:tc>
          <w:tcPr>
            <w:tcW w:type="dxa" w:w="2055"/>
          </w:tcPr>
          <w:p>
            <w:pPr>
              <w:spacing w:before="20" w:after="20"/>
              <w:jc w:val="center"/>
            </w:pPr>
            <w:r/>
            <w:r>
              <w:rPr>
                <w:rFonts w:ascii="Times New Roman" w:hAnsi="Times New Roman"/>
                <w:b w:val="0"/>
                <w:i w:val="0"/>
                <w:sz w:val="18"/>
              </w:rPr>
              <w:t>500</w:t>
            </w:r>
          </w:p>
        </w:tc>
        <w:tc>
          <w:tcPr>
            <w:tcW w:type="dxa" w:w="2055"/>
          </w:tcPr>
          <w:p>
            <w:pPr>
              <w:spacing w:before="20" w:after="20"/>
              <w:jc w:val="center"/>
            </w:pPr>
            <w:r/>
            <w:r>
              <w:rPr>
                <w:rFonts w:ascii="Times New Roman" w:hAnsi="Times New Roman"/>
                <w:b w:val="0"/>
                <w:i w:val="0"/>
                <w:sz w:val="18"/>
              </w:rPr>
              <w:t>early_stopping=True, n_iter_no_change=20</w:t>
            </w:r>
          </w:p>
        </w:tc>
      </w:tr>
      <w:tr>
        <w:tc>
          <w:tcPr>
            <w:tcW w:type="dxa" w:w="2055"/>
          </w:tcPr>
          <w:p>
            <w:pPr>
              <w:spacing w:before="20" w:after="20"/>
              <w:jc w:val="center"/>
            </w:pPr>
            <w:r/>
            <w:r>
              <w:rPr>
                <w:rFonts w:ascii="Times New Roman" w:hAnsi="Times New Roman"/>
                <w:b w:val="0"/>
                <w:i w:val="0"/>
                <w:sz w:val="18"/>
              </w:rPr>
              <w:t>BiLSTM-A</w:t>
            </w:r>
          </w:p>
        </w:tc>
        <w:tc>
          <w:tcPr>
            <w:tcW w:type="dxa" w:w="2055"/>
          </w:tcPr>
          <w:p>
            <w:pPr>
              <w:spacing w:before="20" w:after="20"/>
              <w:jc w:val="center"/>
            </w:pPr>
            <w:r/>
            <w:r>
              <w:rPr>
                <w:rFonts w:ascii="Times New Roman" w:hAnsi="Times New Roman"/>
                <w:b w:val="0"/>
                <w:i w:val="0"/>
                <w:sz w:val="18"/>
              </w:rPr>
              <w:t>hidden_units</w:t>
            </w:r>
          </w:p>
        </w:tc>
        <w:tc>
          <w:tcPr>
            <w:tcW w:type="dxa" w:w="2055"/>
          </w:tcPr>
          <w:p>
            <w:pPr>
              <w:spacing w:before="20" w:after="20"/>
              <w:jc w:val="center"/>
            </w:pPr>
            <w:r/>
            <w:r>
              <w:rPr>
                <w:rFonts w:ascii="Times New Roman" w:hAnsi="Times New Roman"/>
                <w:b w:val="0"/>
                <w:i w:val="0"/>
                <w:sz w:val="18"/>
              </w:rPr>
              <w:t>{32, 64}</w:t>
            </w:r>
          </w:p>
        </w:tc>
        <w:tc>
          <w:tcPr>
            <w:tcW w:type="dxa" w:w="2055"/>
          </w:tcPr>
          <w:p>
            <w:pPr>
              <w:spacing w:before="20" w:after="20"/>
              <w:jc w:val="center"/>
            </w:pPr>
            <w:r/>
            <w:r>
              <w:rPr>
                <w:rFonts w:ascii="Times New Roman" w:hAnsi="Times New Roman"/>
                <w:b w:val="0"/>
                <w:i w:val="0"/>
                <w:sz w:val="18"/>
              </w:rPr>
              <w:t>seed=42 고정</w:t>
            </w:r>
          </w:p>
        </w:tc>
      </w:tr>
      <w:tr>
        <w:tc>
          <w:tcPr>
            <w:tcW w:type="dxa" w:w="2055"/>
          </w:tcPr>
          <w:p>
            <w:pPr>
              <w:spacing w:before="20" w:after="20"/>
              <w:jc w:val="center"/>
            </w:pPr>
            <w:r/>
            <w:r>
              <w:rPr>
                <w:rFonts w:ascii="Times New Roman" w:hAnsi="Times New Roman"/>
                <w:b w:val="0"/>
                <w:i w:val="0"/>
                <w:sz w:val="18"/>
              </w:rPr>
              <w:t>BiLSTM-A</w:t>
            </w:r>
          </w:p>
        </w:tc>
        <w:tc>
          <w:tcPr>
            <w:tcW w:type="dxa" w:w="2055"/>
          </w:tcPr>
          <w:p>
            <w:pPr>
              <w:spacing w:before="20" w:after="20"/>
              <w:jc w:val="center"/>
            </w:pPr>
            <w:r/>
            <w:r>
              <w:rPr>
                <w:rFonts w:ascii="Times New Roman" w:hAnsi="Times New Roman"/>
                <w:b w:val="0"/>
                <w:i w:val="0"/>
                <w:sz w:val="18"/>
              </w:rPr>
              <w:t>dropout</w:t>
            </w:r>
          </w:p>
        </w:tc>
        <w:tc>
          <w:tcPr>
            <w:tcW w:type="dxa" w:w="2055"/>
          </w:tcPr>
          <w:p>
            <w:pPr>
              <w:spacing w:before="20" w:after="20"/>
              <w:jc w:val="center"/>
            </w:pPr>
            <w:r/>
            <w:r>
              <w:rPr>
                <w:rFonts w:ascii="Times New Roman" w:hAnsi="Times New Roman"/>
                <w:b w:val="0"/>
                <w:i w:val="0"/>
                <w:sz w:val="18"/>
              </w:rPr>
              <w:t>{0.1, 0.3}</w:t>
            </w:r>
          </w:p>
        </w:tc>
        <w:tc>
          <w:tcPr>
            <w:tcW w:type="dxa" w:w="2055"/>
          </w:tcPr>
          <w:p>
            <w:pPr>
              <w:spacing w:before="20" w:after="20"/>
              <w:jc w:val="center"/>
            </w:pPr>
            <w:r/>
            <w:r>
              <w:rPr>
                <w:rFonts w:ascii="Times New Roman" w:hAnsi="Times New Roman"/>
                <w:b w:val="0"/>
                <w:i w:val="0"/>
                <w:sz w:val="18"/>
              </w:rPr>
              <w:t>seq_len=22 고정</w:t>
            </w:r>
          </w:p>
        </w:tc>
      </w:tr>
      <w:tr>
        <w:tc>
          <w:tcPr>
            <w:tcW w:type="dxa" w:w="2055"/>
          </w:tcPr>
          <w:p>
            <w:pPr>
              <w:spacing w:before="20" w:after="20"/>
              <w:jc w:val="center"/>
            </w:pPr>
            <w:r/>
            <w:r>
              <w:rPr>
                <w:rFonts w:ascii="Times New Roman" w:hAnsi="Times New Roman"/>
                <w:b w:val="0"/>
                <w:i w:val="0"/>
                <w:sz w:val="18"/>
              </w:rPr>
              <w:t>BiLSTM-A</w:t>
            </w:r>
          </w:p>
        </w:tc>
        <w:tc>
          <w:tcPr>
            <w:tcW w:type="dxa" w:w="2055"/>
          </w:tcPr>
          <w:p>
            <w:pPr>
              <w:spacing w:before="20" w:after="20"/>
              <w:jc w:val="center"/>
            </w:pPr>
            <w:r/>
            <w:r>
              <w:rPr>
                <w:rFonts w:ascii="Times New Roman" w:hAnsi="Times New Roman"/>
                <w:b w:val="0"/>
                <w:i w:val="0"/>
                <w:sz w:val="18"/>
              </w:rPr>
              <w:t>optimizer</w:t>
            </w:r>
          </w:p>
        </w:tc>
        <w:tc>
          <w:tcPr>
            <w:tcW w:type="dxa" w:w="2055"/>
          </w:tcPr>
          <w:p>
            <w:pPr>
              <w:spacing w:before="20" w:after="20"/>
              <w:jc w:val="center"/>
            </w:pPr>
            <w:r/>
            <w:r>
              <w:rPr>
                <w:rFonts w:ascii="Times New Roman" w:hAnsi="Times New Roman"/>
                <w:b w:val="0"/>
                <w:i w:val="0"/>
                <w:sz w:val="18"/>
              </w:rPr>
              <w:t>Adam</w:t>
            </w:r>
          </w:p>
        </w:tc>
        <w:tc>
          <w:tcPr>
            <w:tcW w:type="dxa" w:w="2055"/>
          </w:tcPr>
          <w:p>
            <w:pPr>
              <w:spacing w:before="20" w:after="20"/>
              <w:jc w:val="center"/>
            </w:pPr>
            <w:r/>
            <w:r>
              <w:rPr>
                <w:rFonts w:ascii="Times New Roman" w:hAnsi="Times New Roman"/>
                <w:b w:val="0"/>
                <w:i w:val="0"/>
                <w:sz w:val="18"/>
              </w:rPr>
              <w:t>lr=0.001</w:t>
            </w:r>
          </w:p>
        </w:tc>
      </w:tr>
      <w:tr>
        <w:tc>
          <w:tcPr>
            <w:tcW w:type="dxa" w:w="2055"/>
          </w:tcPr>
          <w:p>
            <w:pPr>
              <w:spacing w:before="20" w:after="20"/>
              <w:jc w:val="center"/>
            </w:pPr>
            <w:r/>
            <w:r>
              <w:rPr>
                <w:rFonts w:ascii="Times New Roman" w:hAnsi="Times New Roman"/>
                <w:b w:val="0"/>
                <w:i w:val="0"/>
                <w:sz w:val="18"/>
              </w:rPr>
              <w:t>BiLSTM-A</w:t>
            </w:r>
          </w:p>
        </w:tc>
        <w:tc>
          <w:tcPr>
            <w:tcW w:type="dxa" w:w="2055"/>
          </w:tcPr>
          <w:p>
            <w:pPr>
              <w:spacing w:before="20" w:after="20"/>
              <w:jc w:val="center"/>
            </w:pPr>
            <w:r/>
            <w:r>
              <w:rPr>
                <w:rFonts w:ascii="Times New Roman" w:hAnsi="Times New Roman"/>
                <w:b w:val="0"/>
                <w:i w:val="0"/>
                <w:sz w:val="18"/>
              </w:rPr>
              <w:t>batch_size</w:t>
            </w:r>
          </w:p>
        </w:tc>
        <w:tc>
          <w:tcPr>
            <w:tcW w:type="dxa" w:w="2055"/>
          </w:tcPr>
          <w:p>
            <w:pPr>
              <w:spacing w:before="20" w:after="20"/>
              <w:jc w:val="center"/>
            </w:pPr>
            <w:r/>
            <w:r>
              <w:rPr>
                <w:rFonts w:ascii="Times New Roman" w:hAnsi="Times New Roman"/>
                <w:b w:val="0"/>
                <w:i w:val="0"/>
                <w:sz w:val="18"/>
              </w:rPr>
              <w:t>64</w:t>
            </w:r>
          </w:p>
        </w:tc>
        <w:tc>
          <w:tcPr>
            <w:tcW w:type="dxa" w:w="2055"/>
          </w:tcPr>
          <w:p>
            <w:pPr>
              <w:spacing w:before="20" w:after="20"/>
              <w:jc w:val="center"/>
            </w:pPr>
            <w:r/>
            <w:r>
              <w:rPr>
                <w:rFonts w:ascii="Times New Roman" w:hAnsi="Times New Roman"/>
                <w:b w:val="0"/>
                <w:i w:val="0"/>
                <w:sz w:val="18"/>
              </w:rPr>
              <w:t>epochs: 15(튜닝) / 20(최종)</w:t>
            </w:r>
          </w:p>
        </w:tc>
      </w:tr>
      <w:tr>
        <w:tc>
          <w:tcPr>
            <w:tcW w:type="dxa" w:w="2055"/>
          </w:tcPr>
          <w:p>
            <w:pPr>
              <w:spacing w:before="20" w:after="20"/>
              <w:jc w:val="center"/>
            </w:pPr>
            <w:r/>
            <w:r>
              <w:rPr>
                <w:rFonts w:ascii="Times New Roman" w:hAnsi="Times New Roman"/>
                <w:b w:val="0"/>
                <w:i w:val="0"/>
                <w:sz w:val="18"/>
              </w:rPr>
              <w:t>WEns</w:t>
            </w:r>
          </w:p>
        </w:tc>
        <w:tc>
          <w:tcPr>
            <w:tcW w:type="dxa" w:w="2055"/>
          </w:tcPr>
          <w:p>
            <w:pPr>
              <w:spacing w:before="20" w:after="20"/>
              <w:jc w:val="center"/>
            </w:pPr>
            <w:r/>
            <w:r>
              <w:rPr>
                <w:rFonts w:ascii="Times New Roman" w:hAnsi="Times New Roman"/>
                <w:b w:val="0"/>
                <w:i w:val="0"/>
                <w:sz w:val="18"/>
              </w:rPr>
              <w:t>pw</w:t>
            </w:r>
          </w:p>
        </w:tc>
        <w:tc>
          <w:tcPr>
            <w:tcW w:type="dxa" w:w="2055"/>
          </w:tcPr>
          <w:p>
            <w:pPr>
              <w:spacing w:before="20" w:after="20"/>
              <w:jc w:val="center"/>
            </w:pPr>
            <w:r/>
            <w:r>
              <w:rPr>
                <w:rFonts w:ascii="Times New Roman" w:hAnsi="Times New Roman"/>
                <w:b w:val="0"/>
                <w:i w:val="0"/>
                <w:sz w:val="18"/>
              </w:rPr>
              <w:t>{0.4, 0.5, 0.6, 0.7, 0.8, 0.9}</w:t>
            </w:r>
          </w:p>
        </w:tc>
        <w:tc>
          <w:tcPr>
            <w:tcW w:type="dxa" w:w="2055"/>
          </w:tcPr>
          <w:p>
            <w:pPr>
              <w:spacing w:before="20" w:after="20"/>
              <w:jc w:val="center"/>
            </w:pPr>
            <w:r/>
            <w:r>
              <w:rPr>
                <w:rFonts w:ascii="Times New Roman" w:hAnsi="Times New Roman"/>
                <w:b w:val="0"/>
                <w:i w:val="0"/>
                <w:sz w:val="18"/>
              </w:rPr>
              <w:t>기간별 적응 선택</w:t>
            </w:r>
          </w:p>
        </w:tc>
      </w:tr>
    </w:tbl>
    <w:p/>
    <w:p>
      <w:r>
        <w:br w:type="page"/>
      </w:r>
    </w:p>
    <w:p>
      <w:pPr>
        <w:spacing w:before="240" w:after="120" w:lineRule="auto" w:line="360"/>
        <w:jc w:val="left"/>
      </w:pPr>
      <w:r>
        <w:rPr>
          <w:rFonts w:ascii="Times New Roman" w:hAnsi="Times New Roman"/>
          <w:b/>
          <w:i w:val="0"/>
          <w:sz w:val="24"/>
        </w:rPr>
        <w:t>부록 C. 추가 성능표 (기간별 피처 중요도 합의, DM 검정 결과)</w:t>
      </w:r>
    </w:p>
    <w:p>
      <w:pPr>
        <w:spacing w:before="60" w:after="60" w:lineRule="auto" w:line="288"/>
        <w:jc w:val="center"/>
      </w:pPr>
      <w:r>
        <w:rPr>
          <w:rFonts w:ascii="Times New Roman" w:hAnsi="Times New Roman"/>
          <w:b w:val="0"/>
          <w:i w:val="0"/>
          <w:sz w:val="20"/>
        </w:rPr>
        <w:t>표 C-1. 기간별 피처 중요도 합의 (상위 10개 피처, 평균 순위 점수)  /  Table C-1. Feature Importance Consensus by Horizon (Top 10, Average Rank Score)</w:t>
      </w:r>
    </w:p>
    <w:tbl>
      <w:tblPr>
        <w:tblStyle w:val="TableGrid"/>
        <w:tblW w:type="auto" w:w="0"/>
        <w:jc w:val="center"/>
        <w:tblLook w:firstColumn="1" w:firstRow="1" w:lastColumn="0" w:lastRow="0" w:noHBand="0" w:noVBand="1" w:val="04A0"/>
      </w:tblPr>
      <w:tblGrid>
        <w:gridCol w:w="913"/>
        <w:gridCol w:w="913"/>
        <w:gridCol w:w="913"/>
        <w:gridCol w:w="913"/>
        <w:gridCol w:w="913"/>
        <w:gridCol w:w="913"/>
        <w:gridCol w:w="913"/>
        <w:gridCol w:w="913"/>
        <w:gridCol w:w="913"/>
      </w:tblGrid>
      <w:tr>
        <w:tc>
          <w:tcPr>
            <w:tcW w:type="dxa" w:w="913"/>
          </w:tcPr>
          <w:p>
            <w:pPr>
              <w:spacing w:before="20" w:after="20"/>
              <w:jc w:val="center"/>
            </w:pPr>
            <w:r/>
            <w:r>
              <w:rPr>
                <w:rFonts w:ascii="Times New Roman" w:hAnsi="Times New Roman"/>
                <w:b/>
                <w:i w:val="0"/>
                <w:sz w:val="18"/>
              </w:rPr>
              <w:t>Feature</w:t>
            </w:r>
          </w:p>
        </w:tc>
        <w:tc>
          <w:tcPr>
            <w:tcW w:type="dxa" w:w="913"/>
          </w:tcPr>
          <w:p>
            <w:pPr>
              <w:spacing w:before="20" w:after="20"/>
              <w:jc w:val="center"/>
            </w:pPr>
            <w:r/>
            <w:r>
              <w:rPr>
                <w:rFonts w:ascii="Times New Roman" w:hAnsi="Times New Roman"/>
                <w:b/>
                <w:i w:val="0"/>
                <w:sz w:val="18"/>
              </w:rPr>
              <w:t>1d</w:t>
            </w:r>
          </w:p>
        </w:tc>
        <w:tc>
          <w:tcPr>
            <w:tcW w:type="dxa" w:w="913"/>
          </w:tcPr>
          <w:p>
            <w:pPr>
              <w:spacing w:before="20" w:after="20"/>
              <w:jc w:val="center"/>
            </w:pPr>
            <w:r/>
            <w:r>
              <w:rPr>
                <w:rFonts w:ascii="Times New Roman" w:hAnsi="Times New Roman"/>
                <w:b/>
                <w:i w:val="0"/>
                <w:sz w:val="18"/>
              </w:rPr>
              <w:t>5d</w:t>
            </w:r>
          </w:p>
        </w:tc>
        <w:tc>
          <w:tcPr>
            <w:tcW w:type="dxa" w:w="913"/>
          </w:tcPr>
          <w:p>
            <w:pPr>
              <w:spacing w:before="20" w:after="20"/>
              <w:jc w:val="center"/>
            </w:pPr>
            <w:r/>
            <w:r>
              <w:rPr>
                <w:rFonts w:ascii="Times New Roman" w:hAnsi="Times New Roman"/>
                <w:b/>
                <w:i w:val="0"/>
                <w:sz w:val="18"/>
              </w:rPr>
              <w:t>22d</w:t>
            </w:r>
          </w:p>
        </w:tc>
        <w:tc>
          <w:tcPr>
            <w:tcW w:type="dxa" w:w="913"/>
          </w:tcPr>
          <w:p>
            <w:pPr>
              <w:spacing w:before="20" w:after="20"/>
              <w:jc w:val="center"/>
            </w:pPr>
            <w:r/>
            <w:r>
              <w:rPr>
                <w:rFonts w:ascii="Times New Roman" w:hAnsi="Times New Roman"/>
                <w:b/>
                <w:i w:val="0"/>
                <w:sz w:val="18"/>
              </w:rPr>
              <w:t>60d</w:t>
            </w:r>
          </w:p>
        </w:tc>
        <w:tc>
          <w:tcPr>
            <w:tcW w:type="dxa" w:w="913"/>
          </w:tcPr>
          <w:p>
            <w:pPr>
              <w:spacing w:before="20" w:after="20"/>
              <w:jc w:val="center"/>
            </w:pPr>
            <w:r/>
            <w:r>
              <w:rPr>
                <w:rFonts w:ascii="Times New Roman" w:hAnsi="Times New Roman"/>
                <w:b/>
                <w:i w:val="0"/>
                <w:sz w:val="18"/>
              </w:rPr>
              <w:t>90d</w:t>
            </w:r>
          </w:p>
        </w:tc>
        <w:tc>
          <w:tcPr>
            <w:tcW w:type="dxa" w:w="913"/>
          </w:tcPr>
          <w:p>
            <w:pPr>
              <w:spacing w:before="20" w:after="20"/>
              <w:jc w:val="center"/>
            </w:pPr>
            <w:r/>
            <w:r>
              <w:rPr>
                <w:rFonts w:ascii="Times New Roman" w:hAnsi="Times New Roman"/>
                <w:b/>
                <w:i w:val="0"/>
                <w:sz w:val="18"/>
              </w:rPr>
              <w:t>120d</w:t>
            </w:r>
          </w:p>
        </w:tc>
        <w:tc>
          <w:tcPr>
            <w:tcW w:type="dxa" w:w="913"/>
          </w:tcPr>
          <w:p>
            <w:pPr>
              <w:spacing w:before="20" w:after="20"/>
              <w:jc w:val="center"/>
            </w:pPr>
            <w:r/>
            <w:r>
              <w:rPr>
                <w:rFonts w:ascii="Times New Roman" w:hAnsi="Times New Roman"/>
                <w:b/>
                <w:i w:val="0"/>
                <w:sz w:val="18"/>
              </w:rPr>
              <w:t>180d</w:t>
            </w:r>
          </w:p>
        </w:tc>
        <w:tc>
          <w:tcPr>
            <w:tcW w:type="dxa" w:w="913"/>
          </w:tcPr>
          <w:p>
            <w:pPr>
              <w:spacing w:before="20" w:after="20"/>
              <w:jc w:val="center"/>
            </w:pPr>
            <w:r/>
            <w:r>
              <w:rPr>
                <w:rFonts w:ascii="Times New Roman" w:hAnsi="Times New Roman"/>
                <w:b/>
                <w:i w:val="0"/>
                <w:sz w:val="18"/>
              </w:rPr>
              <w:t>252d</w:t>
            </w:r>
          </w:p>
        </w:tc>
      </w:tr>
      <w:tr>
        <w:tc>
          <w:tcPr>
            <w:tcW w:type="dxa" w:w="913"/>
          </w:tcPr>
          <w:p>
            <w:pPr>
              <w:spacing w:before="20" w:after="20"/>
              <w:jc w:val="center"/>
            </w:pPr>
            <w:r/>
            <w:r>
              <w:rPr>
                <w:rFonts w:ascii="Times New Roman" w:hAnsi="Times New Roman"/>
                <w:b w:val="0"/>
                <w:i w:val="0"/>
                <w:sz w:val="18"/>
              </w:rPr>
              <w:t>RogersSatchell_22</w:t>
            </w:r>
          </w:p>
        </w:tc>
        <w:tc>
          <w:tcPr>
            <w:tcW w:type="dxa" w:w="913"/>
          </w:tcPr>
          <w:p>
            <w:pPr>
              <w:spacing w:before="20" w:after="20"/>
              <w:jc w:val="center"/>
            </w:pPr>
            <w:r/>
            <w:r>
              <w:rPr>
                <w:rFonts w:ascii="Times New Roman" w:hAnsi="Times New Roman"/>
                <w:b w:val="0"/>
                <w:i w:val="0"/>
                <w:sz w:val="18"/>
              </w:rPr>
              <w:t>8.320</w:t>
            </w:r>
          </w:p>
        </w:tc>
        <w:tc>
          <w:tcPr>
            <w:tcW w:type="dxa" w:w="913"/>
          </w:tcPr>
          <w:p>
            <w:pPr>
              <w:spacing w:before="20" w:after="20"/>
              <w:jc w:val="center"/>
            </w:pPr>
            <w:r/>
            <w:r>
              <w:rPr>
                <w:rFonts w:ascii="Times New Roman" w:hAnsi="Times New Roman"/>
                <w:b w:val="0"/>
                <w:i w:val="0"/>
                <w:sz w:val="18"/>
              </w:rPr>
              <w:t>13.431</w:t>
            </w:r>
          </w:p>
        </w:tc>
        <w:tc>
          <w:tcPr>
            <w:tcW w:type="dxa" w:w="913"/>
          </w:tcPr>
          <w:p>
            <w:pPr>
              <w:spacing w:before="20" w:after="20"/>
              <w:jc w:val="center"/>
            </w:pPr>
            <w:r/>
            <w:r>
              <w:rPr>
                <w:rFonts w:ascii="Times New Roman" w:hAnsi="Times New Roman"/>
                <w:b w:val="0"/>
                <w:i w:val="0"/>
                <w:sz w:val="18"/>
              </w:rPr>
              <w:t>20.872</w:t>
            </w:r>
          </w:p>
        </w:tc>
        <w:tc>
          <w:tcPr>
            <w:tcW w:type="dxa" w:w="913"/>
          </w:tcPr>
          <w:p>
            <w:pPr>
              <w:spacing w:before="20" w:after="20"/>
              <w:jc w:val="center"/>
            </w:pPr>
            <w:r/>
            <w:r>
              <w:rPr>
                <w:rFonts w:ascii="Times New Roman" w:hAnsi="Times New Roman"/>
                <w:b w:val="0"/>
                <w:i w:val="0"/>
                <w:sz w:val="18"/>
              </w:rPr>
              <w:t>22.318</w:t>
            </w:r>
          </w:p>
        </w:tc>
        <w:tc>
          <w:tcPr>
            <w:tcW w:type="dxa" w:w="913"/>
          </w:tcPr>
          <w:p>
            <w:pPr>
              <w:spacing w:before="20" w:after="20"/>
              <w:jc w:val="center"/>
            </w:pPr>
            <w:r/>
            <w:r>
              <w:rPr>
                <w:rFonts w:ascii="Times New Roman" w:hAnsi="Times New Roman"/>
                <w:b w:val="0"/>
                <w:i w:val="0"/>
                <w:sz w:val="18"/>
              </w:rPr>
              <w:t>13.690</w:t>
            </w:r>
          </w:p>
        </w:tc>
        <w:tc>
          <w:tcPr>
            <w:tcW w:type="dxa" w:w="913"/>
          </w:tcPr>
          <w:p>
            <w:pPr>
              <w:spacing w:before="20" w:after="20"/>
              <w:jc w:val="center"/>
            </w:pPr>
            <w:r/>
            <w:r>
              <w:rPr>
                <w:rFonts w:ascii="Times New Roman" w:hAnsi="Times New Roman"/>
                <w:b w:val="0"/>
                <w:i w:val="0"/>
                <w:sz w:val="18"/>
              </w:rPr>
              <w:t>8.897</w:t>
            </w:r>
          </w:p>
        </w:tc>
        <w:tc>
          <w:tcPr>
            <w:tcW w:type="dxa" w:w="913"/>
          </w:tcPr>
          <w:p>
            <w:pPr>
              <w:spacing w:before="20" w:after="20"/>
              <w:jc w:val="center"/>
            </w:pPr>
            <w:r/>
            <w:r>
              <w:rPr>
                <w:rFonts w:ascii="Times New Roman" w:hAnsi="Times New Roman"/>
                <w:b w:val="0"/>
                <w:i w:val="0"/>
                <w:sz w:val="18"/>
              </w:rPr>
              <w:t>10.815</w:t>
            </w:r>
          </w:p>
        </w:tc>
        <w:tc>
          <w:tcPr>
            <w:tcW w:type="dxa" w:w="913"/>
          </w:tcPr>
          <w:p>
            <w:pPr>
              <w:spacing w:before="20" w:after="20"/>
              <w:jc w:val="center"/>
            </w:pPr>
            <w:r/>
            <w:r>
              <w:rPr>
                <w:rFonts w:ascii="Times New Roman" w:hAnsi="Times New Roman"/>
                <w:b w:val="0"/>
                <w:i w:val="0"/>
                <w:sz w:val="18"/>
              </w:rPr>
              <w:t>9.479</w:t>
            </w:r>
          </w:p>
        </w:tc>
      </w:tr>
      <w:tr>
        <w:tc>
          <w:tcPr>
            <w:tcW w:type="dxa" w:w="913"/>
          </w:tcPr>
          <w:p>
            <w:pPr>
              <w:spacing w:before="20" w:after="20"/>
              <w:jc w:val="center"/>
            </w:pPr>
            <w:r/>
            <w:r>
              <w:rPr>
                <w:rFonts w:ascii="Times New Roman" w:hAnsi="Times New Roman"/>
                <w:b w:val="0"/>
                <w:i w:val="0"/>
                <w:sz w:val="18"/>
              </w:rPr>
              <w:t>LogRV_lag1</w:t>
            </w:r>
          </w:p>
        </w:tc>
        <w:tc>
          <w:tcPr>
            <w:tcW w:type="dxa" w:w="913"/>
          </w:tcPr>
          <w:p>
            <w:pPr>
              <w:spacing w:before="20" w:after="20"/>
              <w:jc w:val="center"/>
            </w:pPr>
            <w:r/>
            <w:r>
              <w:rPr>
                <w:rFonts w:ascii="Times New Roman" w:hAnsi="Times New Roman"/>
                <w:b w:val="0"/>
                <w:i w:val="0"/>
                <w:sz w:val="18"/>
              </w:rPr>
              <w:t>6.790</w:t>
            </w:r>
          </w:p>
        </w:tc>
        <w:tc>
          <w:tcPr>
            <w:tcW w:type="dxa" w:w="913"/>
          </w:tcPr>
          <w:p>
            <w:pPr>
              <w:spacing w:before="20" w:after="20"/>
              <w:jc w:val="center"/>
            </w:pPr>
            <w:r/>
            <w:r>
              <w:rPr>
                <w:rFonts w:ascii="Times New Roman" w:hAnsi="Times New Roman"/>
                <w:b w:val="0"/>
                <w:i w:val="0"/>
                <w:sz w:val="18"/>
              </w:rPr>
              <w:t>10.661</w:t>
            </w:r>
          </w:p>
        </w:tc>
        <w:tc>
          <w:tcPr>
            <w:tcW w:type="dxa" w:w="913"/>
          </w:tcPr>
          <w:p>
            <w:pPr>
              <w:spacing w:before="20" w:after="20"/>
              <w:jc w:val="center"/>
            </w:pPr>
            <w:r/>
            <w:r>
              <w:rPr>
                <w:rFonts w:ascii="Times New Roman" w:hAnsi="Times New Roman"/>
                <w:b w:val="0"/>
                <w:i w:val="0"/>
                <w:sz w:val="18"/>
              </w:rPr>
              <w:t>13.225</w:t>
            </w:r>
          </w:p>
        </w:tc>
        <w:tc>
          <w:tcPr>
            <w:tcW w:type="dxa" w:w="913"/>
          </w:tcPr>
          <w:p>
            <w:pPr>
              <w:spacing w:before="20" w:after="20"/>
              <w:jc w:val="center"/>
            </w:pPr>
            <w:r/>
            <w:r>
              <w:rPr>
                <w:rFonts w:ascii="Times New Roman" w:hAnsi="Times New Roman"/>
                <w:b w:val="0"/>
                <w:i w:val="0"/>
                <w:sz w:val="18"/>
              </w:rPr>
              <w:t>10.352</w:t>
            </w:r>
          </w:p>
        </w:tc>
        <w:tc>
          <w:tcPr>
            <w:tcW w:type="dxa" w:w="913"/>
          </w:tcPr>
          <w:p>
            <w:pPr>
              <w:spacing w:before="20" w:after="20"/>
              <w:jc w:val="center"/>
            </w:pPr>
            <w:r/>
            <w:r>
              <w:rPr>
                <w:rFonts w:ascii="Times New Roman" w:hAnsi="Times New Roman"/>
                <w:b w:val="0"/>
                <w:i w:val="0"/>
                <w:sz w:val="18"/>
              </w:rPr>
              <w:t>8.843</w:t>
            </w:r>
          </w:p>
        </w:tc>
        <w:tc>
          <w:tcPr>
            <w:tcW w:type="dxa" w:w="913"/>
          </w:tcPr>
          <w:p>
            <w:pPr>
              <w:spacing w:before="20" w:after="20"/>
              <w:jc w:val="center"/>
            </w:pPr>
            <w:r/>
            <w:r>
              <w:rPr>
                <w:rFonts w:ascii="Times New Roman" w:hAnsi="Times New Roman"/>
                <w:b w:val="0"/>
                <w:i w:val="0"/>
                <w:sz w:val="18"/>
              </w:rPr>
              <w:t>8.360</w:t>
            </w:r>
          </w:p>
        </w:tc>
        <w:tc>
          <w:tcPr>
            <w:tcW w:type="dxa" w:w="913"/>
          </w:tcPr>
          <w:p>
            <w:pPr>
              <w:spacing w:before="20" w:after="20"/>
              <w:jc w:val="center"/>
            </w:pPr>
            <w:r/>
            <w:r>
              <w:rPr>
                <w:rFonts w:ascii="Times New Roman" w:hAnsi="Times New Roman"/>
                <w:b w:val="0"/>
                <w:i w:val="0"/>
                <w:sz w:val="18"/>
              </w:rPr>
              <w:t>7.234</w:t>
            </w:r>
          </w:p>
        </w:tc>
        <w:tc>
          <w:tcPr>
            <w:tcW w:type="dxa" w:w="913"/>
          </w:tcPr>
          <w:p>
            <w:pPr>
              <w:spacing w:before="20" w:after="20"/>
              <w:jc w:val="center"/>
            </w:pPr>
            <w:r/>
            <w:r>
              <w:rPr>
                <w:rFonts w:ascii="Times New Roman" w:hAnsi="Times New Roman"/>
                <w:b w:val="0"/>
                <w:i w:val="0"/>
                <w:sz w:val="18"/>
              </w:rPr>
              <w:t>7.145</w:t>
            </w:r>
          </w:p>
        </w:tc>
      </w:tr>
      <w:tr>
        <w:tc>
          <w:tcPr>
            <w:tcW w:type="dxa" w:w="913"/>
          </w:tcPr>
          <w:p>
            <w:pPr>
              <w:spacing w:before="20" w:after="20"/>
              <w:jc w:val="center"/>
            </w:pPr>
            <w:r/>
            <w:r>
              <w:rPr>
                <w:rFonts w:ascii="Times New Roman" w:hAnsi="Times New Roman"/>
                <w:b w:val="0"/>
                <w:i w:val="0"/>
                <w:sz w:val="18"/>
              </w:rPr>
              <w:t>Range_Close_Ratio</w:t>
            </w:r>
          </w:p>
        </w:tc>
        <w:tc>
          <w:tcPr>
            <w:tcW w:type="dxa" w:w="913"/>
          </w:tcPr>
          <w:p>
            <w:pPr>
              <w:spacing w:before="20" w:after="20"/>
              <w:jc w:val="center"/>
            </w:pPr>
            <w:r/>
            <w:r>
              <w:rPr>
                <w:rFonts w:ascii="Times New Roman" w:hAnsi="Times New Roman"/>
                <w:b w:val="0"/>
                <w:i w:val="0"/>
                <w:sz w:val="18"/>
              </w:rPr>
              <w:t>10.792</w:t>
            </w:r>
          </w:p>
        </w:tc>
        <w:tc>
          <w:tcPr>
            <w:tcW w:type="dxa" w:w="913"/>
          </w:tcPr>
          <w:p>
            <w:pPr>
              <w:spacing w:before="20" w:after="20"/>
              <w:jc w:val="center"/>
            </w:pPr>
            <w:r/>
            <w:r>
              <w:rPr>
                <w:rFonts w:ascii="Times New Roman" w:hAnsi="Times New Roman"/>
                <w:b w:val="0"/>
                <w:i w:val="0"/>
                <w:sz w:val="18"/>
              </w:rPr>
              <w:t>5.892</w:t>
            </w:r>
          </w:p>
        </w:tc>
        <w:tc>
          <w:tcPr>
            <w:tcW w:type="dxa" w:w="913"/>
          </w:tcPr>
          <w:p>
            <w:pPr>
              <w:spacing w:before="20" w:after="20"/>
              <w:jc w:val="center"/>
            </w:pPr>
            <w:r/>
            <w:r>
              <w:rPr>
                <w:rFonts w:ascii="Times New Roman" w:hAnsi="Times New Roman"/>
                <w:b w:val="0"/>
                <w:i w:val="0"/>
                <w:sz w:val="18"/>
              </w:rPr>
              <w:t>7.552</w:t>
            </w:r>
          </w:p>
        </w:tc>
        <w:tc>
          <w:tcPr>
            <w:tcW w:type="dxa" w:w="913"/>
          </w:tcPr>
          <w:p>
            <w:pPr>
              <w:spacing w:before="20" w:after="20"/>
              <w:jc w:val="center"/>
            </w:pPr>
            <w:r/>
            <w:r>
              <w:rPr>
                <w:rFonts w:ascii="Times New Roman" w:hAnsi="Times New Roman"/>
                <w:b w:val="0"/>
                <w:i w:val="0"/>
                <w:sz w:val="18"/>
              </w:rPr>
              <w:t>6.081</w:t>
            </w:r>
          </w:p>
        </w:tc>
        <w:tc>
          <w:tcPr>
            <w:tcW w:type="dxa" w:w="913"/>
          </w:tcPr>
          <w:p>
            <w:pPr>
              <w:spacing w:before="20" w:after="20"/>
              <w:jc w:val="center"/>
            </w:pPr>
            <w:r/>
            <w:r>
              <w:rPr>
                <w:rFonts w:ascii="Times New Roman" w:hAnsi="Times New Roman"/>
                <w:b w:val="0"/>
                <w:i w:val="0"/>
                <w:sz w:val="18"/>
              </w:rPr>
              <w:t>6.441</w:t>
            </w:r>
          </w:p>
        </w:tc>
        <w:tc>
          <w:tcPr>
            <w:tcW w:type="dxa" w:w="913"/>
          </w:tcPr>
          <w:p>
            <w:pPr>
              <w:spacing w:before="20" w:after="20"/>
              <w:jc w:val="center"/>
            </w:pPr>
            <w:r/>
            <w:r>
              <w:rPr>
                <w:rFonts w:ascii="Times New Roman" w:hAnsi="Times New Roman"/>
                <w:b w:val="0"/>
                <w:i w:val="0"/>
                <w:sz w:val="18"/>
              </w:rPr>
              <w:t>3.545</w:t>
            </w:r>
          </w:p>
        </w:tc>
        <w:tc>
          <w:tcPr>
            <w:tcW w:type="dxa" w:w="913"/>
          </w:tcPr>
          <w:p>
            <w:pPr>
              <w:spacing w:before="20" w:after="20"/>
              <w:jc w:val="center"/>
            </w:pPr>
            <w:r/>
            <w:r>
              <w:rPr>
                <w:rFonts w:ascii="Times New Roman" w:hAnsi="Times New Roman"/>
                <w:b w:val="0"/>
                <w:i w:val="0"/>
                <w:sz w:val="18"/>
              </w:rPr>
              <w:t>3.054</w:t>
            </w:r>
          </w:p>
        </w:tc>
        <w:tc>
          <w:tcPr>
            <w:tcW w:type="dxa" w:w="913"/>
          </w:tcPr>
          <w:p>
            <w:pPr>
              <w:spacing w:before="20" w:after="20"/>
              <w:jc w:val="center"/>
            </w:pPr>
            <w:r/>
            <w:r>
              <w:rPr>
                <w:rFonts w:ascii="Times New Roman" w:hAnsi="Times New Roman"/>
                <w:b w:val="0"/>
                <w:i w:val="0"/>
                <w:sz w:val="18"/>
              </w:rPr>
              <w:t>2.628</w:t>
            </w:r>
          </w:p>
        </w:tc>
      </w:tr>
      <w:tr>
        <w:tc>
          <w:tcPr>
            <w:tcW w:type="dxa" w:w="913"/>
          </w:tcPr>
          <w:p>
            <w:pPr>
              <w:spacing w:before="20" w:after="20"/>
              <w:jc w:val="center"/>
            </w:pPr>
            <w:r/>
            <w:r>
              <w:rPr>
                <w:rFonts w:ascii="Times New Roman" w:hAnsi="Times New Roman"/>
                <w:b w:val="0"/>
                <w:i w:val="0"/>
                <w:sz w:val="18"/>
              </w:rPr>
              <w:t>Parkinson_5</w:t>
            </w:r>
          </w:p>
        </w:tc>
        <w:tc>
          <w:tcPr>
            <w:tcW w:type="dxa" w:w="913"/>
          </w:tcPr>
          <w:p>
            <w:pPr>
              <w:spacing w:before="20" w:after="20"/>
              <w:jc w:val="center"/>
            </w:pPr>
            <w:r/>
            <w:r>
              <w:rPr>
                <w:rFonts w:ascii="Times New Roman" w:hAnsi="Times New Roman"/>
                <w:b w:val="0"/>
                <w:i w:val="0"/>
                <w:sz w:val="18"/>
              </w:rPr>
              <w:t>6.141</w:t>
            </w:r>
          </w:p>
        </w:tc>
        <w:tc>
          <w:tcPr>
            <w:tcW w:type="dxa" w:w="913"/>
          </w:tcPr>
          <w:p>
            <w:pPr>
              <w:spacing w:before="20" w:after="20"/>
              <w:jc w:val="center"/>
            </w:pPr>
            <w:r/>
            <w:r>
              <w:rPr>
                <w:rFonts w:ascii="Times New Roman" w:hAnsi="Times New Roman"/>
                <w:b w:val="0"/>
                <w:i w:val="0"/>
                <w:sz w:val="18"/>
              </w:rPr>
              <w:t>7.070</w:t>
            </w:r>
          </w:p>
        </w:tc>
        <w:tc>
          <w:tcPr>
            <w:tcW w:type="dxa" w:w="913"/>
          </w:tcPr>
          <w:p>
            <w:pPr>
              <w:spacing w:before="20" w:after="20"/>
              <w:jc w:val="center"/>
            </w:pPr>
            <w:r/>
            <w:r>
              <w:rPr>
                <w:rFonts w:ascii="Times New Roman" w:hAnsi="Times New Roman"/>
                <w:b w:val="0"/>
                <w:i w:val="0"/>
                <w:sz w:val="18"/>
              </w:rPr>
              <w:t>6.664</w:t>
            </w:r>
          </w:p>
        </w:tc>
        <w:tc>
          <w:tcPr>
            <w:tcW w:type="dxa" w:w="913"/>
          </w:tcPr>
          <w:p>
            <w:pPr>
              <w:spacing w:before="20" w:after="20"/>
              <w:jc w:val="center"/>
            </w:pPr>
            <w:r/>
            <w:r>
              <w:rPr>
                <w:rFonts w:ascii="Times New Roman" w:hAnsi="Times New Roman"/>
                <w:b w:val="0"/>
                <w:i w:val="0"/>
                <w:sz w:val="18"/>
              </w:rPr>
              <w:t>4.135</w:t>
            </w:r>
          </w:p>
        </w:tc>
        <w:tc>
          <w:tcPr>
            <w:tcW w:type="dxa" w:w="913"/>
          </w:tcPr>
          <w:p>
            <w:pPr>
              <w:spacing w:before="20" w:after="20"/>
              <w:jc w:val="center"/>
            </w:pPr>
            <w:r/>
            <w:r>
              <w:rPr>
                <w:rFonts w:ascii="Times New Roman" w:hAnsi="Times New Roman"/>
                <w:b w:val="0"/>
                <w:i w:val="0"/>
                <w:sz w:val="18"/>
              </w:rPr>
              <w:t>5.046</w:t>
            </w:r>
          </w:p>
        </w:tc>
        <w:tc>
          <w:tcPr>
            <w:tcW w:type="dxa" w:w="913"/>
          </w:tcPr>
          <w:p>
            <w:pPr>
              <w:spacing w:before="20" w:after="20"/>
              <w:jc w:val="center"/>
            </w:pPr>
            <w:r/>
            <w:r>
              <w:rPr>
                <w:rFonts w:ascii="Times New Roman" w:hAnsi="Times New Roman"/>
                <w:b w:val="0"/>
                <w:i w:val="0"/>
                <w:sz w:val="18"/>
              </w:rPr>
              <w:t>5.878</w:t>
            </w:r>
          </w:p>
        </w:tc>
        <w:tc>
          <w:tcPr>
            <w:tcW w:type="dxa" w:w="913"/>
          </w:tcPr>
          <w:p>
            <w:pPr>
              <w:spacing w:before="20" w:after="20"/>
              <w:jc w:val="center"/>
            </w:pPr>
            <w:r/>
            <w:r>
              <w:rPr>
                <w:rFonts w:ascii="Times New Roman" w:hAnsi="Times New Roman"/>
                <w:b w:val="0"/>
                <w:i w:val="0"/>
                <w:sz w:val="18"/>
              </w:rPr>
              <w:t>6.760</w:t>
            </w:r>
          </w:p>
        </w:tc>
        <w:tc>
          <w:tcPr>
            <w:tcW w:type="dxa" w:w="913"/>
          </w:tcPr>
          <w:p>
            <w:pPr>
              <w:spacing w:before="20" w:after="20"/>
              <w:jc w:val="center"/>
            </w:pPr>
            <w:r/>
            <w:r>
              <w:rPr>
                <w:rFonts w:ascii="Times New Roman" w:hAnsi="Times New Roman"/>
                <w:b w:val="0"/>
                <w:i w:val="0"/>
                <w:sz w:val="18"/>
              </w:rPr>
              <w:t>6.105</w:t>
            </w:r>
          </w:p>
        </w:tc>
      </w:tr>
      <w:tr>
        <w:tc>
          <w:tcPr>
            <w:tcW w:type="dxa" w:w="913"/>
          </w:tcPr>
          <w:p>
            <w:pPr>
              <w:spacing w:before="20" w:after="20"/>
              <w:jc w:val="center"/>
            </w:pPr>
            <w:r/>
            <w:r>
              <w:rPr>
                <w:rFonts w:ascii="Times New Roman" w:hAnsi="Times New Roman"/>
                <w:b w:val="0"/>
                <w:i w:val="0"/>
                <w:sz w:val="18"/>
              </w:rPr>
              <w:t>GarmanKlass_22</w:t>
            </w:r>
          </w:p>
        </w:tc>
        <w:tc>
          <w:tcPr>
            <w:tcW w:type="dxa" w:w="913"/>
          </w:tcPr>
          <w:p>
            <w:pPr>
              <w:spacing w:before="20" w:after="20"/>
              <w:jc w:val="center"/>
            </w:pPr>
            <w:r/>
            <w:r>
              <w:rPr>
                <w:rFonts w:ascii="Times New Roman" w:hAnsi="Times New Roman"/>
                <w:b w:val="0"/>
                <w:i w:val="0"/>
                <w:sz w:val="18"/>
              </w:rPr>
              <w:t>3.818</w:t>
            </w:r>
          </w:p>
        </w:tc>
        <w:tc>
          <w:tcPr>
            <w:tcW w:type="dxa" w:w="913"/>
          </w:tcPr>
          <w:p>
            <w:pPr>
              <w:spacing w:before="20" w:after="20"/>
              <w:jc w:val="center"/>
            </w:pPr>
            <w:r/>
            <w:r>
              <w:rPr>
                <w:rFonts w:ascii="Times New Roman" w:hAnsi="Times New Roman"/>
                <w:b w:val="0"/>
                <w:i w:val="0"/>
                <w:sz w:val="18"/>
              </w:rPr>
              <w:t>6.891</w:t>
            </w:r>
          </w:p>
        </w:tc>
        <w:tc>
          <w:tcPr>
            <w:tcW w:type="dxa" w:w="913"/>
          </w:tcPr>
          <w:p>
            <w:pPr>
              <w:spacing w:before="20" w:after="20"/>
              <w:jc w:val="center"/>
            </w:pPr>
            <w:r/>
            <w:r>
              <w:rPr>
                <w:rFonts w:ascii="Times New Roman" w:hAnsi="Times New Roman"/>
                <w:b w:val="0"/>
                <w:i w:val="0"/>
                <w:sz w:val="18"/>
              </w:rPr>
              <w:t>5.927</w:t>
            </w:r>
          </w:p>
        </w:tc>
        <w:tc>
          <w:tcPr>
            <w:tcW w:type="dxa" w:w="913"/>
          </w:tcPr>
          <w:p>
            <w:pPr>
              <w:spacing w:before="20" w:after="20"/>
              <w:jc w:val="center"/>
            </w:pPr>
            <w:r/>
            <w:r>
              <w:rPr>
                <w:rFonts w:ascii="Times New Roman" w:hAnsi="Times New Roman"/>
                <w:b w:val="0"/>
                <w:i w:val="0"/>
                <w:sz w:val="18"/>
              </w:rPr>
              <w:t>12.884</w:t>
            </w:r>
          </w:p>
        </w:tc>
        <w:tc>
          <w:tcPr>
            <w:tcW w:type="dxa" w:w="913"/>
          </w:tcPr>
          <w:p>
            <w:pPr>
              <w:spacing w:before="20" w:after="20"/>
              <w:jc w:val="center"/>
            </w:pPr>
            <w:r/>
            <w:r>
              <w:rPr>
                <w:rFonts w:ascii="Times New Roman" w:hAnsi="Times New Roman"/>
                <w:b w:val="0"/>
                <w:i w:val="0"/>
                <w:sz w:val="18"/>
              </w:rPr>
              <w:t>9.948</w:t>
            </w:r>
          </w:p>
        </w:tc>
        <w:tc>
          <w:tcPr>
            <w:tcW w:type="dxa" w:w="913"/>
          </w:tcPr>
          <w:p>
            <w:pPr>
              <w:spacing w:before="20" w:after="20"/>
              <w:jc w:val="center"/>
            </w:pPr>
            <w:r/>
            <w:r>
              <w:rPr>
                <w:rFonts w:ascii="Times New Roman" w:hAnsi="Times New Roman"/>
                <w:b w:val="0"/>
                <w:i w:val="0"/>
                <w:sz w:val="18"/>
              </w:rPr>
              <w:t>9.110</w:t>
            </w:r>
          </w:p>
        </w:tc>
        <w:tc>
          <w:tcPr>
            <w:tcW w:type="dxa" w:w="913"/>
          </w:tcPr>
          <w:p>
            <w:pPr>
              <w:spacing w:before="20" w:after="20"/>
              <w:jc w:val="center"/>
            </w:pPr>
            <w:r/>
            <w:r>
              <w:rPr>
                <w:rFonts w:ascii="Times New Roman" w:hAnsi="Times New Roman"/>
                <w:b w:val="0"/>
                <w:i w:val="0"/>
                <w:sz w:val="18"/>
              </w:rPr>
              <w:t>11.002</w:t>
            </w:r>
          </w:p>
        </w:tc>
        <w:tc>
          <w:tcPr>
            <w:tcW w:type="dxa" w:w="913"/>
          </w:tcPr>
          <w:p>
            <w:pPr>
              <w:spacing w:before="20" w:after="20"/>
              <w:jc w:val="center"/>
            </w:pPr>
            <w:r/>
            <w:r>
              <w:rPr>
                <w:rFonts w:ascii="Times New Roman" w:hAnsi="Times New Roman"/>
                <w:b w:val="0"/>
                <w:i w:val="0"/>
                <w:sz w:val="18"/>
              </w:rPr>
              <w:t>10.068</w:t>
            </w:r>
          </w:p>
        </w:tc>
      </w:tr>
      <w:tr>
        <w:tc>
          <w:tcPr>
            <w:tcW w:type="dxa" w:w="913"/>
          </w:tcPr>
          <w:p>
            <w:pPr>
              <w:spacing w:before="20" w:after="20"/>
              <w:jc w:val="center"/>
            </w:pPr>
            <w:r/>
            <w:r>
              <w:rPr>
                <w:rFonts w:ascii="Times New Roman" w:hAnsi="Times New Roman"/>
                <w:b w:val="0"/>
                <w:i w:val="0"/>
                <w:sz w:val="18"/>
              </w:rPr>
              <w:t>Parkinson_22</w:t>
            </w:r>
          </w:p>
        </w:tc>
        <w:tc>
          <w:tcPr>
            <w:tcW w:type="dxa" w:w="913"/>
          </w:tcPr>
          <w:p>
            <w:pPr>
              <w:spacing w:before="20" w:after="20"/>
              <w:jc w:val="center"/>
            </w:pPr>
            <w:r/>
            <w:r>
              <w:rPr>
                <w:rFonts w:ascii="Times New Roman" w:hAnsi="Times New Roman"/>
                <w:b w:val="0"/>
                <w:i w:val="0"/>
                <w:sz w:val="18"/>
              </w:rPr>
              <w:t>6.545</w:t>
            </w:r>
          </w:p>
        </w:tc>
        <w:tc>
          <w:tcPr>
            <w:tcW w:type="dxa" w:w="913"/>
          </w:tcPr>
          <w:p>
            <w:pPr>
              <w:spacing w:before="20" w:after="20"/>
              <w:jc w:val="center"/>
            </w:pPr>
            <w:r/>
            <w:r>
              <w:rPr>
                <w:rFonts w:ascii="Times New Roman" w:hAnsi="Times New Roman"/>
                <w:b w:val="0"/>
                <w:i w:val="0"/>
                <w:sz w:val="18"/>
              </w:rPr>
              <w:t>6.018</w:t>
            </w:r>
          </w:p>
        </w:tc>
        <w:tc>
          <w:tcPr>
            <w:tcW w:type="dxa" w:w="913"/>
          </w:tcPr>
          <w:p>
            <w:pPr>
              <w:spacing w:before="20" w:after="20"/>
              <w:jc w:val="center"/>
            </w:pPr>
            <w:r/>
            <w:r>
              <w:rPr>
                <w:rFonts w:ascii="Times New Roman" w:hAnsi="Times New Roman"/>
                <w:b w:val="0"/>
                <w:i w:val="0"/>
                <w:sz w:val="18"/>
              </w:rPr>
              <w:t>4.511</w:t>
            </w:r>
          </w:p>
        </w:tc>
        <w:tc>
          <w:tcPr>
            <w:tcW w:type="dxa" w:w="913"/>
          </w:tcPr>
          <w:p>
            <w:pPr>
              <w:spacing w:before="20" w:after="20"/>
              <w:jc w:val="center"/>
            </w:pPr>
            <w:r/>
            <w:r>
              <w:rPr>
                <w:rFonts w:ascii="Times New Roman" w:hAnsi="Times New Roman"/>
                <w:b w:val="0"/>
                <w:i w:val="0"/>
                <w:sz w:val="18"/>
              </w:rPr>
              <w:t>4.183</w:t>
            </w:r>
          </w:p>
        </w:tc>
        <w:tc>
          <w:tcPr>
            <w:tcW w:type="dxa" w:w="913"/>
          </w:tcPr>
          <w:p>
            <w:pPr>
              <w:spacing w:before="20" w:after="20"/>
              <w:jc w:val="center"/>
            </w:pPr>
            <w:r/>
            <w:r>
              <w:rPr>
                <w:rFonts w:ascii="Times New Roman" w:hAnsi="Times New Roman"/>
                <w:b w:val="0"/>
                <w:i w:val="0"/>
                <w:sz w:val="18"/>
              </w:rPr>
              <w:t>5.855</w:t>
            </w:r>
          </w:p>
        </w:tc>
        <w:tc>
          <w:tcPr>
            <w:tcW w:type="dxa" w:w="913"/>
          </w:tcPr>
          <w:p>
            <w:pPr>
              <w:spacing w:before="20" w:after="20"/>
              <w:jc w:val="center"/>
            </w:pPr>
            <w:r/>
            <w:r>
              <w:rPr>
                <w:rFonts w:ascii="Times New Roman" w:hAnsi="Times New Roman"/>
                <w:b w:val="0"/>
                <w:i w:val="0"/>
                <w:sz w:val="18"/>
              </w:rPr>
              <w:t>7.123</w:t>
            </w:r>
          </w:p>
        </w:tc>
        <w:tc>
          <w:tcPr>
            <w:tcW w:type="dxa" w:w="913"/>
          </w:tcPr>
          <w:p>
            <w:pPr>
              <w:spacing w:before="20" w:after="20"/>
              <w:jc w:val="center"/>
            </w:pPr>
            <w:r/>
            <w:r>
              <w:rPr>
                <w:rFonts w:ascii="Times New Roman" w:hAnsi="Times New Roman"/>
                <w:b w:val="0"/>
                <w:i w:val="0"/>
                <w:sz w:val="18"/>
              </w:rPr>
              <w:t>6.119</w:t>
            </w:r>
          </w:p>
        </w:tc>
        <w:tc>
          <w:tcPr>
            <w:tcW w:type="dxa" w:w="913"/>
          </w:tcPr>
          <w:p>
            <w:pPr>
              <w:spacing w:before="20" w:after="20"/>
              <w:jc w:val="center"/>
            </w:pPr>
            <w:r/>
            <w:r>
              <w:rPr>
                <w:rFonts w:ascii="Times New Roman" w:hAnsi="Times New Roman"/>
                <w:b w:val="0"/>
                <w:i w:val="0"/>
                <w:sz w:val="18"/>
              </w:rPr>
              <w:t>4.725</w:t>
            </w:r>
          </w:p>
        </w:tc>
      </w:tr>
      <w:tr>
        <w:tc>
          <w:tcPr>
            <w:tcW w:type="dxa" w:w="913"/>
          </w:tcPr>
          <w:p>
            <w:pPr>
              <w:spacing w:before="20" w:after="20"/>
              <w:jc w:val="center"/>
            </w:pPr>
            <w:r/>
            <w:r>
              <w:rPr>
                <w:rFonts w:ascii="Times New Roman" w:hAnsi="Times New Roman"/>
                <w:b w:val="0"/>
                <w:i w:val="0"/>
                <w:sz w:val="18"/>
              </w:rPr>
              <w:t>IV_VRP_ma22</w:t>
            </w:r>
          </w:p>
        </w:tc>
        <w:tc>
          <w:tcPr>
            <w:tcW w:type="dxa" w:w="913"/>
          </w:tcPr>
          <w:p>
            <w:pPr>
              <w:spacing w:before="20" w:after="20"/>
              <w:jc w:val="center"/>
            </w:pPr>
            <w:r/>
            <w:r>
              <w:rPr>
                <w:rFonts w:ascii="Times New Roman" w:hAnsi="Times New Roman"/>
                <w:b w:val="0"/>
                <w:i w:val="0"/>
                <w:sz w:val="18"/>
              </w:rPr>
              <w:t>3.487</w:t>
            </w:r>
          </w:p>
        </w:tc>
        <w:tc>
          <w:tcPr>
            <w:tcW w:type="dxa" w:w="913"/>
          </w:tcPr>
          <w:p>
            <w:pPr>
              <w:spacing w:before="20" w:after="20"/>
              <w:jc w:val="center"/>
            </w:pPr>
            <w:r/>
            <w:r>
              <w:rPr>
                <w:rFonts w:ascii="Times New Roman" w:hAnsi="Times New Roman"/>
                <w:b w:val="0"/>
                <w:i w:val="0"/>
                <w:sz w:val="18"/>
              </w:rPr>
              <w:t>4.121</w:t>
            </w:r>
          </w:p>
        </w:tc>
        <w:tc>
          <w:tcPr>
            <w:tcW w:type="dxa" w:w="913"/>
          </w:tcPr>
          <w:p>
            <w:pPr>
              <w:spacing w:before="20" w:after="20"/>
              <w:jc w:val="center"/>
            </w:pPr>
            <w:r/>
            <w:r>
              <w:rPr>
                <w:rFonts w:ascii="Times New Roman" w:hAnsi="Times New Roman"/>
                <w:b w:val="0"/>
                <w:i w:val="0"/>
                <w:sz w:val="18"/>
              </w:rPr>
              <w:t>4.454</w:t>
            </w:r>
          </w:p>
        </w:tc>
        <w:tc>
          <w:tcPr>
            <w:tcW w:type="dxa" w:w="913"/>
          </w:tcPr>
          <w:p>
            <w:pPr>
              <w:spacing w:before="20" w:after="20"/>
              <w:jc w:val="center"/>
            </w:pPr>
            <w:r/>
            <w:r>
              <w:rPr>
                <w:rFonts w:ascii="Times New Roman" w:hAnsi="Times New Roman"/>
                <w:b w:val="0"/>
                <w:i w:val="0"/>
                <w:sz w:val="18"/>
              </w:rPr>
              <w:t>3.803</w:t>
            </w:r>
          </w:p>
        </w:tc>
        <w:tc>
          <w:tcPr>
            <w:tcW w:type="dxa" w:w="913"/>
          </w:tcPr>
          <w:p>
            <w:pPr>
              <w:spacing w:before="20" w:after="20"/>
              <w:jc w:val="center"/>
            </w:pPr>
            <w:r/>
            <w:r>
              <w:rPr>
                <w:rFonts w:ascii="Times New Roman" w:hAnsi="Times New Roman"/>
                <w:b w:val="0"/>
                <w:i w:val="0"/>
                <w:sz w:val="18"/>
              </w:rPr>
              <w:t>3.721</w:t>
            </w:r>
          </w:p>
        </w:tc>
        <w:tc>
          <w:tcPr>
            <w:tcW w:type="dxa" w:w="913"/>
          </w:tcPr>
          <w:p>
            <w:pPr>
              <w:spacing w:before="20" w:after="20"/>
              <w:jc w:val="center"/>
            </w:pPr>
            <w:r/>
            <w:r>
              <w:rPr>
                <w:rFonts w:ascii="Times New Roman" w:hAnsi="Times New Roman"/>
                <w:b w:val="0"/>
                <w:i w:val="0"/>
                <w:sz w:val="18"/>
              </w:rPr>
              <w:t>4.271</w:t>
            </w:r>
          </w:p>
        </w:tc>
        <w:tc>
          <w:tcPr>
            <w:tcW w:type="dxa" w:w="913"/>
          </w:tcPr>
          <w:p>
            <w:pPr>
              <w:spacing w:before="20" w:after="20"/>
              <w:jc w:val="center"/>
            </w:pPr>
            <w:r/>
            <w:r>
              <w:rPr>
                <w:rFonts w:ascii="Times New Roman" w:hAnsi="Times New Roman"/>
                <w:b w:val="0"/>
                <w:i w:val="0"/>
                <w:sz w:val="18"/>
              </w:rPr>
              <w:t>3.391</w:t>
            </w:r>
          </w:p>
        </w:tc>
        <w:tc>
          <w:tcPr>
            <w:tcW w:type="dxa" w:w="913"/>
          </w:tcPr>
          <w:p>
            <w:pPr>
              <w:spacing w:before="20" w:after="20"/>
              <w:jc w:val="center"/>
            </w:pPr>
            <w:r/>
            <w:r>
              <w:rPr>
                <w:rFonts w:ascii="Times New Roman" w:hAnsi="Times New Roman"/>
                <w:b w:val="0"/>
                <w:i w:val="0"/>
                <w:sz w:val="18"/>
              </w:rPr>
              <w:t>4.034</w:t>
            </w:r>
          </w:p>
        </w:tc>
      </w:tr>
      <w:tr>
        <w:tc>
          <w:tcPr>
            <w:tcW w:type="dxa" w:w="913"/>
          </w:tcPr>
          <w:p>
            <w:pPr>
              <w:spacing w:before="20" w:after="20"/>
              <w:jc w:val="center"/>
            </w:pPr>
            <w:r/>
            <w:r>
              <w:rPr>
                <w:rFonts w:ascii="Times New Roman" w:hAnsi="Times New Roman"/>
                <w:b w:val="0"/>
                <w:i w:val="0"/>
                <w:sz w:val="18"/>
              </w:rPr>
              <w:t>IV_VIX</w:t>
            </w:r>
          </w:p>
        </w:tc>
        <w:tc>
          <w:tcPr>
            <w:tcW w:type="dxa" w:w="913"/>
          </w:tcPr>
          <w:p>
            <w:pPr>
              <w:spacing w:before="20" w:after="20"/>
              <w:jc w:val="center"/>
            </w:pPr>
            <w:r/>
            <w:r>
              <w:rPr>
                <w:rFonts w:ascii="Times New Roman" w:hAnsi="Times New Roman"/>
                <w:b w:val="0"/>
                <w:i w:val="0"/>
                <w:sz w:val="18"/>
              </w:rPr>
              <w:t>1.817</w:t>
            </w:r>
          </w:p>
        </w:tc>
        <w:tc>
          <w:tcPr>
            <w:tcW w:type="dxa" w:w="913"/>
          </w:tcPr>
          <w:p>
            <w:pPr>
              <w:spacing w:before="20" w:after="20"/>
              <w:jc w:val="center"/>
            </w:pPr>
            <w:r/>
            <w:r>
              <w:rPr>
                <w:rFonts w:ascii="Times New Roman" w:hAnsi="Times New Roman"/>
                <w:b w:val="0"/>
                <w:i w:val="0"/>
                <w:sz w:val="18"/>
              </w:rPr>
              <w:t>1.049</w:t>
            </w:r>
          </w:p>
        </w:tc>
        <w:tc>
          <w:tcPr>
            <w:tcW w:type="dxa" w:w="913"/>
          </w:tcPr>
          <w:p>
            <w:pPr>
              <w:spacing w:before="20" w:after="20"/>
              <w:jc w:val="center"/>
            </w:pPr>
            <w:r/>
            <w:r>
              <w:rPr>
                <w:rFonts w:ascii="Times New Roman" w:hAnsi="Times New Roman"/>
                <w:b w:val="0"/>
                <w:i w:val="0"/>
                <w:sz w:val="18"/>
              </w:rPr>
              <w:t>3.274</w:t>
            </w:r>
          </w:p>
        </w:tc>
        <w:tc>
          <w:tcPr>
            <w:tcW w:type="dxa" w:w="913"/>
          </w:tcPr>
          <w:p>
            <w:pPr>
              <w:spacing w:before="20" w:after="20"/>
              <w:jc w:val="center"/>
            </w:pPr>
            <w:r/>
            <w:r>
              <w:rPr>
                <w:rFonts w:ascii="Times New Roman" w:hAnsi="Times New Roman"/>
                <w:b w:val="0"/>
                <w:i w:val="0"/>
                <w:sz w:val="18"/>
              </w:rPr>
              <w:t>2.104</w:t>
            </w:r>
          </w:p>
        </w:tc>
        <w:tc>
          <w:tcPr>
            <w:tcW w:type="dxa" w:w="913"/>
          </w:tcPr>
          <w:p>
            <w:pPr>
              <w:spacing w:before="20" w:after="20"/>
              <w:jc w:val="center"/>
            </w:pPr>
            <w:r/>
            <w:r>
              <w:rPr>
                <w:rFonts w:ascii="Times New Roman" w:hAnsi="Times New Roman"/>
                <w:b w:val="0"/>
                <w:i w:val="0"/>
                <w:sz w:val="18"/>
              </w:rPr>
              <w:t>2.812</w:t>
            </w:r>
          </w:p>
        </w:tc>
        <w:tc>
          <w:tcPr>
            <w:tcW w:type="dxa" w:w="913"/>
          </w:tcPr>
          <w:p>
            <w:pPr>
              <w:spacing w:before="20" w:after="20"/>
              <w:jc w:val="center"/>
            </w:pPr>
            <w:r/>
            <w:r>
              <w:rPr>
                <w:rFonts w:ascii="Times New Roman" w:hAnsi="Times New Roman"/>
                <w:b w:val="0"/>
                <w:i w:val="0"/>
                <w:sz w:val="18"/>
              </w:rPr>
              <w:t>3.180</w:t>
            </w:r>
          </w:p>
        </w:tc>
        <w:tc>
          <w:tcPr>
            <w:tcW w:type="dxa" w:w="913"/>
          </w:tcPr>
          <w:p>
            <w:pPr>
              <w:spacing w:before="20" w:after="20"/>
              <w:jc w:val="center"/>
            </w:pPr>
            <w:r/>
            <w:r>
              <w:rPr>
                <w:rFonts w:ascii="Times New Roman" w:hAnsi="Times New Roman"/>
                <w:b w:val="0"/>
                <w:i w:val="0"/>
                <w:sz w:val="18"/>
              </w:rPr>
              <w:t>2.966</w:t>
            </w:r>
          </w:p>
        </w:tc>
        <w:tc>
          <w:tcPr>
            <w:tcW w:type="dxa" w:w="913"/>
          </w:tcPr>
          <w:p>
            <w:pPr>
              <w:spacing w:before="20" w:after="20"/>
              <w:jc w:val="center"/>
            </w:pPr>
            <w:r/>
            <w:r>
              <w:rPr>
                <w:rFonts w:ascii="Times New Roman" w:hAnsi="Times New Roman"/>
                <w:b w:val="0"/>
                <w:i w:val="0"/>
                <w:sz w:val="18"/>
              </w:rPr>
              <w:t>1.714</w:t>
            </w:r>
          </w:p>
        </w:tc>
      </w:tr>
      <w:tr>
        <w:tc>
          <w:tcPr>
            <w:tcW w:type="dxa" w:w="913"/>
          </w:tcPr>
          <w:p>
            <w:pPr>
              <w:spacing w:before="20" w:after="20"/>
              <w:jc w:val="center"/>
            </w:pPr>
            <w:r/>
            <w:r>
              <w:rPr>
                <w:rFonts w:ascii="Times New Roman" w:hAnsi="Times New Roman"/>
                <w:b w:val="0"/>
                <w:i w:val="0"/>
                <w:sz w:val="18"/>
              </w:rPr>
              <w:t>SPY_LogRV</w:t>
            </w:r>
          </w:p>
        </w:tc>
        <w:tc>
          <w:tcPr>
            <w:tcW w:type="dxa" w:w="913"/>
          </w:tcPr>
          <w:p>
            <w:pPr>
              <w:spacing w:before="20" w:after="20"/>
              <w:jc w:val="center"/>
            </w:pPr>
            <w:r/>
            <w:r>
              <w:rPr>
                <w:rFonts w:ascii="Times New Roman" w:hAnsi="Times New Roman"/>
                <w:b w:val="0"/>
                <w:i w:val="0"/>
                <w:sz w:val="18"/>
              </w:rPr>
              <w:t>4.066</w:t>
            </w:r>
          </w:p>
        </w:tc>
        <w:tc>
          <w:tcPr>
            <w:tcW w:type="dxa" w:w="913"/>
          </w:tcPr>
          <w:p>
            <w:pPr>
              <w:spacing w:before="20" w:after="20"/>
              <w:jc w:val="center"/>
            </w:pPr>
            <w:r/>
            <w:r>
              <w:rPr>
                <w:rFonts w:ascii="Times New Roman" w:hAnsi="Times New Roman"/>
                <w:b w:val="0"/>
                <w:i w:val="0"/>
                <w:sz w:val="18"/>
              </w:rPr>
              <w:t>6.494</w:t>
            </w:r>
          </w:p>
        </w:tc>
        <w:tc>
          <w:tcPr>
            <w:tcW w:type="dxa" w:w="913"/>
          </w:tcPr>
          <w:p>
            <w:pPr>
              <w:spacing w:before="20" w:after="20"/>
              <w:jc w:val="center"/>
            </w:pPr>
            <w:r/>
            <w:r>
              <w:rPr>
                <w:rFonts w:ascii="Times New Roman" w:hAnsi="Times New Roman"/>
                <w:b w:val="0"/>
                <w:i w:val="0"/>
                <w:sz w:val="18"/>
              </w:rPr>
              <w:t>2.573</w:t>
            </w:r>
          </w:p>
        </w:tc>
        <w:tc>
          <w:tcPr>
            <w:tcW w:type="dxa" w:w="913"/>
          </w:tcPr>
          <w:p>
            <w:pPr>
              <w:spacing w:before="20" w:after="20"/>
              <w:jc w:val="center"/>
            </w:pPr>
            <w:r/>
            <w:r>
              <w:rPr>
                <w:rFonts w:ascii="Times New Roman" w:hAnsi="Times New Roman"/>
                <w:b w:val="0"/>
                <w:i w:val="0"/>
                <w:sz w:val="18"/>
              </w:rPr>
              <w:t>2.328</w:t>
            </w:r>
          </w:p>
        </w:tc>
        <w:tc>
          <w:tcPr>
            <w:tcW w:type="dxa" w:w="913"/>
          </w:tcPr>
          <w:p>
            <w:pPr>
              <w:spacing w:before="20" w:after="20"/>
              <w:jc w:val="center"/>
            </w:pPr>
            <w:r/>
            <w:r>
              <w:rPr>
                <w:rFonts w:ascii="Times New Roman" w:hAnsi="Times New Roman"/>
                <w:b w:val="0"/>
                <w:i w:val="0"/>
                <w:sz w:val="18"/>
              </w:rPr>
              <w:t>2.454</w:t>
            </w:r>
          </w:p>
        </w:tc>
        <w:tc>
          <w:tcPr>
            <w:tcW w:type="dxa" w:w="913"/>
          </w:tcPr>
          <w:p>
            <w:pPr>
              <w:spacing w:before="20" w:after="20"/>
              <w:jc w:val="center"/>
            </w:pPr>
            <w:r/>
            <w:r>
              <w:rPr>
                <w:rFonts w:ascii="Times New Roman" w:hAnsi="Times New Roman"/>
                <w:b w:val="0"/>
                <w:i w:val="0"/>
                <w:sz w:val="18"/>
              </w:rPr>
              <w:t>2.400</w:t>
            </w:r>
          </w:p>
        </w:tc>
        <w:tc>
          <w:tcPr>
            <w:tcW w:type="dxa" w:w="913"/>
          </w:tcPr>
          <w:p>
            <w:pPr>
              <w:spacing w:before="20" w:after="20"/>
              <w:jc w:val="center"/>
            </w:pPr>
            <w:r/>
            <w:r>
              <w:rPr>
                <w:rFonts w:ascii="Times New Roman" w:hAnsi="Times New Roman"/>
                <w:b w:val="0"/>
                <w:i w:val="0"/>
                <w:sz w:val="18"/>
              </w:rPr>
              <w:t>2.161</w:t>
            </w:r>
          </w:p>
        </w:tc>
        <w:tc>
          <w:tcPr>
            <w:tcW w:type="dxa" w:w="913"/>
          </w:tcPr>
          <w:p>
            <w:pPr>
              <w:spacing w:before="20" w:after="20"/>
              <w:jc w:val="center"/>
            </w:pPr>
            <w:r/>
            <w:r>
              <w:rPr>
                <w:rFonts w:ascii="Times New Roman" w:hAnsi="Times New Roman"/>
                <w:b w:val="0"/>
                <w:i w:val="0"/>
                <w:sz w:val="18"/>
              </w:rPr>
              <w:t>4.394</w:t>
            </w:r>
          </w:p>
        </w:tc>
      </w:tr>
      <w:tr>
        <w:tc>
          <w:tcPr>
            <w:tcW w:type="dxa" w:w="913"/>
          </w:tcPr>
          <w:p>
            <w:pPr>
              <w:spacing w:before="20" w:after="20"/>
              <w:jc w:val="center"/>
            </w:pPr>
            <w:r/>
            <w:r>
              <w:rPr>
                <w:rFonts w:ascii="Times New Roman" w:hAnsi="Times New Roman"/>
                <w:b w:val="0"/>
                <w:i w:val="0"/>
                <w:sz w:val="18"/>
              </w:rPr>
              <w:t>LogRV_lag10</w:t>
            </w:r>
          </w:p>
        </w:tc>
        <w:tc>
          <w:tcPr>
            <w:tcW w:type="dxa" w:w="913"/>
          </w:tcPr>
          <w:p>
            <w:pPr>
              <w:spacing w:before="20" w:after="20"/>
              <w:jc w:val="center"/>
            </w:pPr>
            <w:r/>
            <w:r>
              <w:rPr>
                <w:rFonts w:ascii="Times New Roman" w:hAnsi="Times New Roman"/>
                <w:b w:val="0"/>
                <w:i w:val="0"/>
                <w:sz w:val="18"/>
              </w:rPr>
              <w:t>8.769</w:t>
            </w:r>
          </w:p>
        </w:tc>
        <w:tc>
          <w:tcPr>
            <w:tcW w:type="dxa" w:w="913"/>
          </w:tcPr>
          <w:p>
            <w:pPr>
              <w:spacing w:before="20" w:after="20"/>
              <w:jc w:val="center"/>
            </w:pPr>
            <w:r/>
            <w:r>
              <w:rPr>
                <w:rFonts w:ascii="Times New Roman" w:hAnsi="Times New Roman"/>
                <w:b w:val="0"/>
                <w:i w:val="0"/>
                <w:sz w:val="18"/>
              </w:rPr>
              <w:t>2.557</w:t>
            </w:r>
          </w:p>
        </w:tc>
        <w:tc>
          <w:tcPr>
            <w:tcW w:type="dxa" w:w="913"/>
          </w:tcPr>
          <w:p>
            <w:pPr>
              <w:spacing w:before="20" w:after="20"/>
              <w:jc w:val="center"/>
            </w:pPr>
            <w:r/>
            <w:r>
              <w:rPr>
                <w:rFonts w:ascii="Times New Roman" w:hAnsi="Times New Roman"/>
                <w:b w:val="0"/>
                <w:i w:val="0"/>
                <w:sz w:val="18"/>
              </w:rPr>
              <w:t>1.849</w:t>
            </w:r>
          </w:p>
        </w:tc>
        <w:tc>
          <w:tcPr>
            <w:tcW w:type="dxa" w:w="913"/>
          </w:tcPr>
          <w:p>
            <w:pPr>
              <w:spacing w:before="20" w:after="20"/>
              <w:jc w:val="center"/>
            </w:pPr>
            <w:r/>
            <w:r>
              <w:rPr>
                <w:rFonts w:ascii="Times New Roman" w:hAnsi="Times New Roman"/>
                <w:b w:val="0"/>
                <w:i w:val="0"/>
                <w:sz w:val="18"/>
              </w:rPr>
              <w:t>1.136</w:t>
            </w:r>
          </w:p>
        </w:tc>
        <w:tc>
          <w:tcPr>
            <w:tcW w:type="dxa" w:w="913"/>
          </w:tcPr>
          <w:p>
            <w:pPr>
              <w:spacing w:before="20" w:after="20"/>
              <w:jc w:val="center"/>
            </w:pPr>
            <w:r/>
            <w:r>
              <w:rPr>
                <w:rFonts w:ascii="Times New Roman" w:hAnsi="Times New Roman"/>
                <w:b w:val="0"/>
                <w:i w:val="0"/>
                <w:sz w:val="18"/>
              </w:rPr>
              <w:t>1.811</w:t>
            </w:r>
          </w:p>
        </w:tc>
        <w:tc>
          <w:tcPr>
            <w:tcW w:type="dxa" w:w="913"/>
          </w:tcPr>
          <w:p>
            <w:pPr>
              <w:spacing w:before="20" w:after="20"/>
              <w:jc w:val="center"/>
            </w:pPr>
            <w:r/>
            <w:r>
              <w:rPr>
                <w:rFonts w:ascii="Times New Roman" w:hAnsi="Times New Roman"/>
                <w:b w:val="0"/>
                <w:i w:val="0"/>
                <w:sz w:val="18"/>
              </w:rPr>
              <w:t>2.187</w:t>
            </w:r>
          </w:p>
        </w:tc>
        <w:tc>
          <w:tcPr>
            <w:tcW w:type="dxa" w:w="913"/>
          </w:tcPr>
          <w:p>
            <w:pPr>
              <w:spacing w:before="20" w:after="20"/>
              <w:jc w:val="center"/>
            </w:pPr>
            <w:r/>
            <w:r>
              <w:rPr>
                <w:rFonts w:ascii="Times New Roman" w:hAnsi="Times New Roman"/>
                <w:b w:val="0"/>
                <w:i w:val="0"/>
                <w:sz w:val="18"/>
              </w:rPr>
              <w:t>2.932</w:t>
            </w:r>
          </w:p>
        </w:tc>
        <w:tc>
          <w:tcPr>
            <w:tcW w:type="dxa" w:w="913"/>
          </w:tcPr>
          <w:p>
            <w:pPr>
              <w:spacing w:before="20" w:after="20"/>
              <w:jc w:val="center"/>
            </w:pPr>
            <w:r/>
            <w:r>
              <w:rPr>
                <w:rFonts w:ascii="Times New Roman" w:hAnsi="Times New Roman"/>
                <w:b w:val="0"/>
                <w:i w:val="0"/>
                <w:sz w:val="18"/>
              </w:rPr>
              <w:t>2.902</w:t>
            </w:r>
          </w:p>
        </w:tc>
      </w:tr>
    </w:tbl>
    <w:p/>
    <w:p>
      <w:pPr>
        <w:spacing w:before="60" w:after="60" w:lineRule="auto" w:line="288"/>
        <w:jc w:val="center"/>
      </w:pPr>
      <w:r>
        <w:rPr>
          <w:rFonts w:ascii="Times New Roman" w:hAnsi="Times New Roman"/>
          <w:b w:val="0"/>
          <w:i w:val="0"/>
          <w:sz w:val="20"/>
        </w:rPr>
        <w:t>표 C-2. WEns vs 베이스라인 DM 검정 결과 (BH 다중비교 보정)  /  Table C-2. Diebold-Mariano Test Results: WEns vs. Baselines (BH Multiple Comparison Adjustment)</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c>
          <w:tcPr>
            <w:tcW w:type="dxa" w:w="1370"/>
          </w:tcPr>
          <w:p>
            <w:pPr>
              <w:spacing w:before="20" w:after="20"/>
              <w:jc w:val="center"/>
            </w:pPr>
            <w:r/>
            <w:r>
              <w:rPr>
                <w:rFonts w:ascii="Times New Roman" w:hAnsi="Times New Roman"/>
                <w:b/>
                <w:i w:val="0"/>
                <w:sz w:val="18"/>
              </w:rPr>
              <w:t>Horizon</w:t>
            </w:r>
          </w:p>
        </w:tc>
        <w:tc>
          <w:tcPr>
            <w:tcW w:type="dxa" w:w="1370"/>
          </w:tcPr>
          <w:p>
            <w:pPr>
              <w:spacing w:before="20" w:after="20"/>
              <w:jc w:val="center"/>
            </w:pPr>
            <w:r/>
            <w:r>
              <w:rPr>
                <w:rFonts w:ascii="Times New Roman" w:hAnsi="Times New Roman"/>
                <w:b/>
                <w:i w:val="0"/>
                <w:sz w:val="18"/>
              </w:rPr>
              <w:t>Model</w:t>
            </w:r>
          </w:p>
        </w:tc>
        <w:tc>
          <w:tcPr>
            <w:tcW w:type="dxa" w:w="1370"/>
          </w:tcPr>
          <w:p>
            <w:pPr>
              <w:spacing w:before="20" w:after="20"/>
              <w:jc w:val="center"/>
            </w:pPr>
            <w:r/>
            <w:r>
              <w:rPr>
                <w:rFonts w:ascii="Times New Roman" w:hAnsi="Times New Roman"/>
                <w:b/>
                <w:i w:val="0"/>
                <w:sz w:val="18"/>
              </w:rPr>
              <w:t>DM Stat</w:t>
            </w:r>
          </w:p>
        </w:tc>
        <w:tc>
          <w:tcPr>
            <w:tcW w:type="dxa" w:w="1370"/>
          </w:tcPr>
          <w:p>
            <w:pPr>
              <w:spacing w:before="20" w:after="20"/>
              <w:jc w:val="center"/>
            </w:pPr>
            <w:r/>
            <w:r>
              <w:rPr>
                <w:rFonts w:ascii="Times New Roman" w:hAnsi="Times New Roman"/>
                <w:b/>
                <w:i w:val="0"/>
                <w:sz w:val="18"/>
              </w:rPr>
              <w:t>p(raw)</w:t>
            </w:r>
          </w:p>
        </w:tc>
        <w:tc>
          <w:tcPr>
            <w:tcW w:type="dxa" w:w="1370"/>
          </w:tcPr>
          <w:p>
            <w:pPr>
              <w:spacing w:before="20" w:after="20"/>
              <w:jc w:val="center"/>
            </w:pPr>
            <w:r/>
            <w:r>
              <w:rPr>
                <w:rFonts w:ascii="Times New Roman" w:hAnsi="Times New Roman"/>
                <w:b/>
                <w:i w:val="0"/>
                <w:sz w:val="18"/>
              </w:rPr>
              <w:t>p(BH)</w:t>
            </w:r>
          </w:p>
        </w:tc>
        <w:tc>
          <w:tcPr>
            <w:tcW w:type="dxa" w:w="1370"/>
          </w:tcPr>
          <w:p>
            <w:pPr>
              <w:spacing w:before="20" w:after="20"/>
              <w:jc w:val="center"/>
            </w:pPr>
            <w:r/>
            <w:r>
              <w:rPr>
                <w:rFonts w:ascii="Times New Roman" w:hAnsi="Times New Roman"/>
                <w:b/>
                <w:i w:val="0"/>
                <w:sz w:val="18"/>
              </w:rPr>
              <w:t>Sig.(BH)</w:t>
            </w:r>
          </w:p>
        </w:tc>
      </w:tr>
      <w:tr>
        <w:tc>
          <w:tcPr>
            <w:tcW w:type="dxa" w:w="1370"/>
          </w:tcPr>
          <w:p>
            <w:pPr>
              <w:spacing w:before="20" w:after="20"/>
              <w:jc w:val="center"/>
            </w:pPr>
            <w:r/>
            <w:r>
              <w:rPr>
                <w:rFonts w:ascii="Times New Roman" w:hAnsi="Times New Roman"/>
                <w:b w:val="0"/>
                <w:i w:val="0"/>
                <w:sz w:val="18"/>
              </w:rPr>
              <w:t>1d</w:t>
            </w:r>
          </w:p>
        </w:tc>
        <w:tc>
          <w:tcPr>
            <w:tcW w:type="dxa" w:w="1370"/>
          </w:tcPr>
          <w:p>
            <w:pPr>
              <w:spacing w:before="20" w:after="20"/>
              <w:jc w:val="center"/>
            </w:pPr>
            <w:r/>
            <w:r>
              <w:rPr>
                <w:rFonts w:ascii="Times New Roman" w:hAnsi="Times New Roman"/>
                <w:b w:val="0"/>
                <w:i w:val="0"/>
                <w:sz w:val="18"/>
              </w:rPr>
              <w:t>HAR-3</w:t>
            </w:r>
          </w:p>
        </w:tc>
        <w:tc>
          <w:tcPr>
            <w:tcW w:type="dxa" w:w="1370"/>
          </w:tcPr>
          <w:p>
            <w:pPr>
              <w:spacing w:before="20" w:after="20"/>
              <w:jc w:val="center"/>
            </w:pPr>
            <w:r/>
            <w:r>
              <w:rPr>
                <w:rFonts w:ascii="Times New Roman" w:hAnsi="Times New Roman"/>
                <w:b w:val="0"/>
                <w:i w:val="0"/>
                <w:sz w:val="18"/>
              </w:rPr>
              <w:t>2.525</w:t>
            </w:r>
          </w:p>
        </w:tc>
        <w:tc>
          <w:tcPr>
            <w:tcW w:type="dxa" w:w="1370"/>
          </w:tcPr>
          <w:p>
            <w:pPr>
              <w:spacing w:before="20" w:after="20"/>
              <w:jc w:val="center"/>
            </w:pPr>
            <w:r/>
            <w:r>
              <w:rPr>
                <w:rFonts w:ascii="Times New Roman" w:hAnsi="Times New Roman"/>
                <w:b w:val="0"/>
                <w:i w:val="0"/>
                <w:sz w:val="18"/>
              </w:rPr>
              <w:t>0.012</w:t>
            </w:r>
          </w:p>
        </w:tc>
        <w:tc>
          <w:tcPr>
            <w:tcW w:type="dxa" w:w="1370"/>
          </w:tcPr>
          <w:p>
            <w:pPr>
              <w:spacing w:before="20" w:after="20"/>
              <w:jc w:val="center"/>
            </w:pPr>
            <w:r/>
            <w:r>
              <w:rPr>
                <w:rFonts w:ascii="Times New Roman" w:hAnsi="Times New Roman"/>
                <w:b w:val="0"/>
                <w:i w:val="0"/>
                <w:sz w:val="18"/>
              </w:rPr>
              <w:t>0.015</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1d</w:t>
            </w:r>
          </w:p>
        </w:tc>
        <w:tc>
          <w:tcPr>
            <w:tcW w:type="dxa" w:w="1370"/>
          </w:tcPr>
          <w:p>
            <w:pPr>
              <w:spacing w:before="20" w:after="20"/>
              <w:jc w:val="center"/>
            </w:pPr>
            <w:r/>
            <w:r>
              <w:rPr>
                <w:rFonts w:ascii="Times New Roman" w:hAnsi="Times New Roman"/>
                <w:b w:val="0"/>
                <w:i w:val="0"/>
                <w:sz w:val="18"/>
              </w:rPr>
              <w:t>NaiveRV</w:t>
            </w:r>
          </w:p>
        </w:tc>
        <w:tc>
          <w:tcPr>
            <w:tcW w:type="dxa" w:w="1370"/>
          </w:tcPr>
          <w:p>
            <w:pPr>
              <w:spacing w:before="20" w:after="20"/>
              <w:jc w:val="center"/>
            </w:pPr>
            <w:r/>
            <w:r>
              <w:rPr>
                <w:rFonts w:ascii="Times New Roman" w:hAnsi="Times New Roman"/>
                <w:b w:val="0"/>
                <w:i w:val="0"/>
                <w:sz w:val="18"/>
              </w:rPr>
              <w:t>32.321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1d</w:t>
            </w:r>
          </w:p>
        </w:tc>
        <w:tc>
          <w:tcPr>
            <w:tcW w:type="dxa" w:w="1370"/>
          </w:tcPr>
          <w:p>
            <w:pPr>
              <w:spacing w:before="20" w:after="20"/>
              <w:jc w:val="center"/>
            </w:pPr>
            <w:r/>
            <w:r>
              <w:rPr>
                <w:rFonts w:ascii="Times New Roman" w:hAnsi="Times New Roman"/>
                <w:b w:val="0"/>
                <w:i w:val="0"/>
                <w:sz w:val="18"/>
              </w:rPr>
              <w:t>GARCH</w:t>
            </w:r>
          </w:p>
        </w:tc>
        <w:tc>
          <w:tcPr>
            <w:tcW w:type="dxa" w:w="1370"/>
          </w:tcPr>
          <w:p>
            <w:pPr>
              <w:spacing w:before="20" w:after="20"/>
              <w:jc w:val="center"/>
            </w:pPr>
            <w:r/>
            <w:r>
              <w:rPr>
                <w:rFonts w:ascii="Times New Roman" w:hAnsi="Times New Roman"/>
                <w:b w:val="0"/>
                <w:i w:val="0"/>
                <w:sz w:val="18"/>
              </w:rPr>
              <w:t>21.037</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1d</w:t>
            </w:r>
          </w:p>
        </w:tc>
        <w:tc>
          <w:tcPr>
            <w:tcW w:type="dxa" w:w="1370"/>
          </w:tcPr>
          <w:p>
            <w:pPr>
              <w:spacing w:before="20" w:after="20"/>
              <w:jc w:val="center"/>
            </w:pPr>
            <w:r/>
            <w:r>
              <w:rPr>
                <w:rFonts w:ascii="Times New Roman" w:hAnsi="Times New Roman"/>
                <w:b w:val="0"/>
                <w:i w:val="0"/>
                <w:sz w:val="18"/>
              </w:rPr>
              <w:t>IV-only</w:t>
            </w:r>
          </w:p>
        </w:tc>
        <w:tc>
          <w:tcPr>
            <w:tcW w:type="dxa" w:w="1370"/>
          </w:tcPr>
          <w:p>
            <w:pPr>
              <w:spacing w:before="20" w:after="20"/>
              <w:jc w:val="center"/>
            </w:pPr>
            <w:r/>
            <w:r>
              <w:rPr>
                <w:rFonts w:ascii="Times New Roman" w:hAnsi="Times New Roman"/>
                <w:b w:val="0"/>
                <w:i w:val="0"/>
                <w:sz w:val="18"/>
              </w:rPr>
              <w:t>16.596</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5d</w:t>
            </w:r>
          </w:p>
        </w:tc>
        <w:tc>
          <w:tcPr>
            <w:tcW w:type="dxa" w:w="1370"/>
          </w:tcPr>
          <w:p>
            <w:pPr>
              <w:spacing w:before="20" w:after="20"/>
              <w:jc w:val="center"/>
            </w:pPr>
            <w:r/>
            <w:r>
              <w:rPr>
                <w:rFonts w:ascii="Times New Roman" w:hAnsi="Times New Roman"/>
                <w:b w:val="0"/>
                <w:i w:val="0"/>
                <w:sz w:val="18"/>
              </w:rPr>
              <w:t>HAR-3</w:t>
            </w:r>
          </w:p>
        </w:tc>
        <w:tc>
          <w:tcPr>
            <w:tcW w:type="dxa" w:w="1370"/>
          </w:tcPr>
          <w:p>
            <w:pPr>
              <w:spacing w:before="20" w:after="20"/>
              <w:jc w:val="center"/>
            </w:pPr>
            <w:r/>
            <w:r>
              <w:rPr>
                <w:rFonts w:ascii="Times New Roman" w:hAnsi="Times New Roman"/>
                <w:b w:val="0"/>
                <w:i w:val="0"/>
                <w:sz w:val="18"/>
              </w:rPr>
              <w:t>8.493</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5d</w:t>
            </w:r>
          </w:p>
        </w:tc>
        <w:tc>
          <w:tcPr>
            <w:tcW w:type="dxa" w:w="1370"/>
          </w:tcPr>
          <w:p>
            <w:pPr>
              <w:spacing w:before="20" w:after="20"/>
              <w:jc w:val="center"/>
            </w:pPr>
            <w:r/>
            <w:r>
              <w:rPr>
                <w:rFonts w:ascii="Times New Roman" w:hAnsi="Times New Roman"/>
                <w:b w:val="0"/>
                <w:i w:val="0"/>
                <w:sz w:val="18"/>
              </w:rPr>
              <w:t>NaiveRV</w:t>
            </w:r>
          </w:p>
        </w:tc>
        <w:tc>
          <w:tcPr>
            <w:tcW w:type="dxa" w:w="1370"/>
          </w:tcPr>
          <w:p>
            <w:pPr>
              <w:spacing w:before="20" w:after="20"/>
              <w:jc w:val="center"/>
            </w:pPr>
            <w:r/>
            <w:r>
              <w:rPr>
                <w:rFonts w:ascii="Times New Roman" w:hAnsi="Times New Roman"/>
                <w:b w:val="0"/>
                <w:i w:val="0"/>
                <w:sz w:val="18"/>
              </w:rPr>
              <w:t>21.738</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5d</w:t>
            </w:r>
          </w:p>
        </w:tc>
        <w:tc>
          <w:tcPr>
            <w:tcW w:type="dxa" w:w="1370"/>
          </w:tcPr>
          <w:p>
            <w:pPr>
              <w:spacing w:before="20" w:after="20"/>
              <w:jc w:val="center"/>
            </w:pPr>
            <w:r/>
            <w:r>
              <w:rPr>
                <w:rFonts w:ascii="Times New Roman" w:hAnsi="Times New Roman"/>
                <w:b w:val="0"/>
                <w:i w:val="0"/>
                <w:sz w:val="18"/>
              </w:rPr>
              <w:t>GARCH</w:t>
            </w:r>
          </w:p>
        </w:tc>
        <w:tc>
          <w:tcPr>
            <w:tcW w:type="dxa" w:w="1370"/>
          </w:tcPr>
          <w:p>
            <w:pPr>
              <w:spacing w:before="20" w:after="20"/>
              <w:jc w:val="center"/>
            </w:pPr>
            <w:r/>
            <w:r>
              <w:rPr>
                <w:rFonts w:ascii="Times New Roman" w:hAnsi="Times New Roman"/>
                <w:b w:val="0"/>
                <w:i w:val="0"/>
                <w:sz w:val="18"/>
              </w:rPr>
              <w:t>11.290</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5d</w:t>
            </w:r>
          </w:p>
        </w:tc>
        <w:tc>
          <w:tcPr>
            <w:tcW w:type="dxa" w:w="1370"/>
          </w:tcPr>
          <w:p>
            <w:pPr>
              <w:spacing w:before="20" w:after="20"/>
              <w:jc w:val="center"/>
            </w:pPr>
            <w:r/>
            <w:r>
              <w:rPr>
                <w:rFonts w:ascii="Times New Roman" w:hAnsi="Times New Roman"/>
                <w:b w:val="0"/>
                <w:i w:val="0"/>
                <w:sz w:val="18"/>
              </w:rPr>
              <w:t>IV-only</w:t>
            </w:r>
          </w:p>
        </w:tc>
        <w:tc>
          <w:tcPr>
            <w:tcW w:type="dxa" w:w="1370"/>
          </w:tcPr>
          <w:p>
            <w:pPr>
              <w:spacing w:before="20" w:after="20"/>
              <w:jc w:val="center"/>
            </w:pPr>
            <w:r/>
            <w:r>
              <w:rPr>
                <w:rFonts w:ascii="Times New Roman" w:hAnsi="Times New Roman"/>
                <w:b w:val="0"/>
                <w:i w:val="0"/>
                <w:sz w:val="18"/>
              </w:rPr>
              <w:t>38.664</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22d</w:t>
            </w:r>
          </w:p>
        </w:tc>
        <w:tc>
          <w:tcPr>
            <w:tcW w:type="dxa" w:w="1370"/>
          </w:tcPr>
          <w:p>
            <w:pPr>
              <w:spacing w:before="20" w:after="20"/>
              <w:jc w:val="center"/>
            </w:pPr>
            <w:r/>
            <w:r>
              <w:rPr>
                <w:rFonts w:ascii="Times New Roman" w:hAnsi="Times New Roman"/>
                <w:b w:val="0"/>
                <w:i w:val="0"/>
                <w:sz w:val="18"/>
              </w:rPr>
              <w:t>HAR-3</w:t>
            </w:r>
          </w:p>
        </w:tc>
        <w:tc>
          <w:tcPr>
            <w:tcW w:type="dxa" w:w="1370"/>
          </w:tcPr>
          <w:p>
            <w:pPr>
              <w:spacing w:before="20" w:after="20"/>
              <w:jc w:val="center"/>
            </w:pPr>
            <w:r/>
            <w:r>
              <w:rPr>
                <w:rFonts w:ascii="Times New Roman" w:hAnsi="Times New Roman"/>
                <w:b w:val="0"/>
                <w:i w:val="0"/>
                <w:sz w:val="18"/>
              </w:rPr>
              <w:t>5.395</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22d</w:t>
            </w:r>
          </w:p>
        </w:tc>
        <w:tc>
          <w:tcPr>
            <w:tcW w:type="dxa" w:w="1370"/>
          </w:tcPr>
          <w:p>
            <w:pPr>
              <w:spacing w:before="20" w:after="20"/>
              <w:jc w:val="center"/>
            </w:pPr>
            <w:r/>
            <w:r>
              <w:rPr>
                <w:rFonts w:ascii="Times New Roman" w:hAnsi="Times New Roman"/>
                <w:b w:val="0"/>
                <w:i w:val="0"/>
                <w:sz w:val="18"/>
              </w:rPr>
              <w:t>NaiveRV</w:t>
            </w:r>
          </w:p>
        </w:tc>
        <w:tc>
          <w:tcPr>
            <w:tcW w:type="dxa" w:w="1370"/>
          </w:tcPr>
          <w:p>
            <w:pPr>
              <w:spacing w:before="20" w:after="20"/>
              <w:jc w:val="center"/>
            </w:pPr>
            <w:r/>
            <w:r>
              <w:rPr>
                <w:rFonts w:ascii="Times New Roman" w:hAnsi="Times New Roman"/>
                <w:b w:val="0"/>
                <w:i w:val="0"/>
                <w:sz w:val="18"/>
              </w:rPr>
              <w:t>8.698</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22d</w:t>
            </w:r>
          </w:p>
        </w:tc>
        <w:tc>
          <w:tcPr>
            <w:tcW w:type="dxa" w:w="1370"/>
          </w:tcPr>
          <w:p>
            <w:pPr>
              <w:spacing w:before="20" w:after="20"/>
              <w:jc w:val="center"/>
            </w:pPr>
            <w:r/>
            <w:r>
              <w:rPr>
                <w:rFonts w:ascii="Times New Roman" w:hAnsi="Times New Roman"/>
                <w:b w:val="0"/>
                <w:i w:val="0"/>
                <w:sz w:val="18"/>
              </w:rPr>
              <w:t>GARCH</w:t>
            </w:r>
          </w:p>
        </w:tc>
        <w:tc>
          <w:tcPr>
            <w:tcW w:type="dxa" w:w="1370"/>
          </w:tcPr>
          <w:p>
            <w:pPr>
              <w:spacing w:before="20" w:after="20"/>
              <w:jc w:val="center"/>
            </w:pPr>
            <w:r/>
            <w:r>
              <w:rPr>
                <w:rFonts w:ascii="Times New Roman" w:hAnsi="Times New Roman"/>
                <w:b w:val="0"/>
                <w:i w:val="0"/>
                <w:sz w:val="18"/>
              </w:rPr>
              <w:t>12.136</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22d</w:t>
            </w:r>
          </w:p>
        </w:tc>
        <w:tc>
          <w:tcPr>
            <w:tcW w:type="dxa" w:w="1370"/>
          </w:tcPr>
          <w:p>
            <w:pPr>
              <w:spacing w:before="20" w:after="20"/>
              <w:jc w:val="center"/>
            </w:pPr>
            <w:r/>
            <w:r>
              <w:rPr>
                <w:rFonts w:ascii="Times New Roman" w:hAnsi="Times New Roman"/>
                <w:b w:val="0"/>
                <w:i w:val="0"/>
                <w:sz w:val="18"/>
              </w:rPr>
              <w:t>IV-only</w:t>
            </w:r>
          </w:p>
        </w:tc>
        <w:tc>
          <w:tcPr>
            <w:tcW w:type="dxa" w:w="1370"/>
          </w:tcPr>
          <w:p>
            <w:pPr>
              <w:spacing w:before="20" w:after="20"/>
              <w:jc w:val="center"/>
            </w:pPr>
            <w:r/>
            <w:r>
              <w:rPr>
                <w:rFonts w:ascii="Times New Roman" w:hAnsi="Times New Roman"/>
                <w:b w:val="0"/>
                <w:i w:val="0"/>
                <w:sz w:val="18"/>
              </w:rPr>
              <w:t>39.456</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60d</w:t>
            </w:r>
          </w:p>
        </w:tc>
        <w:tc>
          <w:tcPr>
            <w:tcW w:type="dxa" w:w="1370"/>
          </w:tcPr>
          <w:p>
            <w:pPr>
              <w:spacing w:before="20" w:after="20"/>
              <w:jc w:val="center"/>
            </w:pPr>
            <w:r/>
            <w:r>
              <w:rPr>
                <w:rFonts w:ascii="Times New Roman" w:hAnsi="Times New Roman"/>
                <w:b w:val="0"/>
                <w:i w:val="0"/>
                <w:sz w:val="18"/>
              </w:rPr>
              <w:t>HAR-3</w:t>
            </w:r>
          </w:p>
        </w:tc>
        <w:tc>
          <w:tcPr>
            <w:tcW w:type="dxa" w:w="1370"/>
          </w:tcPr>
          <w:p>
            <w:pPr>
              <w:spacing w:before="20" w:after="20"/>
              <w:jc w:val="center"/>
            </w:pPr>
            <w:r/>
            <w:r>
              <w:rPr>
                <w:rFonts w:ascii="Times New Roman" w:hAnsi="Times New Roman"/>
                <w:b w:val="0"/>
                <w:i w:val="0"/>
                <w:sz w:val="18"/>
              </w:rPr>
              <w:t>0.159</w:t>
            </w:r>
          </w:p>
        </w:tc>
        <w:tc>
          <w:tcPr>
            <w:tcW w:type="dxa" w:w="1370"/>
          </w:tcPr>
          <w:p>
            <w:pPr>
              <w:spacing w:before="20" w:after="20"/>
              <w:jc w:val="center"/>
            </w:pPr>
            <w:r/>
            <w:r>
              <w:rPr>
                <w:rFonts w:ascii="Times New Roman" w:hAnsi="Times New Roman"/>
                <w:b w:val="0"/>
                <w:i w:val="0"/>
                <w:sz w:val="18"/>
              </w:rPr>
              <w:t>0.874</w:t>
            </w:r>
          </w:p>
        </w:tc>
        <w:tc>
          <w:tcPr>
            <w:tcW w:type="dxa" w:w="1370"/>
          </w:tcPr>
          <w:p>
            <w:pPr>
              <w:spacing w:before="20" w:after="20"/>
              <w:jc w:val="center"/>
            </w:pPr>
            <w:r/>
            <w:r>
              <w:rPr>
                <w:rFonts w:ascii="Times New Roman" w:hAnsi="Times New Roman"/>
                <w:b w:val="0"/>
                <w:i w:val="0"/>
                <w:sz w:val="18"/>
              </w:rPr>
              <w:t>0.920</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60d</w:t>
            </w:r>
          </w:p>
        </w:tc>
        <w:tc>
          <w:tcPr>
            <w:tcW w:type="dxa" w:w="1370"/>
          </w:tcPr>
          <w:p>
            <w:pPr>
              <w:spacing w:before="20" w:after="20"/>
              <w:jc w:val="center"/>
            </w:pPr>
            <w:r/>
            <w:r>
              <w:rPr>
                <w:rFonts w:ascii="Times New Roman" w:hAnsi="Times New Roman"/>
                <w:b w:val="0"/>
                <w:i w:val="0"/>
                <w:sz w:val="18"/>
              </w:rPr>
              <w:t>NaiveRV</w:t>
            </w:r>
          </w:p>
        </w:tc>
        <w:tc>
          <w:tcPr>
            <w:tcW w:type="dxa" w:w="1370"/>
          </w:tcPr>
          <w:p>
            <w:pPr>
              <w:spacing w:before="20" w:after="20"/>
              <w:jc w:val="center"/>
            </w:pPr>
            <w:r/>
            <w:r>
              <w:rPr>
                <w:rFonts w:ascii="Times New Roman" w:hAnsi="Times New Roman"/>
                <w:b w:val="0"/>
                <w:i w:val="0"/>
                <w:sz w:val="18"/>
              </w:rPr>
              <w:t>0.101</w:t>
            </w:r>
          </w:p>
        </w:tc>
        <w:tc>
          <w:tcPr>
            <w:tcW w:type="dxa" w:w="1370"/>
          </w:tcPr>
          <w:p>
            <w:pPr>
              <w:spacing w:before="20" w:after="20"/>
              <w:jc w:val="center"/>
            </w:pPr>
            <w:r/>
            <w:r>
              <w:rPr>
                <w:rFonts w:ascii="Times New Roman" w:hAnsi="Times New Roman"/>
                <w:b w:val="0"/>
                <w:i w:val="0"/>
                <w:sz w:val="18"/>
              </w:rPr>
              <w:t>0.920</w:t>
            </w:r>
          </w:p>
        </w:tc>
        <w:tc>
          <w:tcPr>
            <w:tcW w:type="dxa" w:w="1370"/>
          </w:tcPr>
          <w:p>
            <w:pPr>
              <w:spacing w:before="20" w:after="20"/>
              <w:jc w:val="center"/>
            </w:pPr>
            <w:r/>
            <w:r>
              <w:rPr>
                <w:rFonts w:ascii="Times New Roman" w:hAnsi="Times New Roman"/>
                <w:b w:val="0"/>
                <w:i w:val="0"/>
                <w:sz w:val="18"/>
              </w:rPr>
              <w:t>0.920</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60d</w:t>
            </w:r>
          </w:p>
        </w:tc>
        <w:tc>
          <w:tcPr>
            <w:tcW w:type="dxa" w:w="1370"/>
          </w:tcPr>
          <w:p>
            <w:pPr>
              <w:spacing w:before="20" w:after="20"/>
              <w:jc w:val="center"/>
            </w:pPr>
            <w:r/>
            <w:r>
              <w:rPr>
                <w:rFonts w:ascii="Times New Roman" w:hAnsi="Times New Roman"/>
                <w:b w:val="0"/>
                <w:i w:val="0"/>
                <w:sz w:val="18"/>
              </w:rPr>
              <w:t>GARCH</w:t>
            </w:r>
          </w:p>
        </w:tc>
        <w:tc>
          <w:tcPr>
            <w:tcW w:type="dxa" w:w="1370"/>
          </w:tcPr>
          <w:p>
            <w:pPr>
              <w:spacing w:before="20" w:after="20"/>
              <w:jc w:val="center"/>
            </w:pPr>
            <w:r/>
            <w:r>
              <w:rPr>
                <w:rFonts w:ascii="Times New Roman" w:hAnsi="Times New Roman"/>
                <w:b w:val="0"/>
                <w:i w:val="0"/>
                <w:sz w:val="18"/>
              </w:rPr>
              <w:t>10.983</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60d</w:t>
            </w:r>
          </w:p>
        </w:tc>
        <w:tc>
          <w:tcPr>
            <w:tcW w:type="dxa" w:w="1370"/>
          </w:tcPr>
          <w:p>
            <w:pPr>
              <w:spacing w:before="20" w:after="20"/>
              <w:jc w:val="center"/>
            </w:pPr>
            <w:r/>
            <w:r>
              <w:rPr>
                <w:rFonts w:ascii="Times New Roman" w:hAnsi="Times New Roman"/>
                <w:b w:val="0"/>
                <w:i w:val="0"/>
                <w:sz w:val="18"/>
              </w:rPr>
              <w:t>IV-only</w:t>
            </w:r>
          </w:p>
        </w:tc>
        <w:tc>
          <w:tcPr>
            <w:tcW w:type="dxa" w:w="1370"/>
          </w:tcPr>
          <w:p>
            <w:pPr>
              <w:spacing w:before="20" w:after="20"/>
              <w:jc w:val="center"/>
            </w:pPr>
            <w:r/>
            <w:r>
              <w:rPr>
                <w:rFonts w:ascii="Times New Roman" w:hAnsi="Times New Roman"/>
                <w:b w:val="0"/>
                <w:i w:val="0"/>
                <w:sz w:val="18"/>
              </w:rPr>
              <w:t>28.160</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90d</w:t>
            </w:r>
          </w:p>
        </w:tc>
        <w:tc>
          <w:tcPr>
            <w:tcW w:type="dxa" w:w="1370"/>
          </w:tcPr>
          <w:p>
            <w:pPr>
              <w:spacing w:before="20" w:after="20"/>
              <w:jc w:val="center"/>
            </w:pPr>
            <w:r/>
            <w:r>
              <w:rPr>
                <w:rFonts w:ascii="Times New Roman" w:hAnsi="Times New Roman"/>
                <w:b w:val="0"/>
                <w:i w:val="0"/>
                <w:sz w:val="18"/>
              </w:rPr>
              <w:t>HAR-3</w:t>
            </w:r>
          </w:p>
        </w:tc>
        <w:tc>
          <w:tcPr>
            <w:tcW w:type="dxa" w:w="1370"/>
          </w:tcPr>
          <w:p>
            <w:pPr>
              <w:spacing w:before="20" w:after="20"/>
              <w:jc w:val="center"/>
            </w:pPr>
            <w:r/>
            <w:r>
              <w:rPr>
                <w:rFonts w:ascii="Times New Roman" w:hAnsi="Times New Roman"/>
                <w:b w:val="0"/>
                <w:i w:val="0"/>
                <w:sz w:val="18"/>
              </w:rPr>
              <w:t>-1.885</w:t>
            </w:r>
          </w:p>
        </w:tc>
        <w:tc>
          <w:tcPr>
            <w:tcW w:type="dxa" w:w="1370"/>
          </w:tcPr>
          <w:p>
            <w:pPr>
              <w:spacing w:before="20" w:after="20"/>
              <w:jc w:val="center"/>
            </w:pPr>
            <w:r/>
            <w:r>
              <w:rPr>
                <w:rFonts w:ascii="Times New Roman" w:hAnsi="Times New Roman"/>
                <w:b w:val="0"/>
                <w:i w:val="0"/>
                <w:sz w:val="18"/>
              </w:rPr>
              <w:t>0.059</w:t>
            </w:r>
          </w:p>
        </w:tc>
        <w:tc>
          <w:tcPr>
            <w:tcW w:type="dxa" w:w="1370"/>
          </w:tcPr>
          <w:p>
            <w:pPr>
              <w:spacing w:before="20" w:after="20"/>
              <w:jc w:val="center"/>
            </w:pPr>
            <w:r/>
            <w:r>
              <w:rPr>
                <w:rFonts w:ascii="Times New Roman" w:hAnsi="Times New Roman"/>
                <w:b w:val="0"/>
                <w:i w:val="0"/>
                <w:sz w:val="18"/>
              </w:rPr>
              <w:t>0.076</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90d</w:t>
            </w:r>
          </w:p>
        </w:tc>
        <w:tc>
          <w:tcPr>
            <w:tcW w:type="dxa" w:w="1370"/>
          </w:tcPr>
          <w:p>
            <w:pPr>
              <w:spacing w:before="20" w:after="20"/>
              <w:jc w:val="center"/>
            </w:pPr>
            <w:r/>
            <w:r>
              <w:rPr>
                <w:rFonts w:ascii="Times New Roman" w:hAnsi="Times New Roman"/>
                <w:b w:val="0"/>
                <w:i w:val="0"/>
                <w:sz w:val="18"/>
              </w:rPr>
              <w:t>NaiveRV</w:t>
            </w:r>
          </w:p>
        </w:tc>
        <w:tc>
          <w:tcPr>
            <w:tcW w:type="dxa" w:w="1370"/>
          </w:tcPr>
          <w:p>
            <w:pPr>
              <w:spacing w:before="20" w:after="20"/>
              <w:jc w:val="center"/>
            </w:pPr>
            <w:r/>
            <w:r>
              <w:rPr>
                <w:rFonts w:ascii="Times New Roman" w:hAnsi="Times New Roman"/>
                <w:b w:val="0"/>
                <w:i w:val="0"/>
                <w:sz w:val="18"/>
              </w:rPr>
              <w:t>-0.121</w:t>
            </w:r>
          </w:p>
        </w:tc>
        <w:tc>
          <w:tcPr>
            <w:tcW w:type="dxa" w:w="1370"/>
          </w:tcPr>
          <w:p>
            <w:pPr>
              <w:spacing w:before="20" w:after="20"/>
              <w:jc w:val="center"/>
            </w:pPr>
            <w:r/>
            <w:r>
              <w:rPr>
                <w:rFonts w:ascii="Times New Roman" w:hAnsi="Times New Roman"/>
                <w:b w:val="0"/>
                <w:i w:val="0"/>
                <w:sz w:val="18"/>
              </w:rPr>
              <w:t>0.904</w:t>
            </w:r>
          </w:p>
        </w:tc>
        <w:tc>
          <w:tcPr>
            <w:tcW w:type="dxa" w:w="1370"/>
          </w:tcPr>
          <w:p>
            <w:pPr>
              <w:spacing w:before="20" w:after="20"/>
              <w:jc w:val="center"/>
            </w:pPr>
            <w:r/>
            <w:r>
              <w:rPr>
                <w:rFonts w:ascii="Times New Roman" w:hAnsi="Times New Roman"/>
                <w:b w:val="0"/>
                <w:i w:val="0"/>
                <w:sz w:val="18"/>
              </w:rPr>
              <w:t>0.920</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90d</w:t>
            </w:r>
          </w:p>
        </w:tc>
        <w:tc>
          <w:tcPr>
            <w:tcW w:type="dxa" w:w="1370"/>
          </w:tcPr>
          <w:p>
            <w:pPr>
              <w:spacing w:before="20" w:after="20"/>
              <w:jc w:val="center"/>
            </w:pPr>
            <w:r/>
            <w:r>
              <w:rPr>
                <w:rFonts w:ascii="Times New Roman" w:hAnsi="Times New Roman"/>
                <w:b w:val="0"/>
                <w:i w:val="0"/>
                <w:sz w:val="18"/>
              </w:rPr>
              <w:t>GARCH</w:t>
            </w:r>
          </w:p>
        </w:tc>
        <w:tc>
          <w:tcPr>
            <w:tcW w:type="dxa" w:w="1370"/>
          </w:tcPr>
          <w:p>
            <w:pPr>
              <w:spacing w:before="20" w:after="20"/>
              <w:jc w:val="center"/>
            </w:pPr>
            <w:r/>
            <w:r>
              <w:rPr>
                <w:rFonts w:ascii="Times New Roman" w:hAnsi="Times New Roman"/>
                <w:b w:val="0"/>
                <w:i w:val="0"/>
                <w:sz w:val="18"/>
              </w:rPr>
              <w:t>7.643</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90d</w:t>
            </w:r>
          </w:p>
        </w:tc>
        <w:tc>
          <w:tcPr>
            <w:tcW w:type="dxa" w:w="1370"/>
          </w:tcPr>
          <w:p>
            <w:pPr>
              <w:spacing w:before="20" w:after="20"/>
              <w:jc w:val="center"/>
            </w:pPr>
            <w:r/>
            <w:r>
              <w:rPr>
                <w:rFonts w:ascii="Times New Roman" w:hAnsi="Times New Roman"/>
                <w:b w:val="0"/>
                <w:i w:val="0"/>
                <w:sz w:val="18"/>
              </w:rPr>
              <w:t>IV-only</w:t>
            </w:r>
          </w:p>
        </w:tc>
        <w:tc>
          <w:tcPr>
            <w:tcW w:type="dxa" w:w="1370"/>
          </w:tcPr>
          <w:p>
            <w:pPr>
              <w:spacing w:before="20" w:after="20"/>
              <w:jc w:val="center"/>
            </w:pPr>
            <w:r/>
            <w:r>
              <w:rPr>
                <w:rFonts w:ascii="Times New Roman" w:hAnsi="Times New Roman"/>
                <w:b w:val="0"/>
                <w:i w:val="0"/>
                <w:sz w:val="18"/>
              </w:rPr>
              <w:t>22.816</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120d</w:t>
            </w:r>
          </w:p>
        </w:tc>
        <w:tc>
          <w:tcPr>
            <w:tcW w:type="dxa" w:w="1370"/>
          </w:tcPr>
          <w:p>
            <w:pPr>
              <w:spacing w:before="20" w:after="20"/>
              <w:jc w:val="center"/>
            </w:pPr>
            <w:r/>
            <w:r>
              <w:rPr>
                <w:rFonts w:ascii="Times New Roman" w:hAnsi="Times New Roman"/>
                <w:b w:val="0"/>
                <w:i w:val="0"/>
                <w:sz w:val="18"/>
              </w:rPr>
              <w:t>HAR-3</w:t>
            </w:r>
          </w:p>
        </w:tc>
        <w:tc>
          <w:tcPr>
            <w:tcW w:type="dxa" w:w="1370"/>
          </w:tcPr>
          <w:p>
            <w:pPr>
              <w:spacing w:before="20" w:after="20"/>
              <w:jc w:val="center"/>
            </w:pPr>
            <w:r/>
            <w:r>
              <w:rPr>
                <w:rFonts w:ascii="Times New Roman" w:hAnsi="Times New Roman"/>
                <w:b w:val="0"/>
                <w:i w:val="0"/>
                <w:sz w:val="18"/>
              </w:rPr>
              <w:t>-0.717</w:t>
            </w:r>
          </w:p>
        </w:tc>
        <w:tc>
          <w:tcPr>
            <w:tcW w:type="dxa" w:w="1370"/>
          </w:tcPr>
          <w:p>
            <w:pPr>
              <w:spacing w:before="20" w:after="20"/>
              <w:jc w:val="center"/>
            </w:pPr>
            <w:r/>
            <w:r>
              <w:rPr>
                <w:rFonts w:ascii="Times New Roman" w:hAnsi="Times New Roman"/>
                <w:b w:val="0"/>
                <w:i w:val="0"/>
                <w:sz w:val="18"/>
              </w:rPr>
              <w:t>0.474</w:t>
            </w:r>
          </w:p>
        </w:tc>
        <w:tc>
          <w:tcPr>
            <w:tcW w:type="dxa" w:w="1370"/>
          </w:tcPr>
          <w:p>
            <w:pPr>
              <w:spacing w:before="20" w:after="20"/>
              <w:jc w:val="center"/>
            </w:pPr>
            <w:r/>
            <w:r>
              <w:rPr>
                <w:rFonts w:ascii="Times New Roman" w:hAnsi="Times New Roman"/>
                <w:b w:val="0"/>
                <w:i w:val="0"/>
                <w:sz w:val="18"/>
              </w:rPr>
              <w:t>0.541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120d</w:t>
            </w:r>
          </w:p>
        </w:tc>
        <w:tc>
          <w:tcPr>
            <w:tcW w:type="dxa" w:w="1370"/>
          </w:tcPr>
          <w:p>
            <w:pPr>
              <w:spacing w:before="20" w:after="20"/>
              <w:jc w:val="center"/>
            </w:pPr>
            <w:r/>
            <w:r>
              <w:rPr>
                <w:rFonts w:ascii="Times New Roman" w:hAnsi="Times New Roman"/>
                <w:b w:val="0"/>
                <w:i w:val="0"/>
                <w:sz w:val="18"/>
              </w:rPr>
              <w:t>NaiveRV</w:t>
            </w:r>
          </w:p>
        </w:tc>
        <w:tc>
          <w:tcPr>
            <w:tcW w:type="dxa" w:w="1370"/>
          </w:tcPr>
          <w:p>
            <w:pPr>
              <w:spacing w:before="20" w:after="20"/>
              <w:jc w:val="center"/>
            </w:pPr>
            <w:r/>
            <w:r>
              <w:rPr>
                <w:rFonts w:ascii="Times New Roman" w:hAnsi="Times New Roman"/>
                <w:b w:val="0"/>
                <w:i w:val="0"/>
                <w:sz w:val="18"/>
              </w:rPr>
              <w:t>1.409</w:t>
            </w:r>
          </w:p>
        </w:tc>
        <w:tc>
          <w:tcPr>
            <w:tcW w:type="dxa" w:w="1370"/>
          </w:tcPr>
          <w:p>
            <w:pPr>
              <w:spacing w:before="20" w:after="20"/>
              <w:jc w:val="center"/>
            </w:pPr>
            <w:r/>
            <w:r>
              <w:rPr>
                <w:rFonts w:ascii="Times New Roman" w:hAnsi="Times New Roman"/>
                <w:b w:val="0"/>
                <w:i w:val="0"/>
                <w:sz w:val="18"/>
              </w:rPr>
              <w:t>0.159</w:t>
            </w:r>
          </w:p>
        </w:tc>
        <w:tc>
          <w:tcPr>
            <w:tcW w:type="dxa" w:w="1370"/>
          </w:tcPr>
          <w:p>
            <w:pPr>
              <w:spacing w:before="20" w:after="20"/>
              <w:jc w:val="center"/>
            </w:pPr>
            <w:r/>
            <w:r>
              <w:rPr>
                <w:rFonts w:ascii="Times New Roman" w:hAnsi="Times New Roman"/>
                <w:b w:val="0"/>
                <w:i w:val="0"/>
                <w:sz w:val="18"/>
              </w:rPr>
              <w:t>0.196</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120d</w:t>
            </w:r>
          </w:p>
        </w:tc>
        <w:tc>
          <w:tcPr>
            <w:tcW w:type="dxa" w:w="1370"/>
          </w:tcPr>
          <w:p>
            <w:pPr>
              <w:spacing w:before="20" w:after="20"/>
              <w:jc w:val="center"/>
            </w:pPr>
            <w:r/>
            <w:r>
              <w:rPr>
                <w:rFonts w:ascii="Times New Roman" w:hAnsi="Times New Roman"/>
                <w:b w:val="0"/>
                <w:i w:val="0"/>
                <w:sz w:val="18"/>
              </w:rPr>
              <w:t>GARCH</w:t>
            </w:r>
          </w:p>
        </w:tc>
        <w:tc>
          <w:tcPr>
            <w:tcW w:type="dxa" w:w="1370"/>
          </w:tcPr>
          <w:p>
            <w:pPr>
              <w:spacing w:before="20" w:after="20"/>
              <w:jc w:val="center"/>
            </w:pPr>
            <w:r/>
            <w:r>
              <w:rPr>
                <w:rFonts w:ascii="Times New Roman" w:hAnsi="Times New Roman"/>
                <w:b w:val="0"/>
                <w:i w:val="0"/>
                <w:sz w:val="18"/>
              </w:rPr>
              <w:t>8.191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120d</w:t>
            </w:r>
          </w:p>
        </w:tc>
        <w:tc>
          <w:tcPr>
            <w:tcW w:type="dxa" w:w="1370"/>
          </w:tcPr>
          <w:p>
            <w:pPr>
              <w:spacing w:before="20" w:after="20"/>
              <w:jc w:val="center"/>
            </w:pPr>
            <w:r/>
            <w:r>
              <w:rPr>
                <w:rFonts w:ascii="Times New Roman" w:hAnsi="Times New Roman"/>
                <w:b w:val="0"/>
                <w:i w:val="0"/>
                <w:sz w:val="18"/>
              </w:rPr>
              <w:t>IV-only</w:t>
            </w:r>
          </w:p>
        </w:tc>
        <w:tc>
          <w:tcPr>
            <w:tcW w:type="dxa" w:w="1370"/>
          </w:tcPr>
          <w:p>
            <w:pPr>
              <w:spacing w:before="20" w:after="20"/>
              <w:jc w:val="center"/>
            </w:pPr>
            <w:r/>
            <w:r>
              <w:rPr>
                <w:rFonts w:ascii="Times New Roman" w:hAnsi="Times New Roman"/>
                <w:b w:val="0"/>
                <w:i w:val="0"/>
                <w:sz w:val="18"/>
              </w:rPr>
              <w:t>20.683</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180d</w:t>
            </w:r>
          </w:p>
        </w:tc>
        <w:tc>
          <w:tcPr>
            <w:tcW w:type="dxa" w:w="1370"/>
          </w:tcPr>
          <w:p>
            <w:pPr>
              <w:spacing w:before="20" w:after="20"/>
              <w:jc w:val="center"/>
            </w:pPr>
            <w:r/>
            <w:r>
              <w:rPr>
                <w:rFonts w:ascii="Times New Roman" w:hAnsi="Times New Roman"/>
                <w:b w:val="0"/>
                <w:i w:val="0"/>
                <w:sz w:val="18"/>
              </w:rPr>
              <w:t>HAR-3</w:t>
            </w:r>
          </w:p>
        </w:tc>
        <w:tc>
          <w:tcPr>
            <w:tcW w:type="dxa" w:w="1370"/>
          </w:tcPr>
          <w:p>
            <w:pPr>
              <w:spacing w:before="20" w:after="20"/>
              <w:jc w:val="center"/>
            </w:pPr>
            <w:r/>
            <w:r>
              <w:rPr>
                <w:rFonts w:ascii="Times New Roman" w:hAnsi="Times New Roman"/>
                <w:b w:val="0"/>
                <w:i w:val="0"/>
                <w:sz w:val="18"/>
              </w:rPr>
              <w:t>1.092</w:t>
            </w:r>
          </w:p>
        </w:tc>
        <w:tc>
          <w:tcPr>
            <w:tcW w:type="dxa" w:w="1370"/>
          </w:tcPr>
          <w:p>
            <w:pPr>
              <w:spacing w:before="20" w:after="20"/>
              <w:jc w:val="center"/>
            </w:pPr>
            <w:r/>
            <w:r>
              <w:rPr>
                <w:rFonts w:ascii="Times New Roman" w:hAnsi="Times New Roman"/>
                <w:b w:val="0"/>
                <w:i w:val="0"/>
                <w:sz w:val="18"/>
              </w:rPr>
              <w:t>0.275</w:t>
            </w:r>
          </w:p>
        </w:tc>
        <w:tc>
          <w:tcPr>
            <w:tcW w:type="dxa" w:w="1370"/>
          </w:tcPr>
          <w:p>
            <w:pPr>
              <w:spacing w:before="20" w:after="20"/>
              <w:jc w:val="center"/>
            </w:pPr>
            <w:r/>
            <w:r>
              <w:rPr>
                <w:rFonts w:ascii="Times New Roman" w:hAnsi="Times New Roman"/>
                <w:b w:val="0"/>
                <w:i w:val="0"/>
                <w:sz w:val="18"/>
              </w:rPr>
              <w:t>0.326</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180d</w:t>
            </w:r>
          </w:p>
        </w:tc>
        <w:tc>
          <w:tcPr>
            <w:tcW w:type="dxa" w:w="1370"/>
          </w:tcPr>
          <w:p>
            <w:pPr>
              <w:spacing w:before="20" w:after="20"/>
              <w:jc w:val="center"/>
            </w:pPr>
            <w:r/>
            <w:r>
              <w:rPr>
                <w:rFonts w:ascii="Times New Roman" w:hAnsi="Times New Roman"/>
                <w:b w:val="0"/>
                <w:i w:val="0"/>
                <w:sz w:val="18"/>
              </w:rPr>
              <w:t>NaiveRV</w:t>
            </w:r>
          </w:p>
        </w:tc>
        <w:tc>
          <w:tcPr>
            <w:tcW w:type="dxa" w:w="1370"/>
          </w:tcPr>
          <w:p>
            <w:pPr>
              <w:spacing w:before="20" w:after="20"/>
              <w:jc w:val="center"/>
            </w:pPr>
            <w:r/>
            <w:r>
              <w:rPr>
                <w:rFonts w:ascii="Times New Roman" w:hAnsi="Times New Roman"/>
                <w:b w:val="0"/>
                <w:i w:val="0"/>
                <w:sz w:val="18"/>
              </w:rPr>
              <w:t>3.499</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180d</w:t>
            </w:r>
          </w:p>
        </w:tc>
        <w:tc>
          <w:tcPr>
            <w:tcW w:type="dxa" w:w="1370"/>
          </w:tcPr>
          <w:p>
            <w:pPr>
              <w:spacing w:before="20" w:after="20"/>
              <w:jc w:val="center"/>
            </w:pPr>
            <w:r/>
            <w:r>
              <w:rPr>
                <w:rFonts w:ascii="Times New Roman" w:hAnsi="Times New Roman"/>
                <w:b w:val="0"/>
                <w:i w:val="0"/>
                <w:sz w:val="18"/>
              </w:rPr>
              <w:t>GARCH</w:t>
            </w:r>
          </w:p>
        </w:tc>
        <w:tc>
          <w:tcPr>
            <w:tcW w:type="dxa" w:w="1370"/>
          </w:tcPr>
          <w:p>
            <w:pPr>
              <w:spacing w:before="20" w:after="20"/>
              <w:jc w:val="center"/>
            </w:pPr>
            <w:r/>
            <w:r>
              <w:rPr>
                <w:rFonts w:ascii="Times New Roman" w:hAnsi="Times New Roman"/>
                <w:b w:val="0"/>
                <w:i w:val="0"/>
                <w:sz w:val="18"/>
              </w:rPr>
              <w:t>7.284</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180d</w:t>
            </w:r>
          </w:p>
        </w:tc>
        <w:tc>
          <w:tcPr>
            <w:tcW w:type="dxa" w:w="1370"/>
          </w:tcPr>
          <w:p>
            <w:pPr>
              <w:spacing w:before="20" w:after="20"/>
              <w:jc w:val="center"/>
            </w:pPr>
            <w:r/>
            <w:r>
              <w:rPr>
                <w:rFonts w:ascii="Times New Roman" w:hAnsi="Times New Roman"/>
                <w:b w:val="0"/>
                <w:i w:val="0"/>
                <w:sz w:val="18"/>
              </w:rPr>
              <w:t>IV-only</w:t>
            </w:r>
          </w:p>
        </w:tc>
        <w:tc>
          <w:tcPr>
            <w:tcW w:type="dxa" w:w="1370"/>
          </w:tcPr>
          <w:p>
            <w:pPr>
              <w:spacing w:before="20" w:after="20"/>
              <w:jc w:val="center"/>
            </w:pPr>
            <w:r/>
            <w:r>
              <w:rPr>
                <w:rFonts w:ascii="Times New Roman" w:hAnsi="Times New Roman"/>
                <w:b w:val="0"/>
                <w:i w:val="0"/>
                <w:sz w:val="18"/>
              </w:rPr>
              <w:t>17.977</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252d</w:t>
            </w:r>
          </w:p>
        </w:tc>
        <w:tc>
          <w:tcPr>
            <w:tcW w:type="dxa" w:w="1370"/>
          </w:tcPr>
          <w:p>
            <w:pPr>
              <w:spacing w:before="20" w:after="20"/>
              <w:jc w:val="center"/>
            </w:pPr>
            <w:r/>
            <w:r>
              <w:rPr>
                <w:rFonts w:ascii="Times New Roman" w:hAnsi="Times New Roman"/>
                <w:b w:val="0"/>
                <w:i w:val="0"/>
                <w:sz w:val="18"/>
              </w:rPr>
              <w:t>HAR-3</w:t>
            </w:r>
          </w:p>
        </w:tc>
        <w:tc>
          <w:tcPr>
            <w:tcW w:type="dxa" w:w="1370"/>
          </w:tcPr>
          <w:p>
            <w:pPr>
              <w:spacing w:before="20" w:after="20"/>
              <w:jc w:val="center"/>
            </w:pPr>
            <w:r/>
            <w:r>
              <w:rPr>
                <w:rFonts w:ascii="Times New Roman" w:hAnsi="Times New Roman"/>
                <w:b w:val="0"/>
                <w:i w:val="0"/>
                <w:sz w:val="18"/>
              </w:rPr>
              <w:t>0.654</w:t>
            </w:r>
          </w:p>
        </w:tc>
        <w:tc>
          <w:tcPr>
            <w:tcW w:type="dxa" w:w="1370"/>
          </w:tcPr>
          <w:p>
            <w:pPr>
              <w:spacing w:before="20" w:after="20"/>
              <w:jc w:val="center"/>
            </w:pPr>
            <w:r/>
            <w:r>
              <w:rPr>
                <w:rFonts w:ascii="Times New Roman" w:hAnsi="Times New Roman"/>
                <w:b w:val="0"/>
                <w:i w:val="0"/>
                <w:sz w:val="18"/>
              </w:rPr>
              <w:t>0.513</w:t>
            </w:r>
          </w:p>
        </w:tc>
        <w:tc>
          <w:tcPr>
            <w:tcW w:type="dxa" w:w="1370"/>
          </w:tcPr>
          <w:p>
            <w:pPr>
              <w:spacing w:before="20" w:after="20"/>
              <w:jc w:val="center"/>
            </w:pPr>
            <w:r/>
            <w:r>
              <w:rPr>
                <w:rFonts w:ascii="Times New Roman" w:hAnsi="Times New Roman"/>
                <w:b w:val="0"/>
                <w:i w:val="0"/>
                <w:sz w:val="18"/>
              </w:rPr>
              <w:t>0.566</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252d</w:t>
            </w:r>
          </w:p>
        </w:tc>
        <w:tc>
          <w:tcPr>
            <w:tcW w:type="dxa" w:w="1370"/>
          </w:tcPr>
          <w:p>
            <w:pPr>
              <w:spacing w:before="20" w:after="20"/>
              <w:jc w:val="center"/>
            </w:pPr>
            <w:r/>
            <w:r>
              <w:rPr>
                <w:rFonts w:ascii="Times New Roman" w:hAnsi="Times New Roman"/>
                <w:b w:val="0"/>
                <w:i w:val="0"/>
                <w:sz w:val="18"/>
              </w:rPr>
              <w:t>NaiveRV</w:t>
            </w:r>
          </w:p>
        </w:tc>
        <w:tc>
          <w:tcPr>
            <w:tcW w:type="dxa" w:w="1370"/>
          </w:tcPr>
          <w:p>
            <w:pPr>
              <w:spacing w:before="20" w:after="20"/>
              <w:jc w:val="center"/>
            </w:pPr>
            <w:r/>
            <w:r>
              <w:rPr>
                <w:rFonts w:ascii="Times New Roman" w:hAnsi="Times New Roman"/>
                <w:b w:val="0"/>
                <w:i w:val="0"/>
                <w:sz w:val="18"/>
              </w:rPr>
              <w:t>3.570</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252d</w:t>
            </w:r>
          </w:p>
        </w:tc>
        <w:tc>
          <w:tcPr>
            <w:tcW w:type="dxa" w:w="1370"/>
          </w:tcPr>
          <w:p>
            <w:pPr>
              <w:spacing w:before="20" w:after="20"/>
              <w:jc w:val="center"/>
            </w:pPr>
            <w:r/>
            <w:r>
              <w:rPr>
                <w:rFonts w:ascii="Times New Roman" w:hAnsi="Times New Roman"/>
                <w:b w:val="0"/>
                <w:i w:val="0"/>
                <w:sz w:val="18"/>
              </w:rPr>
              <w:t>GARCH</w:t>
            </w:r>
          </w:p>
        </w:tc>
        <w:tc>
          <w:tcPr>
            <w:tcW w:type="dxa" w:w="1370"/>
          </w:tcPr>
          <w:p>
            <w:pPr>
              <w:spacing w:before="20" w:after="20"/>
              <w:jc w:val="center"/>
            </w:pPr>
            <w:r/>
            <w:r>
              <w:rPr>
                <w:rFonts w:ascii="Times New Roman" w:hAnsi="Times New Roman"/>
                <w:b w:val="0"/>
                <w:i w:val="0"/>
                <w:sz w:val="18"/>
              </w:rPr>
              <w:t>6.957</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r>
        <w:tc>
          <w:tcPr>
            <w:tcW w:type="dxa" w:w="1370"/>
          </w:tcPr>
          <w:p>
            <w:pPr>
              <w:spacing w:before="20" w:after="20"/>
              <w:jc w:val="center"/>
            </w:pPr>
            <w:r/>
            <w:r>
              <w:rPr>
                <w:rFonts w:ascii="Times New Roman" w:hAnsi="Times New Roman"/>
                <w:b w:val="0"/>
                <w:i w:val="0"/>
                <w:sz w:val="18"/>
              </w:rPr>
              <w:t>252d</w:t>
            </w:r>
          </w:p>
        </w:tc>
        <w:tc>
          <w:tcPr>
            <w:tcW w:type="dxa" w:w="1370"/>
          </w:tcPr>
          <w:p>
            <w:pPr>
              <w:spacing w:before="20" w:after="20"/>
              <w:jc w:val="center"/>
            </w:pPr>
            <w:r/>
            <w:r>
              <w:rPr>
                <w:rFonts w:ascii="Times New Roman" w:hAnsi="Times New Roman"/>
                <w:b w:val="0"/>
                <w:i w:val="0"/>
                <w:sz w:val="18"/>
              </w:rPr>
              <w:t>IV-only</w:t>
            </w:r>
          </w:p>
        </w:tc>
        <w:tc>
          <w:tcPr>
            <w:tcW w:type="dxa" w:w="1370"/>
          </w:tcPr>
          <w:p>
            <w:pPr>
              <w:spacing w:before="20" w:after="20"/>
              <w:jc w:val="center"/>
            </w:pPr>
            <w:r/>
            <w:r>
              <w:rPr>
                <w:rFonts w:ascii="Times New Roman" w:hAnsi="Times New Roman"/>
                <w:b w:val="0"/>
                <w:i w:val="0"/>
                <w:sz w:val="18"/>
              </w:rPr>
              <w:t>12.915</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&lt;0.001</w:t>
            </w:r>
          </w:p>
        </w:tc>
        <w:tc>
          <w:tcPr>
            <w:tcW w:type="dxa" w:w="1370"/>
          </w:tcPr>
          <w:p>
            <w:pPr>
              <w:spacing w:before="20" w:after="20"/>
              <w:jc w:val="center"/>
            </w:pPr>
            <w:r/>
            <w:r>
              <w:rPr>
                <w:rFonts w:ascii="Times New Roman" w:hAnsi="Times New Roman"/>
                <w:b w:val="0"/>
                <w:i w:val="0"/>
                <w:sz w:val="18"/>
              </w:rPr>
              <w:t>✓</w:t>
            </w:r>
          </w:p>
        </w:tc>
      </w:tr>
    </w:tbl>
    <w:p/>
    <w:p>
      <w:r>
        <w:br w:type="page"/>
      </w:r>
    </w:p>
    <w:p>
      <w:pPr>
        <w:spacing w:before="240" w:after="120" w:lineRule="auto" w:line="360"/>
        <w:jc w:val="left"/>
      </w:pPr>
      <w:r>
        <w:rPr>
          <w:rFonts w:ascii="Times New Roman" w:hAnsi="Times New Roman"/>
          <w:b/>
          <w:i w:val="0"/>
          <w:sz w:val="24"/>
        </w:rPr>
        <w:t>부록 D. 데이터 전처리 및 학습 알고리즘 의사코드</w:t>
      </w:r>
    </w:p>
    <w:p>
      <w:pPr>
        <w:spacing w:before="0" w:after="120" w:lineRule="auto" w:line="360"/>
        <w:jc w:val="both"/>
      </w:pPr>
      <w:r>
        <w:rPr>
          <w:rFonts w:ascii="Times New Roman" w:hAnsi="Times New Roman"/>
          <w:b w:val="0"/>
          <w:i w:val="0"/>
          <w:sz w:val="20"/>
        </w:rPr>
        <w:t>알고리즘 D-1. 데이터 전처리 및 피처 생성</w:t>
      </w:r>
    </w:p>
    <w:p>
      <w:pPr>
        <w:spacing w:before="0" w:after="120" w:lineRule="auto" w:line="360"/>
        <w:jc w:val="both"/>
      </w:pPr>
      <w:r>
        <w:rPr>
          <w:rFonts w:ascii="Times New Roman" w:hAnsi="Times New Roman"/>
          <w:b w:val="0"/>
          <w:i w:val="0"/>
          <w:sz w:val="20"/>
        </w:rPr>
        <w:t>입력: OHLCV 일별 데이터 (11 ETFs, 2010-2024), VIX/VIX3M/VIX9D</w:t>
      </w:r>
    </w:p>
    <w:p>
      <w:pPr>
        <w:spacing w:before="0" w:after="120" w:lineRule="auto" w:line="360"/>
        <w:jc w:val="both"/>
      </w:pPr>
      <w:r>
        <w:rPr>
          <w:rFonts w:ascii="Times New Roman" w:hAnsi="Times New Roman"/>
          <w:b w:val="0"/>
          <w:i w:val="0"/>
          <w:sz w:val="20"/>
        </w:rPr>
        <w:t>출력: 피처 행렬 X, 타깃 벡터 y (자산 × 날짜 패널)</w:t>
      </w:r>
    </w:p>
    <w:p>
      <w:pPr>
        <w:spacing w:before="40" w:after="40" w:lineRule="auto" w:line="312"/>
        <w:ind w:hanging="400" w:left="400"/>
        <w:jc w:val="both"/>
      </w:pPr>
      <w:r>
        <w:rPr>
          <w:rFonts w:ascii="Times New Roman" w:hAnsi="Times New Roman"/>
          <w:b w:val="0"/>
          <w:i w:val="0"/>
          <w:sz w:val="20"/>
        </w:rPr>
        <w:t>1. 각 자산별 결측치 처리 (forward fill)</w:t>
      </w:r>
    </w:p>
    <w:p>
      <w:pPr>
        <w:spacing w:before="40" w:after="40" w:lineRule="auto" w:line="312"/>
        <w:ind w:hanging="400" w:left="400"/>
        <w:jc w:val="both"/>
      </w:pPr>
      <w:r>
        <w:rPr>
          <w:rFonts w:ascii="Times New Roman" w:hAnsi="Times New Roman"/>
          <w:b w:val="0"/>
          <w:i w:val="0"/>
          <w:sz w:val="20"/>
        </w:rPr>
        <w:t>2. 수정 종가 기반 로그수익률 r_t = log(P_t / P_{t-1}) 계산</w:t>
      </w:r>
    </w:p>
    <w:p>
      <w:pPr>
        <w:spacing w:before="40" w:after="40" w:lineRule="auto" w:line="312"/>
        <w:ind w:hanging="400" w:left="400"/>
        <w:jc w:val="both"/>
      </w:pPr>
      <w:r>
        <w:rPr>
          <w:rFonts w:ascii="Times New Roman" w:hAnsi="Times New Roman"/>
          <w:b w:val="0"/>
          <w:i w:val="0"/>
          <w:sz w:val="20"/>
        </w:rPr>
        <w:t>3. HAR 기반 피처 계산:</w:t>
      </w:r>
    </w:p>
    <w:p>
      <w:pPr>
        <w:spacing w:before="0" w:after="120" w:lineRule="auto" w:line="360"/>
        <w:jc w:val="both"/>
      </w:pPr>
      <w:r>
        <w:rPr>
          <w:rFonts w:ascii="Times New Roman" w:hAnsi="Times New Roman"/>
          <w:b w:val="0"/>
          <w:i w:val="0"/>
          <w:sz w:val="20"/>
        </w:rPr>
        <w:t>- LogRV_lag{1,5,10,22}, LogRV_Std{5,22}, RV_Mom{5,22}</w:t>
      </w:r>
    </w:p>
    <w:p>
      <w:pPr>
        <w:spacing w:before="0" w:after="120" w:lineRule="auto" w:line="360"/>
        <w:jc w:val="both"/>
      </w:pPr>
      <w:r>
        <w:rPr>
          <w:rFonts w:ascii="Times New Roman" w:hAnsi="Times New Roman"/>
          <w:b w:val="0"/>
          <w:i w:val="0"/>
          <w:sz w:val="20"/>
        </w:rPr>
        <w:t>- Ret_lag1, Ret_abs_lag1, SPY_LogRV, Corr_SPY</w:t>
      </w:r>
    </w:p>
    <w:p>
      <w:pPr>
        <w:spacing w:before="40" w:after="40" w:lineRule="auto" w:line="312"/>
        <w:ind w:hanging="400" w:left="400"/>
        <w:jc w:val="both"/>
      </w:pPr>
      <w:r>
        <w:rPr>
          <w:rFonts w:ascii="Times New Roman" w:hAnsi="Times New Roman"/>
          <w:b w:val="0"/>
          <w:i w:val="0"/>
          <w:sz w:val="20"/>
        </w:rPr>
        <w:t>4. HF Proxy 피처 계산 (원시 OHLC 사용):</w:t>
      </w:r>
    </w:p>
    <w:p>
      <w:pPr>
        <w:spacing w:before="0" w:after="120" w:lineRule="auto" w:line="360"/>
        <w:jc w:val="both"/>
      </w:pPr>
      <w:r>
        <w:rPr>
          <w:rFonts w:ascii="Times New Roman" w:hAnsi="Times New Roman"/>
          <w:b w:val="0"/>
          <w:i w:val="0"/>
          <w:sz w:val="20"/>
        </w:rPr>
        <w:t>- Parkinson_{5,22}, GarmanKlass_22, RogersSatchell_22</w:t>
      </w:r>
    </w:p>
    <w:p>
      <w:pPr>
        <w:spacing w:before="0" w:after="120" w:lineRule="auto" w:line="360"/>
        <w:jc w:val="both"/>
      </w:pPr>
      <w:r>
        <w:rPr>
          <w:rFonts w:ascii="Times New Roman" w:hAnsi="Times New Roman"/>
          <w:b w:val="0"/>
          <w:i w:val="0"/>
          <w:sz w:val="20"/>
        </w:rPr>
        <w:t>- Range_Close_Ratio, Overnight_Vol, Overnight_Ret</w:t>
      </w:r>
    </w:p>
    <w:p>
      <w:pPr>
        <w:spacing w:before="40" w:after="40" w:lineRule="auto" w:line="312"/>
        <w:ind w:hanging="400" w:left="400"/>
        <w:jc w:val="both"/>
      </w:pPr>
      <w:r>
        <w:rPr>
          <w:rFonts w:ascii="Times New Roman" w:hAnsi="Times New Roman"/>
          <w:b w:val="0"/>
          <w:i w:val="0"/>
          <w:sz w:val="20"/>
        </w:rPr>
        <w:t>5. IV Surface 피처 계산:</w:t>
      </w:r>
    </w:p>
    <w:p>
      <w:pPr>
        <w:spacing w:before="0" w:after="120" w:lineRule="auto" w:line="360"/>
        <w:jc w:val="both"/>
      </w:pPr>
      <w:r>
        <w:rPr>
          <w:rFonts w:ascii="Times New Roman" w:hAnsi="Times New Roman"/>
          <w:b w:val="0"/>
          <w:i w:val="0"/>
          <w:sz w:val="20"/>
        </w:rPr>
        <w:t>- IV_VIX, IV_VIX_chg, IV_VIX_ma5, IV_VIX_std5</w:t>
      </w:r>
    </w:p>
    <w:p>
      <w:pPr>
        <w:spacing w:before="0" w:after="120" w:lineRule="auto" w:line="360"/>
        <w:jc w:val="both"/>
      </w:pPr>
      <w:r>
        <w:rPr>
          <w:rFonts w:ascii="Times New Roman" w:hAnsi="Times New Roman"/>
          <w:b w:val="0"/>
          <w:i w:val="0"/>
          <w:sz w:val="20"/>
        </w:rPr>
        <w:t>- IV_VIX3M, IV_VIX_TermSlope, IV_VIX9D, IV_VIX_ShortSlope</w:t>
      </w:r>
    </w:p>
    <w:p>
      <w:pPr>
        <w:spacing w:before="0" w:after="120" w:lineRule="auto" w:line="360"/>
        <w:jc w:val="both"/>
      </w:pPr>
      <w:r>
        <w:rPr>
          <w:rFonts w:ascii="Times New Roman" w:hAnsi="Times New Roman"/>
          <w:b w:val="0"/>
          <w:i w:val="0"/>
          <w:sz w:val="20"/>
        </w:rPr>
        <w:t>- IV_VRP (= (VIX/100)</w:t>
      </w:r>
      <w:r>
        <w:rPr>
          <w:rFonts w:ascii="Times New Roman" w:hAnsi="Times New Roman"/>
          <w:b w:val="0"/>
          <w:i w:val="0"/>
          <w:sz w:val="20"/>
          <w:vertAlign w:val="superscript"/>
        </w:rPr>
        <w:t>2</w:t>
      </w:r>
      <w:r>
        <w:rPr>
          <w:rFonts w:ascii="Times New Roman" w:hAnsi="Times New Roman"/>
          <w:b w:val="0"/>
          <w:i w:val="0"/>
          <w:sz w:val="20"/>
        </w:rPr>
        <w:t xml:space="preserve"> - RV_SPY_22d), IV_VRP_ma22</w:t>
      </w:r>
    </w:p>
    <w:p>
      <w:pPr>
        <w:spacing w:before="40" w:after="40" w:lineRule="auto" w:line="312"/>
        <w:ind w:hanging="400" w:left="400"/>
        <w:jc w:val="both"/>
      </w:pPr>
      <w:r>
        <w:rPr>
          <w:rFonts w:ascii="Times New Roman" w:hAnsi="Times New Roman"/>
          <w:b w:val="0"/>
          <w:i w:val="0"/>
          <w:sz w:val="20"/>
        </w:rPr>
        <w:t>6. Alternative 피처 계산:</w:t>
      </w:r>
    </w:p>
    <w:p>
      <w:pPr>
        <w:spacing w:before="0" w:after="120" w:lineRule="auto" w:line="360"/>
        <w:jc w:val="both"/>
      </w:pPr>
      <w:r>
        <w:rPr>
          <w:rFonts w:ascii="Times New Roman" w:hAnsi="Times New Roman"/>
          <w:b w:val="0"/>
          <w:i w:val="0"/>
          <w:sz w:val="20"/>
        </w:rPr>
        <w:t>- AltVol_Amihud, AltVol_Vol_Ratio, AltVol_PV_Corr</w:t>
      </w:r>
    </w:p>
    <w:p>
      <w:pPr>
        <w:spacing w:before="0" w:after="120" w:lineRule="auto" w:line="360"/>
        <w:jc w:val="both"/>
      </w:pPr>
      <w:r>
        <w:rPr>
          <w:rFonts w:ascii="Times New Roman" w:hAnsi="Times New Roman"/>
          <w:b w:val="0"/>
          <w:i w:val="0"/>
          <w:sz w:val="20"/>
        </w:rPr>
        <w:t>- AltVol_Vol_Surprise, AltVol_Order_Imbalance, AltVol_Kyle_Lambda</w:t>
      </w:r>
    </w:p>
    <w:p>
      <w:pPr>
        <w:spacing w:before="40" w:after="40" w:lineRule="auto" w:line="312"/>
        <w:ind w:hanging="400" w:left="400"/>
        <w:jc w:val="both"/>
      </w:pPr>
      <w:r>
        <w:rPr>
          <w:rFonts w:ascii="Times New Roman" w:hAnsi="Times New Roman"/>
          <w:b w:val="0"/>
          <w:i w:val="0"/>
          <w:sz w:val="20"/>
        </w:rPr>
        <w:t>7. 전방 RV 타깃 y_{i,t}(h) = 연율화(mean(r</w:t>
      </w:r>
      <w:r>
        <w:rPr>
          <w:rFonts w:ascii="Times New Roman" w:hAnsi="Times New Roman"/>
          <w:b w:val="0"/>
          <w:i w:val="0"/>
          <w:sz w:val="20"/>
          <w:vertAlign w:val="superscript"/>
        </w:rPr>
        <w:t>2</w:t>
      </w:r>
      <w:r>
        <w:rPr>
          <w:rFonts w:ascii="Times New Roman" w:hAnsi="Times New Roman"/>
          <w:b w:val="0"/>
          <w:i w:val="0"/>
          <w:sz w:val="20"/>
        </w:rPr>
        <w:t>_{t+1}, ..., r</w:t>
      </w:r>
      <w:r>
        <w:rPr>
          <w:rFonts w:ascii="Times New Roman" w:hAnsi="Times New Roman"/>
          <w:b w:val="0"/>
          <w:i w:val="0"/>
          <w:sz w:val="20"/>
          <w:vertAlign w:val="superscript"/>
        </w:rPr>
        <w:t>2</w:t>
      </w:r>
      <w:r>
        <w:rPr>
          <w:rFonts w:ascii="Times New Roman" w:hAnsi="Times New Roman"/>
          <w:b w:val="0"/>
          <w:i w:val="0"/>
          <w:sz w:val="20"/>
        </w:rPr>
        <w:t>_{t+h})) 계산</w:t>
      </w:r>
    </w:p>
    <w:p>
      <w:pPr>
        <w:spacing w:before="40" w:after="40" w:lineRule="auto" w:line="312"/>
        <w:ind w:hanging="400" w:left="400"/>
        <w:jc w:val="both"/>
      </w:pPr>
      <w:r>
        <w:rPr>
          <w:rFonts w:ascii="Times New Roman" w:hAnsi="Times New Roman"/>
          <w:b w:val="0"/>
          <w:i w:val="0"/>
          <w:sz w:val="20"/>
        </w:rPr>
        <w:t>8. 표본 끝부분 h일 제거</w:t>
      </w:r>
    </w:p>
    <w:p>
      <w:pPr>
        <w:spacing w:before="40" w:after="40" w:lineRule="auto" w:line="312"/>
        <w:ind w:hanging="400" w:left="400"/>
        <w:jc w:val="both"/>
      </w:pPr>
      <w:r>
        <w:rPr>
          <w:rFonts w:ascii="Times New Roman" w:hAnsi="Times New Roman"/>
          <w:b w:val="0"/>
          <w:i w:val="0"/>
          <w:sz w:val="20"/>
        </w:rPr>
        <w:t>9. 피처 행렬 X, 타깃 y 반환</w:t>
      </w:r>
    </w:p>
    <w:p>
      <w:pPr>
        <w:spacing w:before="0" w:after="120" w:lineRule="auto" w:line="360"/>
        <w:jc w:val="both"/>
      </w:pPr>
      <w:r>
        <w:rPr>
          <w:rFonts w:ascii="Times New Roman" w:hAnsi="Times New Roman"/>
          <w:b w:val="0"/>
          <w:i w:val="0"/>
          <w:sz w:val="20"/>
        </w:rPr>
        <w:t>알고리즘 D-2. WEns 학습 및 예측 절차</w:t>
      </w:r>
    </w:p>
    <w:p>
      <w:pPr>
        <w:spacing w:before="0" w:after="120" w:lineRule="auto" w:line="360"/>
        <w:jc w:val="both"/>
      </w:pPr>
      <w:r>
        <w:rPr>
          <w:rFonts w:ascii="Times New Roman" w:hAnsi="Times New Roman"/>
          <w:b w:val="0"/>
          <w:i w:val="0"/>
          <w:sz w:val="20"/>
        </w:rPr>
        <w:t>입력: 피처 행렬 X, 타깃 y, 예측 기간 h, 자산군 그룹 G</w:t>
      </w:r>
    </w:p>
    <w:p>
      <w:pPr>
        <w:spacing w:before="0" w:after="120" w:lineRule="auto" w:line="360"/>
        <w:jc w:val="both"/>
      </w:pPr>
      <w:r>
        <w:rPr>
          <w:rFonts w:ascii="Times New Roman" w:hAnsi="Times New Roman"/>
          <w:b w:val="0"/>
          <w:i w:val="0"/>
          <w:sz w:val="20"/>
        </w:rPr>
        <w:t>출력: 테스트 구간 예측값 y_hat</w:t>
      </w:r>
    </w:p>
    <w:p>
      <w:pPr>
        <w:spacing w:before="40" w:after="40" w:lineRule="auto" w:line="312"/>
        <w:ind w:hanging="400" w:left="400"/>
        <w:jc w:val="both"/>
      </w:pPr>
      <w:r>
        <w:rPr>
          <w:rFonts w:ascii="Times New Roman" w:hAnsi="Times New Roman"/>
          <w:b w:val="0"/>
          <w:i w:val="0"/>
          <w:sz w:val="20"/>
        </w:rPr>
        <w:t>1. 전체 표본을 날짜순 정렬 후 80/20 분할</w:t>
      </w:r>
    </w:p>
    <w:p>
      <w:pPr>
        <w:spacing w:before="0" w:after="120" w:lineRule="auto" w:line="360"/>
        <w:jc w:val="both"/>
      </w:pPr>
      <w:r>
        <w:rPr>
          <w:rFonts w:ascii="Times New Roman" w:hAnsi="Times New Roman"/>
          <w:b w:val="0"/>
          <w:i w:val="0"/>
          <w:sz w:val="20"/>
        </w:rPr>
        <w:t>- train_end = 전체 날짜의 80% 시점</w:t>
      </w:r>
    </w:p>
    <w:p>
      <w:pPr>
        <w:spacing w:before="0" w:after="120" w:lineRule="auto" w:line="360"/>
        <w:jc w:val="both"/>
      </w:pPr>
      <w:r>
        <w:rPr>
          <w:rFonts w:ascii="Times New Roman" w:hAnsi="Times New Roman"/>
          <w:b w:val="0"/>
          <w:i w:val="0"/>
          <w:sz w:val="20"/>
        </w:rPr>
        <w:t>- purge gap 적용: test_start = train_end + h</w:t>
      </w:r>
    </w:p>
    <w:p>
      <w:pPr>
        <w:spacing w:before="40" w:after="40" w:lineRule="auto" w:line="312"/>
        <w:ind w:hanging="400" w:left="400"/>
        <w:jc w:val="both"/>
      </w:pPr>
      <w:r>
        <w:rPr>
          <w:rFonts w:ascii="Times New Roman" w:hAnsi="Times New Roman"/>
          <w:b w:val="0"/>
          <w:i w:val="0"/>
          <w:sz w:val="20"/>
        </w:rPr>
        <w:t>2. 자산군별 독립 학습 (g ∈ G):</w:t>
      </w:r>
    </w:p>
    <w:p>
      <w:pPr>
        <w:spacing w:before="0" w:after="120" w:lineRule="auto" w:line="360"/>
        <w:jc w:val="both"/>
      </w:pPr>
      <w:r>
        <w:rPr>
          <w:rFonts w:ascii="Times New Roman" w:hAnsi="Times New Roman"/>
          <w:b w:val="0"/>
          <w:i w:val="0"/>
          <w:sz w:val="20"/>
        </w:rPr>
        <w:t>a. X_train_g, y_train_g 추출 (train_end까지)</w:t>
      </w:r>
    </w:p>
    <w:p>
      <w:pPr>
        <w:spacing w:before="0" w:after="120" w:lineRule="auto" w:line="360"/>
        <w:jc w:val="both"/>
      </w:pPr>
      <w:r>
        <w:rPr>
          <w:rFonts w:ascii="Times New Roman" w:hAnsi="Times New Roman"/>
          <w:b w:val="0"/>
          <w:i w:val="0"/>
          <w:sz w:val="20"/>
        </w:rPr>
        <w:t>b. 내부 검증셋(inner holdout) 분할 (train_g의 80/20, purge gap h 적용)</w:t>
      </w:r>
    </w:p>
    <w:p>
      <w:pPr>
        <w:spacing w:before="0" w:after="120" w:lineRule="auto" w:line="360"/>
        <w:jc w:val="both"/>
      </w:pPr>
      <w:r>
        <w:rPr>
          <w:rFonts w:ascii="Times New Roman" w:hAnsi="Times New Roman"/>
          <w:b w:val="0"/>
          <w:i w:val="0"/>
          <w:sz w:val="20"/>
        </w:rPr>
        <w:t>c. Ridge 하이퍼파라미터 탐색 (α grid, 내부 검증셋 R</w:t>
      </w:r>
      <w:r>
        <w:rPr>
          <w:rFonts w:ascii="Times New Roman" w:hAnsi="Times New Roman"/>
          <w:b w:val="0"/>
          <w:i w:val="0"/>
          <w:sz w:val="20"/>
          <w:vertAlign w:val="superscript"/>
        </w:rPr>
        <w:t>2</w:t>
      </w:r>
      <w:r>
        <w:rPr>
          <w:rFonts w:ascii="Times New Roman" w:hAnsi="Times New Roman"/>
          <w:b w:val="0"/>
          <w:i w:val="0"/>
          <w:sz w:val="20"/>
        </w:rPr>
        <w:t xml:space="preserve"> 기준)</w:t>
      </w:r>
    </w:p>
    <w:p>
      <w:pPr>
        <w:spacing w:before="0" w:after="120" w:lineRule="auto" w:line="360"/>
        <w:jc w:val="both"/>
      </w:pPr>
      <w:r>
        <w:rPr>
          <w:rFonts w:ascii="Times New Roman" w:hAnsi="Times New Roman"/>
          <w:b w:val="0"/>
          <w:i w:val="0"/>
          <w:sz w:val="20"/>
        </w:rPr>
        <w:t>d. XGBoost 하이퍼파라미터 탐색 (grid search, 내부 검증셋 R</w:t>
      </w:r>
      <w:r>
        <w:rPr>
          <w:rFonts w:ascii="Times New Roman" w:hAnsi="Times New Roman"/>
          <w:b w:val="0"/>
          <w:i w:val="0"/>
          <w:sz w:val="20"/>
          <w:vertAlign w:val="superscript"/>
        </w:rPr>
        <w:t>2</w:t>
      </w:r>
      <w:r>
        <w:rPr>
          <w:rFonts w:ascii="Times New Roman" w:hAnsi="Times New Roman"/>
          <w:b w:val="0"/>
          <w:i w:val="0"/>
          <w:sz w:val="20"/>
        </w:rPr>
        <w:t xml:space="preserve"> 기준)</w:t>
      </w:r>
    </w:p>
    <w:p>
      <w:pPr>
        <w:spacing w:before="0" w:after="120" w:lineRule="auto" w:line="360"/>
        <w:jc w:val="both"/>
      </w:pPr>
      <w:r>
        <w:rPr>
          <w:rFonts w:ascii="Times New Roman" w:hAnsi="Times New Roman"/>
          <w:b w:val="0"/>
          <w:i w:val="0"/>
          <w:sz w:val="20"/>
        </w:rPr>
        <w:t>e. WEns 가중치 탐색: pw ∈ {0.4,...,0.9}에서 내부 검증셋 R</w:t>
      </w:r>
      <w:r>
        <w:rPr>
          <w:rFonts w:ascii="Times New Roman" w:hAnsi="Times New Roman"/>
          <w:b w:val="0"/>
          <w:i w:val="0"/>
          <w:sz w:val="20"/>
          <w:vertAlign w:val="superscript"/>
        </w:rPr>
        <w:t>2</w:t>
      </w:r>
      <w:r>
        <w:rPr>
          <w:rFonts w:ascii="Times New Roman" w:hAnsi="Times New Roman"/>
          <w:b w:val="0"/>
          <w:i w:val="0"/>
          <w:sz w:val="20"/>
        </w:rPr>
        <w:t xml:space="preserve"> 최대화</w:t>
      </w:r>
    </w:p>
    <w:p>
      <w:pPr>
        <w:spacing w:before="0" w:after="120" w:lineRule="auto" w:line="360"/>
        <w:jc w:val="both"/>
      </w:pPr>
      <w:r>
        <w:rPr>
          <w:rFonts w:ascii="Times New Roman" w:hAnsi="Times New Roman"/>
          <w:b w:val="0"/>
          <w:i w:val="0"/>
          <w:sz w:val="20"/>
        </w:rPr>
        <w:t>f. 최적 파라미터로 전체 train_g에 Ridge, XGBoost 재학습</w:t>
      </w:r>
    </w:p>
    <w:p>
      <w:pPr>
        <w:spacing w:before="40" w:after="40" w:lineRule="auto" w:line="312"/>
        <w:ind w:hanging="400" w:left="400"/>
        <w:jc w:val="both"/>
      </w:pPr>
      <w:r>
        <w:rPr>
          <w:rFonts w:ascii="Times New Roman" w:hAnsi="Times New Roman"/>
          <w:b w:val="0"/>
          <w:i w:val="0"/>
          <w:sz w:val="20"/>
        </w:rPr>
        <w:t>3. 테스트 구간 예측:</w:t>
      </w:r>
    </w:p>
    <w:p>
      <w:pPr>
        <w:spacing w:before="0" w:after="120" w:lineRule="auto" w:line="360"/>
        <w:jc w:val="both"/>
      </w:pPr>
      <w:r>
        <w:rPr>
          <w:rFonts w:ascii="Times New Roman" w:hAnsi="Times New Roman"/>
          <w:b w:val="0"/>
          <w:i w:val="0"/>
          <w:sz w:val="20"/>
        </w:rPr>
        <w:t>- y_hat_Ridge = Ridge.predict(X_test_g)</w:t>
      </w:r>
    </w:p>
    <w:p>
      <w:pPr>
        <w:spacing w:before="0" w:after="120" w:lineRule="auto" w:line="360"/>
        <w:jc w:val="both"/>
      </w:pPr>
      <w:r>
        <w:rPr>
          <w:rFonts w:ascii="Times New Roman" w:hAnsi="Times New Roman"/>
          <w:b w:val="0"/>
          <w:i w:val="0"/>
          <w:sz w:val="20"/>
        </w:rPr>
        <w:t>- y_hat_XGB = XGBoost.predict(X_test_g)</w:t>
      </w:r>
    </w:p>
    <w:p>
      <w:pPr>
        <w:spacing w:before="0" w:after="120" w:lineRule="auto" w:line="360"/>
        <w:jc w:val="both"/>
      </w:pPr>
      <w:r>
        <w:rPr>
          <w:rFonts w:ascii="Times New Roman" w:hAnsi="Times New Roman"/>
          <w:b w:val="0"/>
          <w:i w:val="0"/>
          <w:sz w:val="20"/>
        </w:rPr>
        <w:t>- y_hat_WEns = pw * y_hat_Ridge + (1-pw) * y_hat_XGB</w:t>
      </w:r>
    </w:p>
    <w:p>
      <w:pPr>
        <w:spacing w:before="40" w:after="40" w:lineRule="auto" w:line="312"/>
        <w:ind w:hanging="400" w:left="400"/>
        <w:jc w:val="both"/>
      </w:pPr>
      <w:r>
        <w:rPr>
          <w:rFonts w:ascii="Times New Roman" w:hAnsi="Times New Roman"/>
          <w:b w:val="0"/>
          <w:i w:val="0"/>
          <w:sz w:val="20"/>
        </w:rPr>
        <w:t>4. Pooled R</w:t>
      </w:r>
      <w:r>
        <w:rPr>
          <w:rFonts w:ascii="Times New Roman" w:hAnsi="Times New Roman"/>
          <w:b w:val="0"/>
          <w:i w:val="0"/>
          <w:sz w:val="20"/>
          <w:vertAlign w:val="superscript"/>
        </w:rPr>
        <w:t>2</w:t>
      </w:r>
      <w:r>
        <w:rPr>
          <w:rFonts w:ascii="Times New Roman" w:hAnsi="Times New Roman"/>
          <w:b w:val="0"/>
          <w:i w:val="0"/>
          <w:sz w:val="20"/>
        </w:rPr>
        <w:t>, Median R</w:t>
      </w:r>
      <w:r>
        <w:rPr>
          <w:rFonts w:ascii="Times New Roman" w:hAnsi="Times New Roman"/>
          <w:b w:val="0"/>
          <w:i w:val="0"/>
          <w:sz w:val="20"/>
          <w:vertAlign w:val="superscript"/>
        </w:rPr>
        <w:t>2</w:t>
      </w:r>
      <w:r>
        <w:rPr>
          <w:rFonts w:ascii="Times New Roman" w:hAnsi="Times New Roman"/>
          <w:b w:val="0"/>
          <w:i w:val="0"/>
          <w:sz w:val="20"/>
        </w:rPr>
        <w:t>, RMSE 계산</w:t>
      </w:r>
    </w:p>
    <w:p>
      <w:pPr>
        <w:spacing w:before="40" w:after="40" w:lineRule="auto" w:line="312"/>
        <w:ind w:hanging="400" w:left="400"/>
        <w:jc w:val="both"/>
      </w:pPr>
      <w:r>
        <w:rPr>
          <w:rFonts w:ascii="Times New Roman" w:hAnsi="Times New Roman"/>
          <w:b w:val="0"/>
          <w:i w:val="0"/>
          <w:sz w:val="20"/>
        </w:rPr>
        <w:t>5. DM 검정 (Newey-West HAC, bandwidth=h) 수행</w:t>
      </w:r>
    </w:p>
    <w:p>
      <w:pPr>
        <w:spacing w:before="40" w:after="40" w:lineRule="auto" w:line="312"/>
        <w:ind w:hanging="400" w:left="400"/>
        <w:jc w:val="both"/>
      </w:pPr>
      <w:r>
        <w:rPr>
          <w:rFonts w:ascii="Times New Roman" w:hAnsi="Times New Roman"/>
          <w:b w:val="0"/>
          <w:i w:val="0"/>
          <w:sz w:val="20"/>
        </w:rPr>
        <w:t>6. y_hat_WEns 반환</w:t>
      </w:r>
    </w:p>
    <w:p>
      <w:r>
        <w:br w:type="page"/>
      </w:r>
    </w:p>
    <w:p>
      <w:pPr>
        <w:spacing w:before="240" w:after="120" w:lineRule="auto" w:line="360"/>
        <w:jc w:val="left"/>
      </w:pPr>
      <w:r>
        <w:rPr>
          <w:rFonts w:ascii="Times New Roman" w:hAnsi="Times New Roman"/>
          <w:b/>
          <w:i w:val="0"/>
          <w:sz w:val="24"/>
        </w:rPr>
        <w:t>부록 E. ETF별 기초 통계량 (2010~2024)</w:t>
      </w:r>
    </w:p>
    <w:p>
      <w:pPr>
        <w:spacing w:before="60" w:after="60" w:lineRule="auto" w:line="288"/>
        <w:jc w:val="center"/>
      </w:pPr>
      <w:r>
        <w:rPr>
          <w:rFonts w:ascii="Times New Roman" w:hAnsi="Times New Roman"/>
          <w:b w:val="0"/>
          <w:i w:val="0"/>
          <w:sz w:val="20"/>
        </w:rPr>
        <w:t>표 E-1. ETF별 기초 통계량 (일별 로그수익률 및 22d 연율화 RV)  /  Table E-1. Descriptive Statistics by ETF (Daily Log-Return and 22d Annualized RV)</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tcPr>
          <w:p>
            <w:pPr>
              <w:spacing w:before="20" w:after="20"/>
              <w:jc w:val="center"/>
            </w:pPr>
            <w:r/>
            <w:r>
              <w:rPr>
                <w:rFonts w:ascii="Times New Roman" w:hAnsi="Times New Roman"/>
                <w:b/>
                <w:i w:val="0"/>
                <w:sz w:val="18"/>
              </w:rPr>
              <w:t>Ticker</w:t>
            </w:r>
          </w:p>
        </w:tc>
        <w:tc>
          <w:tcPr>
            <w:tcW w:type="dxa" w:w="1028"/>
          </w:tcPr>
          <w:p>
            <w:pPr>
              <w:spacing w:before="20" w:after="20"/>
              <w:jc w:val="center"/>
            </w:pPr>
            <w:r/>
            <w:r>
              <w:rPr>
                <w:rFonts w:ascii="Times New Roman" w:hAnsi="Times New Roman"/>
                <w:b/>
                <w:i w:val="0"/>
                <w:sz w:val="18"/>
              </w:rPr>
              <w:t>Class</w:t>
            </w:r>
          </w:p>
        </w:tc>
        <w:tc>
          <w:tcPr>
            <w:tcW w:type="dxa" w:w="1028"/>
          </w:tcPr>
          <w:p>
            <w:pPr>
              <w:spacing w:before="20" w:after="20"/>
              <w:jc w:val="center"/>
            </w:pPr>
            <w:r/>
            <w:r>
              <w:rPr>
                <w:rFonts w:ascii="Times New Roman" w:hAnsi="Times New Roman"/>
                <w:b/>
                <w:i w:val="0"/>
                <w:sz w:val="18"/>
              </w:rPr>
              <w:t>Mean Ret(%)</w:t>
            </w:r>
          </w:p>
        </w:tc>
        <w:tc>
          <w:tcPr>
            <w:tcW w:type="dxa" w:w="1028"/>
          </w:tcPr>
          <w:p>
            <w:pPr>
              <w:spacing w:before="20" w:after="20"/>
              <w:jc w:val="center"/>
            </w:pPr>
            <w:r/>
            <w:r>
              <w:rPr>
                <w:rFonts w:ascii="Times New Roman" w:hAnsi="Times New Roman"/>
                <w:b/>
                <w:i w:val="0"/>
                <w:sz w:val="18"/>
              </w:rPr>
              <w:t>Std Ret(%)</w:t>
            </w:r>
          </w:p>
        </w:tc>
        <w:tc>
          <w:tcPr>
            <w:tcW w:type="dxa" w:w="1028"/>
          </w:tcPr>
          <w:p>
            <w:pPr>
              <w:spacing w:before="20" w:after="20"/>
              <w:jc w:val="center"/>
            </w:pPr>
            <w:r/>
            <w:r>
              <w:rPr>
                <w:rFonts w:ascii="Times New Roman" w:hAnsi="Times New Roman"/>
                <w:b/>
                <w:i w:val="0"/>
                <w:sz w:val="18"/>
              </w:rPr>
              <w:t>Mean RV(ann)</w:t>
            </w:r>
          </w:p>
        </w:tc>
        <w:tc>
          <w:tcPr>
            <w:tcW w:type="dxa" w:w="1028"/>
          </w:tcPr>
          <w:p>
            <w:pPr>
              <w:spacing w:before="20" w:after="20"/>
              <w:jc w:val="center"/>
            </w:pPr>
            <w:r/>
            <w:r>
              <w:rPr>
                <w:rFonts w:ascii="Times New Roman" w:hAnsi="Times New Roman"/>
                <w:b/>
                <w:i w:val="0"/>
                <w:sz w:val="18"/>
              </w:rPr>
              <w:t>Std RV(ann)</w:t>
            </w:r>
          </w:p>
        </w:tc>
        <w:tc>
          <w:tcPr>
            <w:tcW w:type="dxa" w:w="1028"/>
          </w:tcPr>
          <w:p>
            <w:pPr>
              <w:spacing w:before="20" w:after="20"/>
              <w:jc w:val="center"/>
            </w:pPr>
            <w:r/>
            <w:r>
              <w:rPr>
                <w:rFonts w:ascii="Times New Roman" w:hAnsi="Times New Roman"/>
                <w:b/>
                <w:i w:val="0"/>
                <w:sz w:val="18"/>
              </w:rPr>
              <w:t>Min RV(ann)</w:t>
            </w:r>
          </w:p>
        </w:tc>
        <w:tc>
          <w:tcPr>
            <w:tcW w:type="dxa" w:w="1028"/>
          </w:tcPr>
          <w:p>
            <w:pPr>
              <w:spacing w:before="20" w:after="20"/>
              <w:jc w:val="center"/>
            </w:pPr>
            <w:r/>
            <w:r>
              <w:rPr>
                <w:rFonts w:ascii="Times New Roman" w:hAnsi="Times New Roman"/>
                <w:b/>
                <w:i w:val="0"/>
                <w:sz w:val="18"/>
              </w:rPr>
              <w:t>Max RV(ann)</w:t>
            </w:r>
          </w:p>
        </w:tc>
      </w:tr>
      <w:tr>
        <w:tc>
          <w:tcPr>
            <w:tcW w:type="dxa" w:w="1028"/>
          </w:tcPr>
          <w:p>
            <w:pPr>
              <w:spacing w:before="20" w:after="20"/>
              <w:jc w:val="center"/>
            </w:pPr>
            <w:r/>
            <w:r>
              <w:rPr>
                <w:rFonts w:ascii="Times New Roman" w:hAnsi="Times New Roman"/>
                <w:b w:val="0"/>
                <w:i w:val="0"/>
                <w:sz w:val="18"/>
              </w:rPr>
              <w:t>SPY</w:t>
            </w:r>
          </w:p>
        </w:tc>
        <w:tc>
          <w:tcPr>
            <w:tcW w:type="dxa" w:w="1028"/>
          </w:tcPr>
          <w:p>
            <w:pPr>
              <w:spacing w:before="20" w:after="20"/>
              <w:jc w:val="center"/>
            </w:pPr>
            <w:r/>
            <w:r>
              <w:rPr>
                <w:rFonts w:ascii="Times New Roman" w:hAnsi="Times New Roman"/>
                <w:b w:val="0"/>
                <w:i w:val="0"/>
                <w:sz w:val="18"/>
              </w:rPr>
              <w:t>Equity</w:t>
            </w:r>
          </w:p>
        </w:tc>
        <w:tc>
          <w:tcPr>
            <w:tcW w:type="dxa" w:w="1028"/>
          </w:tcPr>
          <w:p>
            <w:pPr>
              <w:spacing w:before="20" w:after="20"/>
              <w:jc w:val="center"/>
            </w:pPr>
            <w:r/>
            <w:r>
              <w:rPr>
                <w:rFonts w:ascii="Times New Roman" w:hAnsi="Times New Roman"/>
                <w:b w:val="0"/>
                <w:i w:val="0"/>
                <w:sz w:val="18"/>
              </w:rPr>
              <w:t>0.0509</w:t>
            </w:r>
          </w:p>
        </w:tc>
        <w:tc>
          <w:tcPr>
            <w:tcW w:type="dxa" w:w="1028"/>
          </w:tcPr>
          <w:p>
            <w:pPr>
              <w:spacing w:before="20" w:after="20"/>
              <w:jc w:val="center"/>
            </w:pPr>
            <w:r/>
            <w:r>
              <w:rPr>
                <w:rFonts w:ascii="Times New Roman" w:hAnsi="Times New Roman"/>
                <w:b w:val="0"/>
                <w:i w:val="0"/>
                <w:sz w:val="18"/>
              </w:rPr>
              <w:t>1.0772</w:t>
            </w:r>
          </w:p>
        </w:tc>
        <w:tc>
          <w:tcPr>
            <w:tcW w:type="dxa" w:w="1028"/>
          </w:tcPr>
          <w:p>
            <w:pPr>
              <w:spacing w:before="20" w:after="20"/>
              <w:jc w:val="center"/>
            </w:pPr>
            <w:r/>
            <w:r>
              <w:rPr>
                <w:rFonts w:ascii="Times New Roman" w:hAnsi="Times New Roman"/>
                <w:b w:val="0"/>
                <w:i w:val="0"/>
                <w:sz w:val="18"/>
              </w:rPr>
              <w:t>0.029336</w:t>
            </w:r>
          </w:p>
        </w:tc>
        <w:tc>
          <w:tcPr>
            <w:tcW w:type="dxa" w:w="1028"/>
          </w:tcPr>
          <w:p>
            <w:pPr>
              <w:spacing w:before="20" w:after="20"/>
              <w:jc w:val="center"/>
            </w:pPr>
            <w:r/>
            <w:r>
              <w:rPr>
                <w:rFonts w:ascii="Times New Roman" w:hAnsi="Times New Roman"/>
                <w:b w:val="0"/>
                <w:i w:val="0"/>
                <w:sz w:val="18"/>
              </w:rPr>
              <w:t>0.061390</w:t>
            </w:r>
          </w:p>
        </w:tc>
        <w:tc>
          <w:tcPr>
            <w:tcW w:type="dxa" w:w="1028"/>
          </w:tcPr>
          <w:p>
            <w:pPr>
              <w:spacing w:before="20" w:after="20"/>
              <w:jc w:val="center"/>
            </w:pPr>
            <w:r/>
            <w:r>
              <w:rPr>
                <w:rFonts w:ascii="Times New Roman" w:hAnsi="Times New Roman"/>
                <w:b w:val="0"/>
                <w:i w:val="0"/>
                <w:sz w:val="18"/>
              </w:rPr>
              <w:t>0.001384</w:t>
            </w:r>
          </w:p>
        </w:tc>
        <w:tc>
          <w:tcPr>
            <w:tcW w:type="dxa" w:w="1028"/>
          </w:tcPr>
          <w:p>
            <w:pPr>
              <w:spacing w:before="20" w:after="20"/>
              <w:jc w:val="center"/>
            </w:pPr>
            <w:r/>
            <w:r>
              <w:rPr>
                <w:rFonts w:ascii="Times New Roman" w:hAnsi="Times New Roman"/>
                <w:b w:val="0"/>
                <w:i w:val="0"/>
                <w:sz w:val="18"/>
              </w:rPr>
              <w:t>0.807422</w:t>
            </w:r>
          </w:p>
        </w:tc>
      </w:tr>
      <w:tr>
        <w:tc>
          <w:tcPr>
            <w:tcW w:type="dxa" w:w="1028"/>
          </w:tcPr>
          <w:p>
            <w:pPr>
              <w:spacing w:before="20" w:after="20"/>
              <w:jc w:val="center"/>
            </w:pPr>
            <w:r/>
            <w:r>
              <w:rPr>
                <w:rFonts w:ascii="Times New Roman" w:hAnsi="Times New Roman"/>
                <w:b w:val="0"/>
                <w:i w:val="0"/>
                <w:sz w:val="18"/>
              </w:rPr>
              <w:t>QQQ</w:t>
            </w:r>
          </w:p>
        </w:tc>
        <w:tc>
          <w:tcPr>
            <w:tcW w:type="dxa" w:w="1028"/>
          </w:tcPr>
          <w:p>
            <w:pPr>
              <w:spacing w:before="20" w:after="20"/>
              <w:jc w:val="center"/>
            </w:pPr>
            <w:r/>
            <w:r>
              <w:rPr>
                <w:rFonts w:ascii="Times New Roman" w:hAnsi="Times New Roman"/>
                <w:b w:val="0"/>
                <w:i w:val="0"/>
                <w:sz w:val="18"/>
              </w:rPr>
              <w:t>Equity</w:t>
            </w:r>
          </w:p>
        </w:tc>
        <w:tc>
          <w:tcPr>
            <w:tcW w:type="dxa" w:w="1028"/>
          </w:tcPr>
          <w:p>
            <w:pPr>
              <w:spacing w:before="20" w:after="20"/>
              <w:jc w:val="center"/>
            </w:pPr>
            <w:r/>
            <w:r>
              <w:rPr>
                <w:rFonts w:ascii="Times New Roman" w:hAnsi="Times New Roman"/>
                <w:b w:val="0"/>
                <w:i w:val="0"/>
                <w:sz w:val="18"/>
              </w:rPr>
              <w:t>0.0672</w:t>
            </w:r>
          </w:p>
        </w:tc>
        <w:tc>
          <w:tcPr>
            <w:tcW w:type="dxa" w:w="1028"/>
          </w:tcPr>
          <w:p>
            <w:pPr>
              <w:spacing w:before="20" w:after="20"/>
              <w:jc w:val="center"/>
            </w:pPr>
            <w:r/>
            <w:r>
              <w:rPr>
                <w:rFonts w:ascii="Times New Roman" w:hAnsi="Times New Roman"/>
                <w:b w:val="0"/>
                <w:i w:val="0"/>
                <w:sz w:val="18"/>
              </w:rPr>
              <w:t>1.2903</w:t>
            </w:r>
          </w:p>
        </w:tc>
        <w:tc>
          <w:tcPr>
            <w:tcW w:type="dxa" w:w="1028"/>
          </w:tcPr>
          <w:p>
            <w:pPr>
              <w:spacing w:before="20" w:after="20"/>
              <w:jc w:val="center"/>
            </w:pPr>
            <w:r/>
            <w:r>
              <w:rPr>
                <w:rFonts w:ascii="Times New Roman" w:hAnsi="Times New Roman"/>
                <w:b w:val="0"/>
                <w:i w:val="0"/>
                <w:sz w:val="18"/>
              </w:rPr>
              <w:t>0.042082</w:t>
            </w:r>
          </w:p>
        </w:tc>
        <w:tc>
          <w:tcPr>
            <w:tcW w:type="dxa" w:w="1028"/>
          </w:tcPr>
          <w:p>
            <w:pPr>
              <w:spacing w:before="20" w:after="20"/>
              <w:jc w:val="center"/>
            </w:pPr>
            <w:r/>
            <w:r>
              <w:rPr>
                <w:rFonts w:ascii="Times New Roman" w:hAnsi="Times New Roman"/>
                <w:b w:val="0"/>
                <w:i w:val="0"/>
                <w:sz w:val="18"/>
              </w:rPr>
              <w:t>0.064004</w:t>
            </w:r>
          </w:p>
        </w:tc>
        <w:tc>
          <w:tcPr>
            <w:tcW w:type="dxa" w:w="1028"/>
          </w:tcPr>
          <w:p>
            <w:pPr>
              <w:spacing w:before="20" w:after="20"/>
              <w:jc w:val="center"/>
            </w:pPr>
            <w:r/>
            <w:r>
              <w:rPr>
                <w:rFonts w:ascii="Times New Roman" w:hAnsi="Times New Roman"/>
                <w:b w:val="0"/>
                <w:i w:val="0"/>
                <w:sz w:val="18"/>
              </w:rPr>
              <w:t>0.002341</w:t>
            </w:r>
          </w:p>
        </w:tc>
        <w:tc>
          <w:tcPr>
            <w:tcW w:type="dxa" w:w="1028"/>
          </w:tcPr>
          <w:p>
            <w:pPr>
              <w:spacing w:before="20" w:after="20"/>
              <w:jc w:val="center"/>
            </w:pPr>
            <w:r/>
            <w:r>
              <w:rPr>
                <w:rFonts w:ascii="Times New Roman" w:hAnsi="Times New Roman"/>
                <w:b w:val="0"/>
                <w:i w:val="0"/>
                <w:sz w:val="18"/>
              </w:rPr>
              <w:t>0.786602</w:t>
            </w:r>
          </w:p>
        </w:tc>
      </w:tr>
      <w:tr>
        <w:tc>
          <w:tcPr>
            <w:tcW w:type="dxa" w:w="1028"/>
          </w:tcPr>
          <w:p>
            <w:pPr>
              <w:spacing w:before="20" w:after="20"/>
              <w:jc w:val="center"/>
            </w:pPr>
            <w:r/>
            <w:r>
              <w:rPr>
                <w:rFonts w:ascii="Times New Roman" w:hAnsi="Times New Roman"/>
                <w:b w:val="0"/>
                <w:i w:val="0"/>
                <w:sz w:val="18"/>
              </w:rPr>
              <w:t>IWM</w:t>
            </w:r>
          </w:p>
        </w:tc>
        <w:tc>
          <w:tcPr>
            <w:tcW w:type="dxa" w:w="1028"/>
          </w:tcPr>
          <w:p>
            <w:pPr>
              <w:spacing w:before="20" w:after="20"/>
              <w:jc w:val="center"/>
            </w:pPr>
            <w:r/>
            <w:r>
              <w:rPr>
                <w:rFonts w:ascii="Times New Roman" w:hAnsi="Times New Roman"/>
                <w:b w:val="0"/>
                <w:i w:val="0"/>
                <w:sz w:val="18"/>
              </w:rPr>
              <w:t>Equity</w:t>
            </w:r>
          </w:p>
        </w:tc>
        <w:tc>
          <w:tcPr>
            <w:tcW w:type="dxa" w:w="1028"/>
          </w:tcPr>
          <w:p>
            <w:pPr>
              <w:spacing w:before="20" w:after="20"/>
              <w:jc w:val="center"/>
            </w:pPr>
            <w:r/>
            <w:r>
              <w:rPr>
                <w:rFonts w:ascii="Times New Roman" w:hAnsi="Times New Roman"/>
                <w:b w:val="0"/>
                <w:i w:val="0"/>
                <w:sz w:val="18"/>
              </w:rPr>
              <w:t>0.0383</w:t>
            </w:r>
          </w:p>
        </w:tc>
        <w:tc>
          <w:tcPr>
            <w:tcW w:type="dxa" w:w="1028"/>
          </w:tcPr>
          <w:p>
            <w:pPr>
              <w:spacing w:before="20" w:after="20"/>
              <w:jc w:val="center"/>
            </w:pPr>
            <w:r/>
            <w:r>
              <w:rPr>
                <w:rFonts w:ascii="Times New Roman" w:hAnsi="Times New Roman"/>
                <w:b w:val="0"/>
                <w:i w:val="0"/>
                <w:sz w:val="18"/>
              </w:rPr>
              <w:t>1.4077</w:t>
            </w:r>
          </w:p>
        </w:tc>
        <w:tc>
          <w:tcPr>
            <w:tcW w:type="dxa" w:w="1028"/>
          </w:tcPr>
          <w:p>
            <w:pPr>
              <w:spacing w:before="20" w:after="20"/>
              <w:jc w:val="center"/>
            </w:pPr>
            <w:r/>
            <w:r>
              <w:rPr>
                <w:rFonts w:ascii="Times New Roman" w:hAnsi="Times New Roman"/>
                <w:b w:val="0"/>
                <w:i w:val="0"/>
                <w:sz w:val="18"/>
              </w:rPr>
              <w:t>0.050034</w:t>
            </w:r>
          </w:p>
        </w:tc>
        <w:tc>
          <w:tcPr>
            <w:tcW w:type="dxa" w:w="1028"/>
          </w:tcPr>
          <w:p>
            <w:pPr>
              <w:spacing w:before="20" w:after="20"/>
              <w:jc w:val="center"/>
            </w:pPr>
            <w:r/>
            <w:r>
              <w:rPr>
                <w:rFonts w:ascii="Times New Roman" w:hAnsi="Times New Roman"/>
                <w:b w:val="0"/>
                <w:i w:val="0"/>
                <w:sz w:val="18"/>
              </w:rPr>
              <w:t>0.080315</w:t>
            </w:r>
          </w:p>
        </w:tc>
        <w:tc>
          <w:tcPr>
            <w:tcW w:type="dxa" w:w="1028"/>
          </w:tcPr>
          <w:p>
            <w:pPr>
              <w:spacing w:before="20" w:after="20"/>
              <w:jc w:val="center"/>
            </w:pPr>
            <w:r/>
            <w:r>
              <w:rPr>
                <w:rFonts w:ascii="Times New Roman" w:hAnsi="Times New Roman"/>
                <w:b w:val="0"/>
                <w:i w:val="0"/>
                <w:sz w:val="18"/>
              </w:rPr>
              <w:t>0.003122</w:t>
            </w:r>
          </w:p>
        </w:tc>
        <w:tc>
          <w:tcPr>
            <w:tcW w:type="dxa" w:w="1028"/>
          </w:tcPr>
          <w:p>
            <w:pPr>
              <w:spacing w:before="20" w:after="20"/>
              <w:jc w:val="center"/>
            </w:pPr>
            <w:r/>
            <w:r>
              <w:rPr>
                <w:rFonts w:ascii="Times New Roman" w:hAnsi="Times New Roman"/>
                <w:b w:val="0"/>
                <w:i w:val="0"/>
                <w:sz w:val="18"/>
              </w:rPr>
              <w:t>1.028120</w:t>
            </w:r>
          </w:p>
        </w:tc>
      </w:tr>
      <w:tr>
        <w:tc>
          <w:tcPr>
            <w:tcW w:type="dxa" w:w="1028"/>
          </w:tcPr>
          <w:p>
            <w:pPr>
              <w:spacing w:before="20" w:after="20"/>
              <w:jc w:val="center"/>
            </w:pPr>
            <w:r/>
            <w:r>
              <w:rPr>
                <w:rFonts w:ascii="Times New Roman" w:hAnsi="Times New Roman"/>
                <w:b w:val="0"/>
                <w:i w:val="0"/>
                <w:sz w:val="18"/>
              </w:rPr>
              <w:t>EFA</w:t>
            </w:r>
          </w:p>
        </w:tc>
        <w:tc>
          <w:tcPr>
            <w:tcW w:type="dxa" w:w="1028"/>
          </w:tcPr>
          <w:p>
            <w:pPr>
              <w:spacing w:before="20" w:after="20"/>
              <w:jc w:val="center"/>
            </w:pPr>
            <w:r/>
            <w:r>
              <w:rPr>
                <w:rFonts w:ascii="Times New Roman" w:hAnsi="Times New Roman"/>
                <w:b w:val="0"/>
                <w:i w:val="0"/>
                <w:sz w:val="18"/>
              </w:rPr>
              <w:t>Equity</w:t>
            </w:r>
          </w:p>
        </w:tc>
        <w:tc>
          <w:tcPr>
            <w:tcW w:type="dxa" w:w="1028"/>
          </w:tcPr>
          <w:p>
            <w:pPr>
              <w:spacing w:before="20" w:after="20"/>
              <w:jc w:val="center"/>
            </w:pPr>
            <w:r/>
            <w:r>
              <w:rPr>
                <w:rFonts w:ascii="Times New Roman" w:hAnsi="Times New Roman"/>
                <w:b w:val="0"/>
                <w:i w:val="0"/>
                <w:sz w:val="18"/>
              </w:rPr>
              <w:t>0.0194</w:t>
            </w:r>
          </w:p>
        </w:tc>
        <w:tc>
          <w:tcPr>
            <w:tcW w:type="dxa" w:w="1028"/>
          </w:tcPr>
          <w:p>
            <w:pPr>
              <w:spacing w:before="20" w:after="20"/>
              <w:jc w:val="center"/>
            </w:pPr>
            <w:r/>
            <w:r>
              <w:rPr>
                <w:rFonts w:ascii="Times New Roman" w:hAnsi="Times New Roman"/>
                <w:b w:val="0"/>
                <w:i w:val="0"/>
                <w:sz w:val="18"/>
              </w:rPr>
              <w:t>1.1694</w:t>
            </w:r>
          </w:p>
        </w:tc>
        <w:tc>
          <w:tcPr>
            <w:tcW w:type="dxa" w:w="1028"/>
          </w:tcPr>
          <w:p>
            <w:pPr>
              <w:spacing w:before="20" w:after="20"/>
              <w:jc w:val="center"/>
            </w:pPr>
            <w:r/>
            <w:r>
              <w:rPr>
                <w:rFonts w:ascii="Times New Roman" w:hAnsi="Times New Roman"/>
                <w:b w:val="0"/>
                <w:i w:val="0"/>
                <w:sz w:val="18"/>
              </w:rPr>
              <w:t>0.034519</w:t>
            </w:r>
          </w:p>
        </w:tc>
        <w:tc>
          <w:tcPr>
            <w:tcW w:type="dxa" w:w="1028"/>
          </w:tcPr>
          <w:p>
            <w:pPr>
              <w:spacing w:before="20" w:after="20"/>
              <w:jc w:val="center"/>
            </w:pPr>
            <w:r/>
            <w:r>
              <w:rPr>
                <w:rFonts w:ascii="Times New Roman" w:hAnsi="Times New Roman"/>
                <w:b w:val="0"/>
                <w:i w:val="0"/>
                <w:sz w:val="18"/>
              </w:rPr>
              <w:t>0.058547</w:t>
            </w:r>
          </w:p>
        </w:tc>
        <w:tc>
          <w:tcPr>
            <w:tcW w:type="dxa" w:w="1028"/>
          </w:tcPr>
          <w:p>
            <w:pPr>
              <w:spacing w:before="20" w:after="20"/>
              <w:jc w:val="center"/>
            </w:pPr>
            <w:r/>
            <w:r>
              <w:rPr>
                <w:rFonts w:ascii="Times New Roman" w:hAnsi="Times New Roman"/>
                <w:b w:val="0"/>
                <w:i w:val="0"/>
                <w:sz w:val="18"/>
              </w:rPr>
              <w:t>0.001927</w:t>
            </w:r>
          </w:p>
        </w:tc>
        <w:tc>
          <w:tcPr>
            <w:tcW w:type="dxa" w:w="1028"/>
          </w:tcPr>
          <w:p>
            <w:pPr>
              <w:spacing w:before="20" w:after="20"/>
              <w:jc w:val="center"/>
            </w:pPr>
            <w:r/>
            <w:r>
              <w:rPr>
                <w:rFonts w:ascii="Times New Roman" w:hAnsi="Times New Roman"/>
                <w:b w:val="0"/>
                <w:i w:val="0"/>
                <w:sz w:val="18"/>
              </w:rPr>
              <w:t>0.715241</w:t>
            </w:r>
          </w:p>
        </w:tc>
      </w:tr>
      <w:tr>
        <w:tc>
          <w:tcPr>
            <w:tcW w:type="dxa" w:w="1028"/>
          </w:tcPr>
          <w:p>
            <w:pPr>
              <w:spacing w:before="20" w:after="20"/>
              <w:jc w:val="center"/>
            </w:pPr>
            <w:r/>
            <w:r>
              <w:rPr>
                <w:rFonts w:ascii="Times New Roman" w:hAnsi="Times New Roman"/>
                <w:b w:val="0"/>
                <w:i w:val="0"/>
                <w:sz w:val="18"/>
              </w:rPr>
              <w:t>EEM</w:t>
            </w:r>
          </w:p>
        </w:tc>
        <w:tc>
          <w:tcPr>
            <w:tcW w:type="dxa" w:w="1028"/>
          </w:tcPr>
          <w:p>
            <w:pPr>
              <w:spacing w:before="20" w:after="20"/>
              <w:jc w:val="center"/>
            </w:pPr>
            <w:r/>
            <w:r>
              <w:rPr>
                <w:rFonts w:ascii="Times New Roman" w:hAnsi="Times New Roman"/>
                <w:b w:val="0"/>
                <w:i w:val="0"/>
                <w:sz w:val="18"/>
              </w:rPr>
              <w:t>Equity</w:t>
            </w:r>
          </w:p>
        </w:tc>
        <w:tc>
          <w:tcPr>
            <w:tcW w:type="dxa" w:w="1028"/>
          </w:tcPr>
          <w:p>
            <w:pPr>
              <w:spacing w:before="20" w:after="20"/>
              <w:jc w:val="center"/>
            </w:pPr>
            <w:r/>
            <w:r>
              <w:rPr>
                <w:rFonts w:ascii="Times New Roman" w:hAnsi="Times New Roman"/>
                <w:b w:val="0"/>
                <w:i w:val="0"/>
                <w:sz w:val="18"/>
              </w:rPr>
              <w:t>0.0079</w:t>
            </w:r>
          </w:p>
        </w:tc>
        <w:tc>
          <w:tcPr>
            <w:tcW w:type="dxa" w:w="1028"/>
          </w:tcPr>
          <w:p>
            <w:pPr>
              <w:spacing w:before="20" w:after="20"/>
              <w:jc w:val="center"/>
            </w:pPr>
            <w:r/>
            <w:r>
              <w:rPr>
                <w:rFonts w:ascii="Times New Roman" w:hAnsi="Times New Roman"/>
                <w:b w:val="0"/>
                <w:i w:val="0"/>
                <w:sz w:val="18"/>
              </w:rPr>
              <w:t>1.3596</w:t>
            </w:r>
          </w:p>
        </w:tc>
        <w:tc>
          <w:tcPr>
            <w:tcW w:type="dxa" w:w="1028"/>
          </w:tcPr>
          <w:p>
            <w:pPr>
              <w:spacing w:before="20" w:after="20"/>
              <w:jc w:val="center"/>
            </w:pPr>
            <w:r/>
            <w:r>
              <w:rPr>
                <w:rFonts w:ascii="Times New Roman" w:hAnsi="Times New Roman"/>
                <w:b w:val="0"/>
                <w:i w:val="0"/>
                <w:sz w:val="18"/>
              </w:rPr>
              <w:t>0.046660</w:t>
            </w:r>
          </w:p>
        </w:tc>
        <w:tc>
          <w:tcPr>
            <w:tcW w:type="dxa" w:w="1028"/>
          </w:tcPr>
          <w:p>
            <w:pPr>
              <w:spacing w:before="20" w:after="20"/>
              <w:jc w:val="center"/>
            </w:pPr>
            <w:r/>
            <w:r>
              <w:rPr>
                <w:rFonts w:ascii="Times New Roman" w:hAnsi="Times New Roman"/>
                <w:b w:val="0"/>
                <w:i w:val="0"/>
                <w:sz w:val="18"/>
              </w:rPr>
              <w:t>0.066877</w:t>
            </w:r>
          </w:p>
        </w:tc>
        <w:tc>
          <w:tcPr>
            <w:tcW w:type="dxa" w:w="1028"/>
          </w:tcPr>
          <w:p>
            <w:pPr>
              <w:spacing w:before="20" w:after="20"/>
              <w:jc w:val="center"/>
            </w:pPr>
            <w:r/>
            <w:r>
              <w:rPr>
                <w:rFonts w:ascii="Times New Roman" w:hAnsi="Times New Roman"/>
                <w:b w:val="0"/>
                <w:i w:val="0"/>
                <w:sz w:val="18"/>
              </w:rPr>
              <w:t>0.005507</w:t>
            </w:r>
          </w:p>
        </w:tc>
        <w:tc>
          <w:tcPr>
            <w:tcW w:type="dxa" w:w="1028"/>
          </w:tcPr>
          <w:p>
            <w:pPr>
              <w:spacing w:before="20" w:after="20"/>
              <w:jc w:val="center"/>
            </w:pPr>
            <w:r/>
            <w:r>
              <w:rPr>
                <w:rFonts w:ascii="Times New Roman" w:hAnsi="Times New Roman"/>
                <w:b w:val="0"/>
                <w:i w:val="0"/>
                <w:sz w:val="18"/>
              </w:rPr>
              <w:t>0.858786</w:t>
            </w:r>
          </w:p>
        </w:tc>
      </w:tr>
      <w:tr>
        <w:tc>
          <w:tcPr>
            <w:tcW w:type="dxa" w:w="1028"/>
          </w:tcPr>
          <w:p>
            <w:pPr>
              <w:spacing w:before="20" w:after="20"/>
              <w:jc w:val="center"/>
            </w:pPr>
            <w:r/>
            <w:r>
              <w:rPr>
                <w:rFonts w:ascii="Times New Roman" w:hAnsi="Times New Roman"/>
                <w:b w:val="0"/>
                <w:i w:val="0"/>
                <w:sz w:val="18"/>
              </w:rPr>
              <w:t>TLT</w:t>
            </w:r>
          </w:p>
        </w:tc>
        <w:tc>
          <w:tcPr>
            <w:tcW w:type="dxa" w:w="1028"/>
          </w:tcPr>
          <w:p>
            <w:pPr>
              <w:spacing w:before="20" w:after="20"/>
              <w:jc w:val="center"/>
            </w:pPr>
            <w:r/>
            <w:r>
              <w:rPr>
                <w:rFonts w:ascii="Times New Roman" w:hAnsi="Times New Roman"/>
                <w:b w:val="0"/>
                <w:i w:val="0"/>
                <w:sz w:val="18"/>
              </w:rPr>
              <w:t>Bond</w:t>
            </w:r>
          </w:p>
        </w:tc>
        <w:tc>
          <w:tcPr>
            <w:tcW w:type="dxa" w:w="1028"/>
          </w:tcPr>
          <w:p>
            <w:pPr>
              <w:spacing w:before="20" w:after="20"/>
              <w:jc w:val="center"/>
            </w:pPr>
            <w:r/>
            <w:r>
              <w:rPr>
                <w:rFonts w:ascii="Times New Roman" w:hAnsi="Times New Roman"/>
                <w:b w:val="0"/>
                <w:i w:val="0"/>
                <w:sz w:val="18"/>
              </w:rPr>
              <w:t>0.0103</w:t>
            </w:r>
          </w:p>
        </w:tc>
        <w:tc>
          <w:tcPr>
            <w:tcW w:type="dxa" w:w="1028"/>
          </w:tcPr>
          <w:p>
            <w:pPr>
              <w:spacing w:before="20" w:after="20"/>
              <w:jc w:val="center"/>
            </w:pPr>
            <w:r/>
            <w:r>
              <w:rPr>
                <w:rFonts w:ascii="Times New Roman" w:hAnsi="Times New Roman"/>
                <w:b w:val="0"/>
                <w:i w:val="0"/>
                <w:sz w:val="18"/>
              </w:rPr>
              <w:t>0.9627</w:t>
            </w:r>
          </w:p>
        </w:tc>
        <w:tc>
          <w:tcPr>
            <w:tcW w:type="dxa" w:w="1028"/>
          </w:tcPr>
          <w:p>
            <w:pPr>
              <w:spacing w:before="20" w:after="20"/>
              <w:jc w:val="center"/>
            </w:pPr>
            <w:r/>
            <w:r>
              <w:rPr>
                <w:rFonts w:ascii="Times New Roman" w:hAnsi="Times New Roman"/>
                <w:b w:val="0"/>
                <w:i w:val="0"/>
                <w:sz w:val="18"/>
              </w:rPr>
              <w:t>0.023381</w:t>
            </w:r>
          </w:p>
        </w:tc>
        <w:tc>
          <w:tcPr>
            <w:tcW w:type="dxa" w:w="1028"/>
          </w:tcPr>
          <w:p>
            <w:pPr>
              <w:spacing w:before="20" w:after="20"/>
              <w:jc w:val="center"/>
            </w:pPr>
            <w:r/>
            <w:r>
              <w:rPr>
                <w:rFonts w:ascii="Times New Roman" w:hAnsi="Times New Roman"/>
                <w:b w:val="0"/>
                <w:i w:val="0"/>
                <w:sz w:val="18"/>
              </w:rPr>
              <w:t>0.026934</w:t>
            </w:r>
          </w:p>
        </w:tc>
        <w:tc>
          <w:tcPr>
            <w:tcW w:type="dxa" w:w="1028"/>
          </w:tcPr>
          <w:p>
            <w:pPr>
              <w:spacing w:before="20" w:after="20"/>
              <w:jc w:val="center"/>
            </w:pPr>
            <w:r/>
            <w:r>
              <w:rPr>
                <w:rFonts w:ascii="Times New Roman" w:hAnsi="Times New Roman"/>
                <w:b w:val="0"/>
                <w:i w:val="0"/>
                <w:sz w:val="18"/>
              </w:rPr>
              <w:t>0.004341</w:t>
            </w:r>
          </w:p>
        </w:tc>
        <w:tc>
          <w:tcPr>
            <w:tcW w:type="dxa" w:w="1028"/>
          </w:tcPr>
          <w:p>
            <w:pPr>
              <w:spacing w:before="20" w:after="20"/>
              <w:jc w:val="center"/>
            </w:pPr>
            <w:r/>
            <w:r>
              <w:rPr>
                <w:rFonts w:ascii="Times New Roman" w:hAnsi="Times New Roman"/>
                <w:b w:val="0"/>
                <w:i w:val="0"/>
                <w:sz w:val="18"/>
              </w:rPr>
              <w:t>0.348303</w:t>
            </w:r>
          </w:p>
        </w:tc>
      </w:tr>
      <w:tr>
        <w:tc>
          <w:tcPr>
            <w:tcW w:type="dxa" w:w="1028"/>
          </w:tcPr>
          <w:p>
            <w:pPr>
              <w:spacing w:before="20" w:after="20"/>
              <w:jc w:val="center"/>
            </w:pPr>
            <w:r/>
            <w:r>
              <w:rPr>
                <w:rFonts w:ascii="Times New Roman" w:hAnsi="Times New Roman"/>
                <w:b w:val="0"/>
                <w:i w:val="0"/>
                <w:sz w:val="18"/>
              </w:rPr>
              <w:t>IEF</w:t>
            </w:r>
          </w:p>
        </w:tc>
        <w:tc>
          <w:tcPr>
            <w:tcW w:type="dxa" w:w="1028"/>
          </w:tcPr>
          <w:p>
            <w:pPr>
              <w:spacing w:before="20" w:after="20"/>
              <w:jc w:val="center"/>
            </w:pPr>
            <w:r/>
            <w:r>
              <w:rPr>
                <w:rFonts w:ascii="Times New Roman" w:hAnsi="Times New Roman"/>
                <w:b w:val="0"/>
                <w:i w:val="0"/>
                <w:sz w:val="18"/>
              </w:rPr>
              <w:t>Bond</w:t>
            </w:r>
          </w:p>
        </w:tc>
        <w:tc>
          <w:tcPr>
            <w:tcW w:type="dxa" w:w="1028"/>
          </w:tcPr>
          <w:p>
            <w:pPr>
              <w:spacing w:before="20" w:after="20"/>
              <w:jc w:val="center"/>
            </w:pPr>
            <w:r/>
            <w:r>
              <w:rPr>
                <w:rFonts w:ascii="Times New Roman" w:hAnsi="Times New Roman"/>
                <w:b w:val="0"/>
                <w:i w:val="0"/>
                <w:sz w:val="18"/>
              </w:rPr>
              <w:t>0.0094</w:t>
            </w:r>
          </w:p>
        </w:tc>
        <w:tc>
          <w:tcPr>
            <w:tcW w:type="dxa" w:w="1028"/>
          </w:tcPr>
          <w:p>
            <w:pPr>
              <w:spacing w:before="20" w:after="20"/>
              <w:jc w:val="center"/>
            </w:pPr>
            <w:r/>
            <w:r>
              <w:rPr>
                <w:rFonts w:ascii="Times New Roman" w:hAnsi="Times New Roman"/>
                <w:b w:val="0"/>
                <w:i w:val="0"/>
                <w:sz w:val="18"/>
              </w:rPr>
              <w:t>0.4216</w:t>
            </w:r>
          </w:p>
        </w:tc>
        <w:tc>
          <w:tcPr>
            <w:tcW w:type="dxa" w:w="1028"/>
          </w:tcPr>
          <w:p>
            <w:pPr>
              <w:spacing w:before="20" w:after="20"/>
              <w:jc w:val="center"/>
            </w:pPr>
            <w:r/>
            <w:r>
              <w:rPr>
                <w:rFonts w:ascii="Times New Roman" w:hAnsi="Times New Roman"/>
                <w:b w:val="0"/>
                <w:i w:val="0"/>
                <w:sz w:val="18"/>
              </w:rPr>
              <w:t>0.004487</w:t>
            </w:r>
          </w:p>
        </w:tc>
        <w:tc>
          <w:tcPr>
            <w:tcW w:type="dxa" w:w="1028"/>
          </w:tcPr>
          <w:p>
            <w:pPr>
              <w:spacing w:before="20" w:after="20"/>
              <w:jc w:val="center"/>
            </w:pPr>
            <w:r/>
            <w:r>
              <w:rPr>
                <w:rFonts w:ascii="Times New Roman" w:hAnsi="Times New Roman"/>
                <w:b w:val="0"/>
                <w:i w:val="0"/>
                <w:sz w:val="18"/>
              </w:rPr>
              <w:t>0.004054</w:t>
            </w:r>
          </w:p>
        </w:tc>
        <w:tc>
          <w:tcPr>
            <w:tcW w:type="dxa" w:w="1028"/>
          </w:tcPr>
          <w:p>
            <w:pPr>
              <w:spacing w:before="20" w:after="20"/>
              <w:jc w:val="center"/>
            </w:pPr>
            <w:r/>
            <w:r>
              <w:rPr>
                <w:rFonts w:ascii="Times New Roman" w:hAnsi="Times New Roman"/>
                <w:b w:val="0"/>
                <w:i w:val="0"/>
                <w:sz w:val="18"/>
              </w:rPr>
              <w:t>0.000541</w:t>
            </w:r>
          </w:p>
        </w:tc>
        <w:tc>
          <w:tcPr>
            <w:tcW w:type="dxa" w:w="1028"/>
          </w:tcPr>
          <w:p>
            <w:pPr>
              <w:spacing w:before="20" w:after="20"/>
              <w:jc w:val="center"/>
            </w:pPr>
            <w:r/>
            <w:r>
              <w:rPr>
                <w:rFonts w:ascii="Times New Roman" w:hAnsi="Times New Roman"/>
                <w:b w:val="0"/>
                <w:i w:val="0"/>
                <w:sz w:val="18"/>
              </w:rPr>
              <w:t>0.039522</w:t>
            </w:r>
          </w:p>
        </w:tc>
      </w:tr>
      <w:tr>
        <w:tc>
          <w:tcPr>
            <w:tcW w:type="dxa" w:w="1028"/>
          </w:tcPr>
          <w:p>
            <w:pPr>
              <w:spacing w:before="20" w:after="20"/>
              <w:jc w:val="center"/>
            </w:pPr>
            <w:r/>
            <w:r>
              <w:rPr>
                <w:rFonts w:ascii="Times New Roman" w:hAnsi="Times New Roman"/>
                <w:b w:val="0"/>
                <w:i w:val="0"/>
                <w:sz w:val="18"/>
              </w:rPr>
              <w:t>AGG</w:t>
            </w:r>
          </w:p>
        </w:tc>
        <w:tc>
          <w:tcPr>
            <w:tcW w:type="dxa" w:w="1028"/>
          </w:tcPr>
          <w:p>
            <w:pPr>
              <w:spacing w:before="20" w:after="20"/>
              <w:jc w:val="center"/>
            </w:pPr>
            <w:r/>
            <w:r>
              <w:rPr>
                <w:rFonts w:ascii="Times New Roman" w:hAnsi="Times New Roman"/>
                <w:b w:val="0"/>
                <w:i w:val="0"/>
                <w:sz w:val="18"/>
              </w:rPr>
              <w:t>Bond</w:t>
            </w:r>
          </w:p>
        </w:tc>
        <w:tc>
          <w:tcPr>
            <w:tcW w:type="dxa" w:w="1028"/>
          </w:tcPr>
          <w:p>
            <w:pPr>
              <w:spacing w:before="20" w:after="20"/>
              <w:jc w:val="center"/>
            </w:pPr>
            <w:r/>
            <w:r>
              <w:rPr>
                <w:rFonts w:ascii="Times New Roman" w:hAnsi="Times New Roman"/>
                <w:b w:val="0"/>
                <w:i w:val="0"/>
                <w:sz w:val="18"/>
              </w:rPr>
              <w:t>0.0090</w:t>
            </w:r>
          </w:p>
        </w:tc>
        <w:tc>
          <w:tcPr>
            <w:tcW w:type="dxa" w:w="1028"/>
          </w:tcPr>
          <w:p>
            <w:pPr>
              <w:spacing w:before="20" w:after="20"/>
              <w:jc w:val="center"/>
            </w:pPr>
            <w:r/>
            <w:r>
              <w:rPr>
                <w:rFonts w:ascii="Times New Roman" w:hAnsi="Times New Roman"/>
                <w:b w:val="0"/>
                <w:i w:val="0"/>
                <w:sz w:val="18"/>
              </w:rPr>
              <w:t>0.2995</w:t>
            </w:r>
          </w:p>
        </w:tc>
        <w:tc>
          <w:tcPr>
            <w:tcW w:type="dxa" w:w="1028"/>
          </w:tcPr>
          <w:p>
            <w:pPr>
              <w:spacing w:before="20" w:after="20"/>
              <w:jc w:val="center"/>
            </w:pPr>
            <w:r/>
            <w:r>
              <w:rPr>
                <w:rFonts w:ascii="Times New Roman" w:hAnsi="Times New Roman"/>
                <w:b w:val="0"/>
                <w:i w:val="0"/>
                <w:sz w:val="18"/>
              </w:rPr>
              <w:t>0.002262</w:t>
            </w:r>
          </w:p>
        </w:tc>
        <w:tc>
          <w:tcPr>
            <w:tcW w:type="dxa" w:w="1028"/>
          </w:tcPr>
          <w:p>
            <w:pPr>
              <w:spacing w:before="20" w:after="20"/>
              <w:jc w:val="center"/>
            </w:pPr>
            <w:r/>
            <w:r>
              <w:rPr>
                <w:rFonts w:ascii="Times New Roman" w:hAnsi="Times New Roman"/>
                <w:b w:val="0"/>
                <w:i w:val="0"/>
                <w:sz w:val="18"/>
              </w:rPr>
              <w:t>0.005299</w:t>
            </w:r>
          </w:p>
        </w:tc>
        <w:tc>
          <w:tcPr>
            <w:tcW w:type="dxa" w:w="1028"/>
          </w:tcPr>
          <w:p>
            <w:pPr>
              <w:spacing w:before="20" w:after="20"/>
              <w:jc w:val="center"/>
            </w:pPr>
            <w:r/>
            <w:r>
              <w:rPr>
                <w:rFonts w:ascii="Times New Roman" w:hAnsi="Times New Roman"/>
                <w:b w:val="0"/>
                <w:i w:val="0"/>
                <w:sz w:val="18"/>
              </w:rPr>
              <w:t>0.000198</w:t>
            </w:r>
          </w:p>
        </w:tc>
        <w:tc>
          <w:tcPr>
            <w:tcW w:type="dxa" w:w="1028"/>
          </w:tcPr>
          <w:p>
            <w:pPr>
              <w:spacing w:before="20" w:after="20"/>
              <w:jc w:val="center"/>
            </w:pPr>
            <w:r/>
            <w:r>
              <w:rPr>
                <w:rFonts w:ascii="Times New Roman" w:hAnsi="Times New Roman"/>
                <w:b w:val="0"/>
                <w:i w:val="0"/>
                <w:sz w:val="18"/>
              </w:rPr>
              <w:t>0.071179</w:t>
            </w:r>
          </w:p>
        </w:tc>
      </w:tr>
      <w:tr>
        <w:tc>
          <w:tcPr>
            <w:tcW w:type="dxa" w:w="1028"/>
          </w:tcPr>
          <w:p>
            <w:pPr>
              <w:spacing w:before="20" w:after="20"/>
              <w:jc w:val="center"/>
            </w:pPr>
            <w:r/>
            <w:r>
              <w:rPr>
                <w:rFonts w:ascii="Times New Roman" w:hAnsi="Times New Roman"/>
                <w:b w:val="0"/>
                <w:i w:val="0"/>
                <w:sz w:val="18"/>
              </w:rPr>
              <w:t>GLD</w:t>
            </w:r>
          </w:p>
        </w:tc>
        <w:tc>
          <w:tcPr>
            <w:tcW w:type="dxa" w:w="1028"/>
          </w:tcPr>
          <w:p>
            <w:pPr>
              <w:spacing w:before="20" w:after="20"/>
              <w:jc w:val="center"/>
            </w:pPr>
            <w:r/>
            <w:r>
              <w:rPr>
                <w:rFonts w:ascii="Times New Roman" w:hAnsi="Times New Roman"/>
                <w:b w:val="0"/>
                <w:i w:val="0"/>
                <w:sz w:val="18"/>
              </w:rPr>
              <w:t>Commodity</w:t>
            </w:r>
          </w:p>
        </w:tc>
        <w:tc>
          <w:tcPr>
            <w:tcW w:type="dxa" w:w="1028"/>
          </w:tcPr>
          <w:p>
            <w:pPr>
              <w:spacing w:before="20" w:after="20"/>
              <w:jc w:val="center"/>
            </w:pPr>
            <w:r/>
            <w:r>
              <w:rPr>
                <w:rFonts w:ascii="Times New Roman" w:hAnsi="Times New Roman"/>
                <w:b w:val="0"/>
                <w:i w:val="0"/>
                <w:sz w:val="18"/>
              </w:rPr>
              <w:t>0.0210</w:t>
            </w:r>
          </w:p>
        </w:tc>
        <w:tc>
          <w:tcPr>
            <w:tcW w:type="dxa" w:w="1028"/>
          </w:tcPr>
          <w:p>
            <w:pPr>
              <w:spacing w:before="20" w:after="20"/>
              <w:jc w:val="center"/>
            </w:pPr>
            <w:r/>
            <w:r>
              <w:rPr>
                <w:rFonts w:ascii="Times New Roman" w:hAnsi="Times New Roman"/>
                <w:b w:val="0"/>
                <w:i w:val="0"/>
                <w:sz w:val="18"/>
              </w:rPr>
              <w:t>0.9784</w:t>
            </w:r>
          </w:p>
        </w:tc>
        <w:tc>
          <w:tcPr>
            <w:tcW w:type="dxa" w:w="1028"/>
          </w:tcPr>
          <w:p>
            <w:pPr>
              <w:spacing w:before="20" w:after="20"/>
              <w:jc w:val="center"/>
            </w:pPr>
            <w:r/>
            <w:r>
              <w:rPr>
                <w:rFonts w:ascii="Times New Roman" w:hAnsi="Times New Roman"/>
                <w:b w:val="0"/>
                <w:i w:val="0"/>
                <w:sz w:val="18"/>
              </w:rPr>
              <w:t>0.024119</w:t>
            </w:r>
          </w:p>
        </w:tc>
        <w:tc>
          <w:tcPr>
            <w:tcW w:type="dxa" w:w="1028"/>
          </w:tcPr>
          <w:p>
            <w:pPr>
              <w:spacing w:before="20" w:after="20"/>
              <w:jc w:val="center"/>
            </w:pPr>
            <w:r/>
            <w:r>
              <w:rPr>
                <w:rFonts w:ascii="Times New Roman" w:hAnsi="Times New Roman"/>
                <w:b w:val="0"/>
                <w:i w:val="0"/>
                <w:sz w:val="18"/>
              </w:rPr>
              <w:t>0.020897</w:t>
            </w:r>
          </w:p>
        </w:tc>
        <w:tc>
          <w:tcPr>
            <w:tcW w:type="dxa" w:w="1028"/>
          </w:tcPr>
          <w:p>
            <w:pPr>
              <w:spacing w:before="20" w:after="20"/>
              <w:jc w:val="center"/>
            </w:pPr>
            <w:r/>
            <w:r>
              <w:rPr>
                <w:rFonts w:ascii="Times New Roman" w:hAnsi="Times New Roman"/>
                <w:b w:val="0"/>
                <w:i w:val="0"/>
                <w:sz w:val="18"/>
              </w:rPr>
              <w:t>0.004137</w:t>
            </w:r>
          </w:p>
        </w:tc>
        <w:tc>
          <w:tcPr>
            <w:tcW w:type="dxa" w:w="1028"/>
          </w:tcPr>
          <w:p>
            <w:pPr>
              <w:spacing w:before="20" w:after="20"/>
              <w:jc w:val="center"/>
            </w:pPr>
            <w:r/>
            <w:r>
              <w:rPr>
                <w:rFonts w:ascii="Times New Roman" w:hAnsi="Times New Roman"/>
                <w:b w:val="0"/>
                <w:i w:val="0"/>
                <w:sz w:val="18"/>
              </w:rPr>
              <w:t>0.153241</w:t>
            </w:r>
          </w:p>
        </w:tc>
      </w:tr>
      <w:tr>
        <w:tc>
          <w:tcPr>
            <w:tcW w:type="dxa" w:w="1028"/>
          </w:tcPr>
          <w:p>
            <w:pPr>
              <w:spacing w:before="20" w:after="20"/>
              <w:jc w:val="center"/>
            </w:pPr>
            <w:r/>
            <w:r>
              <w:rPr>
                <w:rFonts w:ascii="Times New Roman" w:hAnsi="Times New Roman"/>
                <w:b w:val="0"/>
                <w:i w:val="0"/>
                <w:sz w:val="18"/>
              </w:rPr>
              <w:t>SLV</w:t>
            </w:r>
          </w:p>
        </w:tc>
        <w:tc>
          <w:tcPr>
            <w:tcW w:type="dxa" w:w="1028"/>
          </w:tcPr>
          <w:p>
            <w:pPr>
              <w:spacing w:before="20" w:after="20"/>
              <w:jc w:val="center"/>
            </w:pPr>
            <w:r/>
            <w:r>
              <w:rPr>
                <w:rFonts w:ascii="Times New Roman" w:hAnsi="Times New Roman"/>
                <w:b w:val="0"/>
                <w:i w:val="0"/>
                <w:sz w:val="18"/>
              </w:rPr>
              <w:t>Commodity</w:t>
            </w:r>
          </w:p>
        </w:tc>
        <w:tc>
          <w:tcPr>
            <w:tcW w:type="dxa" w:w="1028"/>
          </w:tcPr>
          <w:p>
            <w:pPr>
              <w:spacing w:before="20" w:after="20"/>
              <w:jc w:val="center"/>
            </w:pPr>
            <w:r/>
            <w:r>
              <w:rPr>
                <w:rFonts w:ascii="Times New Roman" w:hAnsi="Times New Roman"/>
                <w:b w:val="0"/>
                <w:i w:val="0"/>
                <w:sz w:val="18"/>
              </w:rPr>
              <w:t>0.0112</w:t>
            </w:r>
          </w:p>
        </w:tc>
        <w:tc>
          <w:tcPr>
            <w:tcW w:type="dxa" w:w="1028"/>
          </w:tcPr>
          <w:p>
            <w:pPr>
              <w:spacing w:before="20" w:after="20"/>
              <w:jc w:val="center"/>
            </w:pPr>
            <w:r/>
            <w:r>
              <w:rPr>
                <w:rFonts w:ascii="Times New Roman" w:hAnsi="Times New Roman"/>
                <w:b w:val="0"/>
                <w:i w:val="0"/>
                <w:sz w:val="18"/>
              </w:rPr>
              <w:t>1.8293</w:t>
            </w:r>
          </w:p>
        </w:tc>
        <w:tc>
          <w:tcPr>
            <w:tcW w:type="dxa" w:w="1028"/>
          </w:tcPr>
          <w:p>
            <w:pPr>
              <w:spacing w:before="20" w:after="20"/>
              <w:jc w:val="center"/>
            </w:pPr>
            <w:r/>
            <w:r>
              <w:rPr>
                <w:rFonts w:ascii="Times New Roman" w:hAnsi="Times New Roman"/>
                <w:b w:val="0"/>
                <w:i w:val="0"/>
                <w:sz w:val="18"/>
              </w:rPr>
              <w:t>0.084393</w:t>
            </w:r>
          </w:p>
        </w:tc>
        <w:tc>
          <w:tcPr>
            <w:tcW w:type="dxa" w:w="1028"/>
          </w:tcPr>
          <w:p>
            <w:pPr>
              <w:spacing w:before="20" w:after="20"/>
              <w:jc w:val="center"/>
            </w:pPr>
            <w:r/>
            <w:r>
              <w:rPr>
                <w:rFonts w:ascii="Times New Roman" w:hAnsi="Times New Roman"/>
                <w:b w:val="0"/>
                <w:i w:val="0"/>
                <w:sz w:val="18"/>
              </w:rPr>
              <w:t>0.092610</w:t>
            </w:r>
          </w:p>
        </w:tc>
        <w:tc>
          <w:tcPr>
            <w:tcW w:type="dxa" w:w="1028"/>
          </w:tcPr>
          <w:p>
            <w:pPr>
              <w:spacing w:before="20" w:after="20"/>
              <w:jc w:val="center"/>
            </w:pPr>
            <w:r/>
            <w:r>
              <w:rPr>
                <w:rFonts w:ascii="Times New Roman" w:hAnsi="Times New Roman"/>
                <w:b w:val="0"/>
                <w:i w:val="0"/>
                <w:sz w:val="18"/>
              </w:rPr>
              <w:t>0.008912</w:t>
            </w:r>
          </w:p>
        </w:tc>
        <w:tc>
          <w:tcPr>
            <w:tcW w:type="dxa" w:w="1028"/>
          </w:tcPr>
          <w:p>
            <w:pPr>
              <w:spacing w:before="20" w:after="20"/>
              <w:jc w:val="center"/>
            </w:pPr>
            <w:r/>
            <w:r>
              <w:rPr>
                <w:rFonts w:ascii="Times New Roman" w:hAnsi="Times New Roman"/>
                <w:b w:val="0"/>
                <w:i w:val="0"/>
                <w:sz w:val="18"/>
              </w:rPr>
              <w:t>0.738908</w:t>
            </w:r>
          </w:p>
        </w:tc>
      </w:tr>
      <w:tr>
        <w:tc>
          <w:tcPr>
            <w:tcW w:type="dxa" w:w="1028"/>
          </w:tcPr>
          <w:p>
            <w:pPr>
              <w:spacing w:before="20" w:after="20"/>
              <w:jc w:val="center"/>
            </w:pPr>
            <w:r/>
            <w:r>
              <w:rPr>
                <w:rFonts w:ascii="Times New Roman" w:hAnsi="Times New Roman"/>
                <w:b w:val="0"/>
                <w:i w:val="0"/>
                <w:sz w:val="18"/>
              </w:rPr>
              <w:t>USO</w:t>
            </w:r>
          </w:p>
        </w:tc>
        <w:tc>
          <w:tcPr>
            <w:tcW w:type="dxa" w:w="1028"/>
          </w:tcPr>
          <w:p>
            <w:pPr>
              <w:spacing w:before="20" w:after="20"/>
              <w:jc w:val="center"/>
            </w:pPr>
            <w:r/>
            <w:r>
              <w:rPr>
                <w:rFonts w:ascii="Times New Roman" w:hAnsi="Times New Roman"/>
                <w:b w:val="0"/>
                <w:i w:val="0"/>
                <w:sz w:val="18"/>
              </w:rPr>
              <w:t>Commodity</w:t>
            </w:r>
          </w:p>
        </w:tc>
        <w:tc>
          <w:tcPr>
            <w:tcW w:type="dxa" w:w="1028"/>
          </w:tcPr>
          <w:p>
            <w:pPr>
              <w:spacing w:before="20" w:after="20"/>
              <w:jc w:val="center"/>
            </w:pPr>
            <w:r/>
            <w:r>
              <w:rPr>
                <w:rFonts w:ascii="Times New Roman" w:hAnsi="Times New Roman"/>
                <w:b w:val="0"/>
                <w:i w:val="0"/>
                <w:sz w:val="18"/>
              </w:rPr>
              <w:t>-0.0384</w:t>
            </w:r>
          </w:p>
        </w:tc>
        <w:tc>
          <w:tcPr>
            <w:tcW w:type="dxa" w:w="1028"/>
          </w:tcPr>
          <w:p>
            <w:pPr>
              <w:spacing w:before="20" w:after="20"/>
              <w:jc w:val="center"/>
            </w:pPr>
            <w:r/>
            <w:r>
              <w:rPr>
                <w:rFonts w:ascii="Times New Roman" w:hAnsi="Times New Roman"/>
                <w:b w:val="0"/>
                <w:i w:val="0"/>
                <w:sz w:val="18"/>
              </w:rPr>
              <w:t>2.2693</w:t>
            </w:r>
          </w:p>
        </w:tc>
        <w:tc>
          <w:tcPr>
            <w:tcW w:type="dxa" w:w="1028"/>
          </w:tcPr>
          <w:p>
            <w:pPr>
              <w:spacing w:before="20" w:after="20"/>
              <w:jc w:val="center"/>
            </w:pPr>
            <w:r/>
            <w:r>
              <w:rPr>
                <w:rFonts w:ascii="Times New Roman" w:hAnsi="Times New Roman"/>
                <w:b w:val="0"/>
                <w:i w:val="0"/>
                <w:sz w:val="18"/>
              </w:rPr>
              <w:t>0.130289</w:t>
            </w:r>
          </w:p>
        </w:tc>
        <w:tc>
          <w:tcPr>
            <w:tcW w:type="dxa" w:w="1028"/>
          </w:tcPr>
          <w:p>
            <w:pPr>
              <w:spacing w:before="20" w:after="20"/>
              <w:jc w:val="center"/>
            </w:pPr>
            <w:r/>
            <w:r>
              <w:rPr>
                <w:rFonts w:ascii="Times New Roman" w:hAnsi="Times New Roman"/>
                <w:b w:val="0"/>
                <w:i w:val="0"/>
                <w:sz w:val="18"/>
              </w:rPr>
              <w:t>0.255847</w:t>
            </w:r>
          </w:p>
        </w:tc>
        <w:tc>
          <w:tcPr>
            <w:tcW w:type="dxa" w:w="1028"/>
          </w:tcPr>
          <w:p>
            <w:pPr>
              <w:spacing w:before="20" w:after="20"/>
              <w:jc w:val="center"/>
            </w:pPr>
            <w:r/>
            <w:r>
              <w:rPr>
                <w:rFonts w:ascii="Times New Roman" w:hAnsi="Times New Roman"/>
                <w:b w:val="0"/>
                <w:i w:val="0"/>
                <w:sz w:val="18"/>
              </w:rPr>
              <w:t>0.009556</w:t>
            </w:r>
          </w:p>
        </w:tc>
        <w:tc>
          <w:tcPr>
            <w:tcW w:type="dxa" w:w="1028"/>
          </w:tcPr>
          <w:p>
            <w:pPr>
              <w:spacing w:before="20" w:after="20"/>
              <w:jc w:val="center"/>
            </w:pPr>
            <w:r/>
            <w:r>
              <w:rPr>
                <w:rFonts w:ascii="Times New Roman" w:hAnsi="Times New Roman"/>
                <w:b w:val="0"/>
                <w:i w:val="0"/>
                <w:sz w:val="18"/>
              </w:rPr>
              <w:t>3.010420</w:t>
            </w:r>
          </w:p>
        </w:tc>
      </w:tr>
    </w:tbl>
    <w:p/>
    <w:p>
      <w:pPr>
        <w:spacing w:before="0" w:after="120" w:lineRule="auto" w:line="360"/>
        <w:jc w:val="both"/>
      </w:pPr>
      <w:r>
        <w:rPr>
          <w:rFonts w:ascii="Times New Roman" w:hAnsi="Times New Roman"/>
          <w:b w:val="0"/>
          <w:i w:val="0"/>
          <w:sz w:val="20"/>
        </w:rPr>
        <w:t>(비고: RV(ann) = (252/h) × Σr</w:t>
      </w:r>
      <w:r>
        <w:rPr>
          <w:rFonts w:ascii="Times New Roman" w:hAnsi="Times New Roman"/>
          <w:b w:val="0"/>
          <w:i w:val="0"/>
          <w:sz w:val="20"/>
          <w:vertAlign w:val="superscript"/>
        </w:rPr>
        <w:t>2</w:t>
      </w:r>
      <w:r>
        <w:rPr>
          <w:rFonts w:ascii="Times New Roman" w:hAnsi="Times New Roman"/>
          <w:b w:val="0"/>
          <w:i w:val="0"/>
          <w:sz w:val="20"/>
        </w:rPr>
        <w:t>_{t+k}, h=22. Mean Ret은 일별 로그수익률 평균, Std Ret은 표준편차 (모두 % 단위).)</w:t>
      </w:r>
    </w:p>
    <w:sectPr w:rsidR="00FC693F" w:rsidRPr="0006063C" w:rsidSect="00034616">
      <w:footerReference w:type="default" r:id="rId9"/>
      <w:pgSz w:w="11906" w:h="16838"/>
      <w:pgMar w:top="1984"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