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1A0AAB" w14:paraId="0BE2CD63" w14:textId="77777777" w:rsidTr="001A0AAB">
        <w:trPr>
          <w:trHeight w:val="390"/>
        </w:trPr>
        <w:tc>
          <w:tcPr>
            <w:tcW w:w="3605" w:type="dxa"/>
          </w:tcPr>
          <w:p w14:paraId="66209AE2" w14:textId="380ADEA7" w:rsidR="001A0AAB" w:rsidRPr="001A0AAB" w:rsidRDefault="001A0AAB" w:rsidP="001A0AAB">
            <w:pPr>
              <w:wordWrap/>
              <w:snapToGrid w:val="0"/>
              <w:spacing w:line="384" w:lineRule="auto"/>
              <w:jc w:val="left"/>
              <w:textAlignment w:val="baseline"/>
              <w:rPr>
                <w:rFonts w:ascii="한양신명조" w:eastAsia="한양신명조" w:hAnsi="굴림" w:cs="굴림"/>
                <w:bCs/>
                <w:color w:val="000000"/>
                <w:kern w:val="0"/>
                <w:szCs w:val="20"/>
              </w:rPr>
            </w:pPr>
          </w:p>
        </w:tc>
      </w:tr>
    </w:tbl>
    <w:p w14:paraId="4A62AD81" w14:textId="77777777" w:rsidR="004C4E20" w:rsidRPr="004C4E20" w:rsidRDefault="004C4E20" w:rsidP="001A0AAB">
      <w:pPr>
        <w:wordWrap/>
        <w:snapToGrid w:val="0"/>
        <w:spacing w:after="0" w:line="384" w:lineRule="auto"/>
        <w:ind w:firstLineChars="50" w:firstLine="40"/>
        <w:textAlignment w:val="baseline"/>
        <w:rPr>
          <w:rFonts w:ascii="HY견명조" w:eastAsia="HY견명조" w:hAnsi="굴림" w:cs="굴림"/>
          <w:color w:val="0000FF"/>
          <w:kern w:val="0"/>
          <w:sz w:val="8"/>
          <w:szCs w:val="8"/>
        </w:rPr>
      </w:pPr>
    </w:p>
    <w:p w14:paraId="252AFFF5" w14:textId="076B83A9" w:rsidR="001A0AAB" w:rsidRPr="00F93864" w:rsidRDefault="001A0AAB" w:rsidP="001A0AAB">
      <w:pPr>
        <w:wordWrap/>
        <w:snapToGrid w:val="0"/>
        <w:spacing w:after="0" w:line="384" w:lineRule="auto"/>
        <w:ind w:firstLineChars="50" w:firstLine="160"/>
        <w:textAlignment w:val="baseline"/>
        <w:rPr>
          <w:rFonts w:ascii="한양신명조" w:eastAsia="한양신명조" w:hAnsi="굴림" w:cs="굴림"/>
          <w:b/>
          <w:bCs/>
          <w:kern w:val="0"/>
          <w:sz w:val="28"/>
          <w:szCs w:val="28"/>
        </w:rPr>
      </w:pPr>
      <w:r w:rsidRPr="00F93864">
        <w:rPr>
          <w:rFonts w:ascii="HY견명조" w:eastAsia="HY견명조" w:hAnsi="굴림" w:cs="굴림" w:hint="eastAsia"/>
          <w:kern w:val="0"/>
          <w:sz w:val="32"/>
          <w:szCs w:val="32"/>
        </w:rPr>
        <w:t>석사학위논문</w:t>
      </w:r>
    </w:p>
    <w:p w14:paraId="7DAA20A8" w14:textId="606BE9A3" w:rsidR="001A0AAB" w:rsidRPr="00F93864" w:rsidRDefault="001A0AAB" w:rsidP="001A0AAB">
      <w:pPr>
        <w:wordWrap/>
        <w:snapToGrid w:val="0"/>
        <w:spacing w:after="0" w:line="384" w:lineRule="auto"/>
        <w:ind w:firstLineChars="50" w:firstLine="130"/>
        <w:jc w:val="left"/>
        <w:textAlignment w:val="baseline"/>
        <w:rPr>
          <w:rFonts w:ascii="HY견명조" w:eastAsia="HY견명조" w:hAnsi="굴림" w:cs="굴림"/>
          <w:kern w:val="0"/>
          <w:sz w:val="26"/>
          <w:szCs w:val="26"/>
        </w:rPr>
      </w:pPr>
      <w:r w:rsidRPr="00F93864">
        <w:rPr>
          <w:rFonts w:ascii="HY견명조" w:eastAsia="HY견명조" w:hAnsi="굴림" w:cs="굴림" w:hint="eastAsia"/>
          <w:b/>
          <w:bCs/>
          <w:kern w:val="0"/>
          <w:sz w:val="26"/>
          <w:szCs w:val="26"/>
        </w:rPr>
        <w:t xml:space="preserve">지도교수 </w:t>
      </w:r>
      <w:r w:rsidR="007C1D63" w:rsidRPr="00F93864">
        <w:rPr>
          <w:rFonts w:ascii="HY견명조" w:eastAsia="HY견명조" w:hAnsi="굴림" w:cs="굴림" w:hint="eastAsia"/>
          <w:b/>
          <w:bCs/>
          <w:kern w:val="0"/>
          <w:sz w:val="26"/>
          <w:szCs w:val="26"/>
        </w:rPr>
        <w:t>김</w:t>
      </w:r>
      <w:r w:rsidRPr="00F93864">
        <w:rPr>
          <w:rFonts w:ascii="HY견명조" w:eastAsia="HY견명조" w:hAnsi="HY견명조" w:hint="eastAsia"/>
          <w:b/>
          <w:bCs/>
          <w:w w:val="95"/>
          <w:sz w:val="26"/>
          <w:szCs w:val="26"/>
        </w:rPr>
        <w:t xml:space="preserve"> </w:t>
      </w:r>
      <w:r w:rsidR="007C1D63" w:rsidRPr="00F93864">
        <w:rPr>
          <w:rFonts w:ascii="HY견명조" w:eastAsia="HY견명조" w:hAnsi="HY견명조" w:hint="eastAsia"/>
          <w:b/>
          <w:bCs/>
          <w:w w:val="95"/>
          <w:sz w:val="26"/>
          <w:szCs w:val="26"/>
        </w:rPr>
        <w:t>건</w:t>
      </w:r>
      <w:r w:rsidRPr="00F93864">
        <w:rPr>
          <w:rFonts w:ascii="HY견명조" w:eastAsia="HY견명조" w:hAnsi="HY견명조" w:hint="eastAsia"/>
          <w:b/>
          <w:bCs/>
          <w:w w:val="95"/>
          <w:sz w:val="26"/>
          <w:szCs w:val="26"/>
        </w:rPr>
        <w:t xml:space="preserve"> </w:t>
      </w:r>
      <w:r w:rsidR="007C1D63" w:rsidRPr="00F93864">
        <w:rPr>
          <w:rFonts w:ascii="HY견명조" w:eastAsia="HY견명조" w:hAnsi="HY견명조" w:hint="eastAsia"/>
          <w:b/>
          <w:bCs/>
          <w:w w:val="95"/>
          <w:sz w:val="26"/>
          <w:szCs w:val="26"/>
        </w:rPr>
        <w:t>우</w:t>
      </w:r>
      <w:r w:rsidR="00F558AF">
        <w:rPr>
          <w:rFonts w:ascii="HY견명조" w:eastAsia="HY견명조" w:hAnsi="HY견명조" w:hint="eastAsia"/>
          <w:b/>
          <w:bCs/>
          <w:w w:val="95"/>
          <w:sz w:val="26"/>
          <w:szCs w:val="26"/>
        </w:rPr>
        <w:t xml:space="preserve">  </w:t>
      </w:r>
    </w:p>
    <w:p w14:paraId="02B3D841"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487BD59C"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51BE8AA7" w14:textId="059F18EF"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438C43F1"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15DA165E"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6A98C4A0" w14:textId="77777777" w:rsidR="001A0AAB" w:rsidRPr="00BF7073" w:rsidRDefault="001A0AAB" w:rsidP="001A0AAB">
      <w:pPr>
        <w:wordWrap/>
        <w:snapToGrid w:val="0"/>
        <w:spacing w:after="0" w:line="384" w:lineRule="auto"/>
        <w:textAlignment w:val="baseline"/>
        <w:rPr>
          <w:rFonts w:ascii="한양신명조" w:eastAsia="한양신명조" w:hAnsi="굴림" w:cs="굴림"/>
          <w:color w:val="000000"/>
          <w:kern w:val="0"/>
          <w:sz w:val="16"/>
          <w:szCs w:val="16"/>
        </w:rPr>
      </w:pPr>
    </w:p>
    <w:p w14:paraId="01BC1BF9" w14:textId="77777777" w:rsidR="001A0AAB" w:rsidRPr="008A5CB3" w:rsidRDefault="001A0AAB" w:rsidP="001A0AAB">
      <w:pPr>
        <w:wordWrap/>
        <w:snapToGrid w:val="0"/>
        <w:spacing w:after="0" w:line="384" w:lineRule="auto"/>
        <w:textAlignment w:val="baseline"/>
        <w:rPr>
          <w:rFonts w:ascii="한양신명조" w:eastAsia="한양신명조" w:hAnsi="굴림" w:cs="굴림"/>
          <w:color w:val="000000"/>
          <w:kern w:val="0"/>
          <w:sz w:val="2"/>
          <w:szCs w:val="2"/>
        </w:rPr>
      </w:pPr>
    </w:p>
    <w:p w14:paraId="2889DDE0" w14:textId="062F6AB2" w:rsidR="001A0AAB" w:rsidRPr="00BF7073" w:rsidRDefault="000D3DF8" w:rsidP="001A0AAB">
      <w:pPr>
        <w:pStyle w:val="a3"/>
        <w:wordWrap/>
        <w:spacing w:line="240" w:lineRule="auto"/>
        <w:jc w:val="center"/>
        <w:rPr>
          <w:rFonts w:ascii="바탕"/>
          <w:sz w:val="38"/>
          <w:szCs w:val="38"/>
        </w:rPr>
      </w:pPr>
      <w:r>
        <w:rPr>
          <w:rFonts w:ascii="HY견명조" w:eastAsia="HY견명조" w:hAnsi="HY견명조" w:hint="eastAsia"/>
          <w:b/>
          <w:bCs/>
          <w:spacing w:val="-20"/>
          <w:w w:val="95"/>
          <w:sz w:val="38"/>
          <w:szCs w:val="38"/>
        </w:rPr>
        <w:t>기계학습 가중 앙상블 기반 다중 자산 실현분산 예측</w:t>
      </w:r>
    </w:p>
    <w:p w14:paraId="4C11999E" w14:textId="2B2873BA" w:rsidR="001A0AAB" w:rsidRPr="00E85A70" w:rsidRDefault="001A0AAB" w:rsidP="001A0AAB">
      <w:pPr>
        <w:wordWrap/>
        <w:snapToGrid w:val="0"/>
        <w:spacing w:after="0" w:line="384" w:lineRule="auto"/>
        <w:jc w:val="center"/>
        <w:textAlignment w:val="baseline"/>
        <w:rPr>
          <w:rFonts w:ascii="한양신명조" w:eastAsia="굴림" w:hAnsi="굴림" w:cs="굴림"/>
          <w:b/>
          <w:bCs/>
          <w:color w:val="000000"/>
          <w:kern w:val="0"/>
          <w:sz w:val="28"/>
          <w:szCs w:val="28"/>
        </w:rPr>
      </w:pPr>
      <w:r>
        <w:rPr>
          <w:rFonts w:ascii="한양신명조" w:eastAsia="한양신명조" w:hAnsi="굴림" w:cs="굴림"/>
          <w:b/>
          <w:bCs/>
          <w:color w:val="000000"/>
          <w:kern w:val="0"/>
          <w:sz w:val="32"/>
          <w:szCs w:val="32"/>
        </w:rPr>
        <w:t xml:space="preserve">             </w:t>
      </w:r>
      <w:r>
        <w:rPr>
          <w:rFonts w:ascii="한양신명조" w:eastAsia="한양신명조" w:hAnsi="굴림" w:cs="굴림" w:hint="eastAsia"/>
          <w:b/>
          <w:bCs/>
          <w:color w:val="000000"/>
          <w:kern w:val="0"/>
          <w:sz w:val="32"/>
          <w:szCs w:val="32"/>
        </w:rPr>
        <w:t xml:space="preserve"> </w:t>
      </w:r>
    </w:p>
    <w:p w14:paraId="5A3F1891" w14:textId="77777777" w:rsidR="001A0AAB" w:rsidRPr="008A5CB3"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70437D20" w14:textId="43B1192B" w:rsidR="001A0AAB" w:rsidRPr="005E0712" w:rsidRDefault="000D3DF8" w:rsidP="000D3DF8">
      <w:pPr>
        <w:wordWrap/>
        <w:snapToGrid w:val="0"/>
        <w:spacing w:after="0" w:line="384" w:lineRule="auto"/>
        <w:jc w:val="center"/>
        <w:textAlignment w:val="baseline"/>
        <w:rPr>
          <w:rFonts w:ascii="바탕" w:eastAsia="굴림" w:hAnsi="굴림" w:cs="굴림"/>
          <w:color w:val="000000"/>
          <w:kern w:val="0"/>
          <w:szCs w:val="20"/>
        </w:rPr>
      </w:pPr>
      <w:r w:rsidRPr="000D3DF8">
        <w:rPr>
          <w:rFonts w:ascii="HY견명조" w:eastAsia="HY견명조" w:hAnsi="굴림" w:cs="굴림"/>
          <w:b/>
          <w:bCs/>
          <w:color w:val="000000"/>
          <w:w w:val="92"/>
          <w:kern w:val="0"/>
          <w:sz w:val="30"/>
          <w:szCs w:val="30"/>
        </w:rPr>
        <w:t>Multi-Asset Realized Variance Prediction Based on Machine Learning Weighted Ensemble</w:t>
      </w:r>
    </w:p>
    <w:p w14:paraId="682416DB" w14:textId="77777777" w:rsidR="001A0AAB" w:rsidRPr="003E2988" w:rsidRDefault="001A0AAB" w:rsidP="004F670E">
      <w:pPr>
        <w:wordWrap/>
        <w:snapToGrid w:val="0"/>
        <w:spacing w:after="0" w:line="384" w:lineRule="auto"/>
        <w:textAlignment w:val="baseline"/>
        <w:rPr>
          <w:rFonts w:ascii="한양신명조" w:eastAsia="한양신명조" w:hAnsi="굴림" w:cs="굴림"/>
          <w:color w:val="000000"/>
          <w:kern w:val="0"/>
          <w:szCs w:val="20"/>
        </w:rPr>
      </w:pPr>
    </w:p>
    <w:p w14:paraId="4B8DAE7E" w14:textId="77777777"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156BF6EF" w14:textId="77777777"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69ECFC86" w14:textId="77175A73"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43A08861" w14:textId="77777777" w:rsidR="001A0AAB" w:rsidRPr="003E2988"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009CDA11" w14:textId="77777777" w:rsidR="001A0AAB" w:rsidRPr="004F670E" w:rsidRDefault="001A0AAB" w:rsidP="001A0AAB">
      <w:pPr>
        <w:wordWrap/>
        <w:snapToGrid w:val="0"/>
        <w:spacing w:after="0" w:line="384" w:lineRule="auto"/>
        <w:textAlignment w:val="baseline"/>
        <w:rPr>
          <w:rFonts w:ascii="한양신명조" w:eastAsia="한양신명조" w:hAnsi="굴림" w:cs="굴림"/>
          <w:color w:val="000000"/>
          <w:kern w:val="0"/>
          <w:sz w:val="40"/>
          <w:szCs w:val="40"/>
        </w:rPr>
      </w:pPr>
    </w:p>
    <w:p w14:paraId="1C667613" w14:textId="77777777" w:rsidR="001A0AAB" w:rsidRDefault="001A0AAB" w:rsidP="001A0AAB">
      <w:pPr>
        <w:wordWrap/>
        <w:snapToGrid w:val="0"/>
        <w:spacing w:after="0" w:line="384" w:lineRule="auto"/>
        <w:textAlignment w:val="baseline"/>
        <w:rPr>
          <w:rFonts w:ascii="한양신명조" w:eastAsia="한양신명조" w:hAnsi="굴림" w:cs="굴림"/>
          <w:color w:val="000000"/>
          <w:kern w:val="0"/>
          <w:szCs w:val="20"/>
        </w:rPr>
      </w:pPr>
    </w:p>
    <w:p w14:paraId="21CC7DB7" w14:textId="77777777" w:rsidR="001A0AAB" w:rsidRPr="005E0712" w:rsidRDefault="001A0AAB" w:rsidP="001A0AAB">
      <w:pPr>
        <w:wordWrap/>
        <w:snapToGrid w:val="0"/>
        <w:spacing w:after="0" w:line="384" w:lineRule="auto"/>
        <w:textAlignment w:val="baseline"/>
        <w:rPr>
          <w:rFonts w:ascii="한양신명조" w:eastAsia="한양신명조" w:hAnsi="굴림" w:cs="굴림"/>
          <w:color w:val="000000"/>
          <w:kern w:val="0"/>
          <w:szCs w:val="20"/>
        </w:rPr>
      </w:pPr>
    </w:p>
    <w:p w14:paraId="3CFF870C" w14:textId="13B5DD87" w:rsidR="001A0AAB" w:rsidRPr="00E85A70" w:rsidRDefault="001A0AAB" w:rsidP="001A0AAB">
      <w:pPr>
        <w:wordWrap/>
        <w:snapToGrid w:val="0"/>
        <w:spacing w:after="0" w:line="480" w:lineRule="auto"/>
        <w:jc w:val="center"/>
        <w:textAlignment w:val="baseline"/>
        <w:rPr>
          <w:rFonts w:ascii="바탕" w:eastAsia="굴림" w:hAnsi="굴림" w:cs="굴림"/>
          <w:color w:val="000000"/>
          <w:kern w:val="0"/>
          <w:szCs w:val="20"/>
        </w:rPr>
      </w:pPr>
      <w:r w:rsidRPr="005E0712">
        <w:rPr>
          <w:rFonts w:ascii="HY견명조" w:eastAsia="HY견명조" w:hAnsi="HY견명조" w:cs="굴림" w:hint="eastAsia"/>
          <w:color w:val="000000"/>
          <w:w w:val="95"/>
          <w:kern w:val="0"/>
          <w:sz w:val="38"/>
          <w:szCs w:val="38"/>
        </w:rPr>
        <w:t>경 상</w:t>
      </w:r>
      <w:r w:rsidRPr="005E0712">
        <w:rPr>
          <w:rFonts w:ascii="바탕" w:eastAsia="HY견명조" w:hAnsi="굴림" w:cs="굴림"/>
          <w:color w:val="000000"/>
          <w:kern w:val="0"/>
          <w:sz w:val="38"/>
          <w:szCs w:val="38"/>
        </w:rPr>
        <w:t xml:space="preserve"> </w:t>
      </w:r>
      <w:r w:rsidRPr="005E0712">
        <w:rPr>
          <w:rFonts w:ascii="HY견명조" w:eastAsia="HY견명조" w:hAnsi="굴림" w:cs="굴림" w:hint="eastAsia"/>
          <w:color w:val="000000"/>
          <w:kern w:val="0"/>
          <w:sz w:val="38"/>
          <w:szCs w:val="38"/>
        </w:rPr>
        <w:t>국</w:t>
      </w:r>
      <w:r w:rsidRPr="005E0712">
        <w:rPr>
          <w:rFonts w:ascii="HY견명조" w:eastAsia="HY견명조" w:hAnsi="굴림"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립 대 학 교</w:t>
      </w:r>
      <w:r>
        <w:rPr>
          <w:rFonts w:ascii="HY견명조" w:eastAsia="HY견명조" w:hAnsi="HY견명조"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 xml:space="preserve"> 대 학 원</w:t>
      </w:r>
    </w:p>
    <w:p w14:paraId="31ECA3FA" w14:textId="10C2FADF" w:rsidR="001A0AAB" w:rsidRPr="005E0712" w:rsidRDefault="00F93864" w:rsidP="001A0AAB">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color w:val="000000"/>
          <w:kern w:val="0"/>
          <w:sz w:val="30"/>
          <w:szCs w:val="30"/>
        </w:rPr>
        <w:t>컴퓨터공학</w:t>
      </w:r>
      <w:r w:rsidR="001A0AAB" w:rsidRPr="005E0712">
        <w:rPr>
          <w:rFonts w:ascii="HY견명조" w:eastAsia="HY견명조" w:hAnsi="굴림" w:cs="굴림" w:hint="eastAsia"/>
          <w:color w:val="000000"/>
          <w:kern w:val="0"/>
          <w:sz w:val="30"/>
          <w:szCs w:val="30"/>
        </w:rPr>
        <w:t>과</w:t>
      </w:r>
    </w:p>
    <w:p w14:paraId="5E5B6A10" w14:textId="55035571" w:rsidR="001A0AAB" w:rsidRPr="005E0712" w:rsidRDefault="00F93864" w:rsidP="001A0AAB">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b/>
          <w:bCs/>
          <w:color w:val="000000"/>
          <w:w w:val="95"/>
          <w:kern w:val="0"/>
          <w:sz w:val="34"/>
          <w:szCs w:val="34"/>
        </w:rPr>
        <w:t>박 상 훈</w:t>
      </w:r>
    </w:p>
    <w:p w14:paraId="345A4033" w14:textId="7142E624" w:rsidR="001A0AAB" w:rsidRDefault="001A0AAB" w:rsidP="001A0AAB">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sidR="00F93864">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sidR="00F558AF">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77E15361" w14:textId="77777777" w:rsidR="001A0AAB" w:rsidRDefault="001A0AAB" w:rsidP="001A0AAB">
      <w:pPr>
        <w:wordWrap/>
        <w:snapToGrid w:val="0"/>
        <w:spacing w:after="0" w:line="384" w:lineRule="auto"/>
        <w:ind w:firstLineChars="50" w:firstLine="95"/>
        <w:textAlignment w:val="baseline"/>
        <w:rPr>
          <w:rFonts w:ascii="HY견명조" w:eastAsia="HY견명조" w:hAnsi="HY견명조" w:cs="굴림"/>
          <w:b/>
          <w:bCs/>
          <w:color w:val="FF0000"/>
          <w:w w:val="95"/>
          <w:kern w:val="0"/>
          <w:szCs w:val="20"/>
        </w:rPr>
      </w:pPr>
    </w:p>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1A0AAB" w:rsidRPr="001A0AAB" w14:paraId="77451FA0" w14:textId="77777777" w:rsidTr="001A0AAB">
        <w:trPr>
          <w:trHeight w:val="390"/>
        </w:trPr>
        <w:tc>
          <w:tcPr>
            <w:tcW w:w="3605" w:type="dxa"/>
          </w:tcPr>
          <w:p w14:paraId="371D39F4" w14:textId="5B7127C2" w:rsidR="001A0AAB" w:rsidRPr="001A0AAB" w:rsidRDefault="001A0AAB" w:rsidP="001A0AAB">
            <w:pPr>
              <w:wordWrap/>
              <w:snapToGrid w:val="0"/>
              <w:spacing w:line="384" w:lineRule="auto"/>
              <w:jc w:val="left"/>
              <w:textAlignment w:val="baseline"/>
              <w:rPr>
                <w:rFonts w:ascii="한양신명조" w:eastAsia="한양신명조" w:hAnsi="굴림" w:cs="굴림"/>
                <w:bCs/>
                <w:color w:val="000000"/>
                <w:kern w:val="0"/>
                <w:szCs w:val="20"/>
              </w:rPr>
            </w:pPr>
          </w:p>
        </w:tc>
      </w:tr>
    </w:tbl>
    <w:p w14:paraId="586A154B" w14:textId="77777777" w:rsidR="004C4E20" w:rsidRPr="00F558AF" w:rsidRDefault="004C4E20" w:rsidP="001A0AAB">
      <w:pPr>
        <w:wordWrap/>
        <w:snapToGrid w:val="0"/>
        <w:spacing w:after="0" w:line="384" w:lineRule="auto"/>
        <w:ind w:firstLineChars="50" w:firstLine="40"/>
        <w:textAlignment w:val="baseline"/>
        <w:rPr>
          <w:rFonts w:ascii="HY견명조" w:eastAsia="HY견명조" w:hAnsi="굴림" w:cs="굴림"/>
          <w:kern w:val="0"/>
          <w:sz w:val="8"/>
          <w:szCs w:val="8"/>
        </w:rPr>
      </w:pPr>
    </w:p>
    <w:p w14:paraId="727AD727" w14:textId="7735E6BA" w:rsidR="002E4B66" w:rsidRPr="00F558AF" w:rsidRDefault="002E4B66" w:rsidP="004C4E20">
      <w:pPr>
        <w:wordWrap/>
        <w:snapToGrid w:val="0"/>
        <w:spacing w:after="0" w:line="384" w:lineRule="auto"/>
        <w:ind w:firstLineChars="50" w:firstLine="160"/>
        <w:textAlignment w:val="baseline"/>
        <w:rPr>
          <w:rFonts w:ascii="HY견명조" w:eastAsia="HY견명조" w:hAnsi="굴림" w:cs="굴림"/>
          <w:kern w:val="0"/>
          <w:sz w:val="32"/>
          <w:szCs w:val="32"/>
        </w:rPr>
      </w:pPr>
      <w:r w:rsidRPr="00F558AF">
        <w:rPr>
          <w:rFonts w:ascii="HY견명조" w:eastAsia="HY견명조" w:hAnsi="굴림" w:cs="굴림" w:hint="eastAsia"/>
          <w:kern w:val="0"/>
          <w:sz w:val="32"/>
          <w:szCs w:val="32"/>
        </w:rPr>
        <w:t>석사학위논문</w:t>
      </w:r>
    </w:p>
    <w:p w14:paraId="6D9CDE76" w14:textId="491A1CC5" w:rsidR="002E4B66" w:rsidRPr="00F558AF" w:rsidRDefault="002E4B66" w:rsidP="002E4B66">
      <w:pPr>
        <w:wordWrap/>
        <w:snapToGrid w:val="0"/>
        <w:spacing w:after="0" w:line="384" w:lineRule="auto"/>
        <w:ind w:firstLineChars="50" w:firstLine="140"/>
        <w:jc w:val="left"/>
        <w:textAlignment w:val="baseline"/>
        <w:rPr>
          <w:rFonts w:ascii="HY견명조" w:eastAsia="HY견명조" w:hAnsi="굴림" w:cs="굴림"/>
          <w:kern w:val="0"/>
          <w:sz w:val="26"/>
          <w:szCs w:val="26"/>
        </w:rPr>
      </w:pPr>
      <w:r w:rsidRPr="00F558AF">
        <w:rPr>
          <w:rFonts w:ascii="HY견명조" w:eastAsia="HY견명조" w:hAnsi="굴림" w:cs="굴림" w:hint="eastAsia"/>
          <w:b/>
          <w:bCs/>
          <w:kern w:val="0"/>
          <w:sz w:val="28"/>
          <w:szCs w:val="28"/>
        </w:rPr>
        <w:t xml:space="preserve">지도교수 </w:t>
      </w:r>
      <w:r w:rsidR="00F558AF">
        <w:rPr>
          <w:rFonts w:ascii="HY견명조" w:eastAsia="HY견명조" w:hAnsi="굴림" w:cs="굴림" w:hint="eastAsia"/>
          <w:b/>
          <w:bCs/>
          <w:kern w:val="0"/>
          <w:sz w:val="28"/>
          <w:szCs w:val="28"/>
        </w:rPr>
        <w:t>김</w:t>
      </w:r>
      <w:r w:rsidRPr="00F558AF">
        <w:rPr>
          <w:rFonts w:ascii="HY견명조" w:eastAsia="HY견명조" w:hAnsi="HY견명조" w:hint="eastAsia"/>
          <w:b/>
          <w:bCs/>
          <w:w w:val="95"/>
          <w:sz w:val="28"/>
          <w:szCs w:val="28"/>
        </w:rPr>
        <w:t xml:space="preserve"> </w:t>
      </w:r>
      <w:r w:rsidR="00F558AF">
        <w:rPr>
          <w:rFonts w:ascii="HY견명조" w:eastAsia="HY견명조" w:hAnsi="HY견명조" w:hint="eastAsia"/>
          <w:b/>
          <w:bCs/>
          <w:w w:val="95"/>
          <w:sz w:val="28"/>
          <w:szCs w:val="28"/>
        </w:rPr>
        <w:t>건</w:t>
      </w:r>
      <w:r w:rsidRPr="00F558AF">
        <w:rPr>
          <w:rFonts w:ascii="HY견명조" w:eastAsia="HY견명조" w:hAnsi="HY견명조" w:hint="eastAsia"/>
          <w:b/>
          <w:bCs/>
          <w:w w:val="95"/>
          <w:sz w:val="26"/>
          <w:szCs w:val="26"/>
        </w:rPr>
        <w:t xml:space="preserve"> </w:t>
      </w:r>
      <w:r w:rsidR="00F558AF">
        <w:rPr>
          <w:rFonts w:ascii="HY견명조" w:eastAsia="HY견명조" w:hAnsi="HY견명조" w:hint="eastAsia"/>
          <w:b/>
          <w:bCs/>
          <w:w w:val="95"/>
          <w:sz w:val="26"/>
          <w:szCs w:val="26"/>
        </w:rPr>
        <w:t>우</w:t>
      </w:r>
    </w:p>
    <w:p w14:paraId="360F5944"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5E05E0C"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B84ABC2"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7BBDEA32"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6D4268CC" w14:textId="77777777" w:rsidR="002E4B66" w:rsidRPr="00BF7073"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27BB4290" w14:textId="77777777" w:rsidR="002E4B66" w:rsidRPr="008A5CB3" w:rsidRDefault="002E4B66" w:rsidP="002E4B66">
      <w:pPr>
        <w:wordWrap/>
        <w:snapToGrid w:val="0"/>
        <w:spacing w:after="0" w:line="384" w:lineRule="auto"/>
        <w:textAlignment w:val="baseline"/>
        <w:rPr>
          <w:rFonts w:ascii="한양신명조" w:eastAsia="한양신명조" w:hAnsi="굴림" w:cs="굴림"/>
          <w:color w:val="000000"/>
          <w:kern w:val="0"/>
          <w:sz w:val="2"/>
          <w:szCs w:val="2"/>
        </w:rPr>
      </w:pPr>
    </w:p>
    <w:p w14:paraId="7ACEA3C9" w14:textId="77777777" w:rsidR="00F558AF" w:rsidRPr="00BF7073" w:rsidRDefault="00F558AF" w:rsidP="00F558AF">
      <w:pPr>
        <w:pStyle w:val="a3"/>
        <w:wordWrap/>
        <w:spacing w:line="240" w:lineRule="auto"/>
        <w:jc w:val="center"/>
        <w:rPr>
          <w:rFonts w:ascii="바탕"/>
          <w:sz w:val="38"/>
          <w:szCs w:val="38"/>
        </w:rPr>
      </w:pPr>
      <w:r>
        <w:rPr>
          <w:rFonts w:ascii="HY견명조" w:eastAsia="HY견명조" w:hAnsi="HY견명조" w:hint="eastAsia"/>
          <w:b/>
          <w:bCs/>
          <w:spacing w:val="-20"/>
          <w:w w:val="95"/>
          <w:sz w:val="38"/>
          <w:szCs w:val="38"/>
        </w:rPr>
        <w:t>기계학습 가중 앙상블 기반 다중 자산 실현분산 예측</w:t>
      </w:r>
    </w:p>
    <w:p w14:paraId="646E564B" w14:textId="77777777" w:rsidR="00F558AF" w:rsidRPr="00E85A70" w:rsidRDefault="00F558AF" w:rsidP="00F558AF">
      <w:pPr>
        <w:wordWrap/>
        <w:snapToGrid w:val="0"/>
        <w:spacing w:after="0" w:line="384" w:lineRule="auto"/>
        <w:jc w:val="center"/>
        <w:textAlignment w:val="baseline"/>
        <w:rPr>
          <w:rFonts w:ascii="한양신명조" w:eastAsia="굴림" w:hAnsi="굴림" w:cs="굴림"/>
          <w:b/>
          <w:bCs/>
          <w:color w:val="000000"/>
          <w:kern w:val="0"/>
          <w:sz w:val="28"/>
          <w:szCs w:val="28"/>
        </w:rPr>
      </w:pPr>
      <w:r>
        <w:rPr>
          <w:rFonts w:ascii="한양신명조" w:eastAsia="한양신명조" w:hAnsi="굴림" w:cs="굴림"/>
          <w:b/>
          <w:bCs/>
          <w:color w:val="000000"/>
          <w:kern w:val="0"/>
          <w:sz w:val="32"/>
          <w:szCs w:val="32"/>
        </w:rPr>
        <w:t xml:space="preserve">             </w:t>
      </w:r>
      <w:r>
        <w:rPr>
          <w:rFonts w:ascii="한양신명조" w:eastAsia="한양신명조" w:hAnsi="굴림" w:cs="굴림" w:hint="eastAsia"/>
          <w:b/>
          <w:bCs/>
          <w:color w:val="000000"/>
          <w:kern w:val="0"/>
          <w:sz w:val="32"/>
          <w:szCs w:val="32"/>
        </w:rPr>
        <w:t xml:space="preserve"> </w:t>
      </w:r>
    </w:p>
    <w:p w14:paraId="77F17A3F" w14:textId="77777777" w:rsidR="00F558AF" w:rsidRPr="008A5CB3" w:rsidRDefault="00F558AF" w:rsidP="00F558AF">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5EBBE86" w14:textId="77777777" w:rsidR="00F558AF" w:rsidRPr="005E0712" w:rsidRDefault="00F558AF" w:rsidP="00F558AF">
      <w:pPr>
        <w:wordWrap/>
        <w:snapToGrid w:val="0"/>
        <w:spacing w:after="0" w:line="384" w:lineRule="auto"/>
        <w:jc w:val="center"/>
        <w:textAlignment w:val="baseline"/>
        <w:rPr>
          <w:rFonts w:ascii="바탕" w:eastAsia="굴림" w:hAnsi="굴림" w:cs="굴림"/>
          <w:color w:val="000000"/>
          <w:kern w:val="0"/>
          <w:szCs w:val="20"/>
        </w:rPr>
      </w:pPr>
      <w:r w:rsidRPr="000D3DF8">
        <w:rPr>
          <w:rFonts w:ascii="HY견명조" w:eastAsia="HY견명조" w:hAnsi="굴림" w:cs="굴림"/>
          <w:b/>
          <w:bCs/>
          <w:color w:val="000000"/>
          <w:w w:val="92"/>
          <w:kern w:val="0"/>
          <w:sz w:val="30"/>
          <w:szCs w:val="30"/>
        </w:rPr>
        <w:t>Multi-Asset Realized Variance Prediction Based on Machine Learning Weighted Ensemble</w:t>
      </w:r>
    </w:p>
    <w:p w14:paraId="1A2A6EE9" w14:textId="77777777" w:rsidR="002E4B66" w:rsidRPr="00F558AF" w:rsidRDefault="002E4B66" w:rsidP="002E4B66">
      <w:pPr>
        <w:wordWrap/>
        <w:snapToGrid w:val="0"/>
        <w:spacing w:after="0" w:line="384" w:lineRule="auto"/>
        <w:jc w:val="center"/>
        <w:textAlignment w:val="baseline"/>
        <w:rPr>
          <w:rFonts w:ascii="한양신명조" w:eastAsia="한양신명조" w:hAnsi="굴림" w:cs="굴림"/>
          <w:color w:val="000000"/>
          <w:kern w:val="0"/>
          <w:szCs w:val="20"/>
        </w:rPr>
      </w:pPr>
    </w:p>
    <w:p w14:paraId="68EDA5A7" w14:textId="3AC5E4CA" w:rsidR="002E4B66" w:rsidRDefault="002E4B66" w:rsidP="002E4B66">
      <w:pPr>
        <w:wordWrap/>
        <w:snapToGrid w:val="0"/>
        <w:spacing w:after="0" w:line="480" w:lineRule="auto"/>
        <w:textAlignment w:val="baseline"/>
        <w:rPr>
          <w:rFonts w:ascii="한양신명조" w:eastAsia="한양신명조" w:hAnsi="굴림" w:cs="굴림"/>
          <w:color w:val="000000"/>
          <w:kern w:val="0"/>
          <w:szCs w:val="20"/>
        </w:rPr>
      </w:pPr>
    </w:p>
    <w:p w14:paraId="54E6E582" w14:textId="77777777" w:rsidR="002E4B66" w:rsidRDefault="002E4B66" w:rsidP="002E4B66">
      <w:pPr>
        <w:wordWrap/>
        <w:snapToGrid w:val="0"/>
        <w:spacing w:after="0" w:line="480" w:lineRule="auto"/>
        <w:textAlignment w:val="baseline"/>
        <w:rPr>
          <w:rFonts w:ascii="한양신명조" w:eastAsia="한양신명조" w:hAnsi="굴림" w:cs="굴림"/>
          <w:color w:val="000000"/>
          <w:kern w:val="0"/>
          <w:szCs w:val="20"/>
        </w:rPr>
      </w:pPr>
    </w:p>
    <w:p w14:paraId="6C2D22D9" w14:textId="2D4F2C1E" w:rsidR="002E4B66" w:rsidRPr="00F558AF" w:rsidRDefault="002E4B66" w:rsidP="002E4B66">
      <w:pPr>
        <w:wordWrap/>
        <w:snapToGrid w:val="0"/>
        <w:spacing w:after="0" w:line="360" w:lineRule="auto"/>
        <w:jc w:val="center"/>
        <w:textAlignment w:val="baseline"/>
        <w:rPr>
          <w:rFonts w:ascii="바탕" w:eastAsia="굴림" w:hAnsi="굴림" w:cs="굴림"/>
          <w:kern w:val="0"/>
          <w:sz w:val="32"/>
          <w:szCs w:val="32"/>
        </w:rPr>
      </w:pPr>
      <w:r w:rsidRPr="00F558AF">
        <w:rPr>
          <w:rFonts w:ascii="HY견명조" w:eastAsia="HY견명조" w:hAnsi="굴림" w:cs="굴림" w:hint="eastAsia"/>
          <w:b/>
          <w:bCs/>
          <w:kern w:val="0"/>
          <w:sz w:val="32"/>
          <w:szCs w:val="32"/>
        </w:rPr>
        <w:t xml:space="preserve">이 논문을 </w:t>
      </w:r>
      <w:r w:rsidR="00F558AF" w:rsidRPr="00F558AF">
        <w:rPr>
          <w:rFonts w:ascii="HY견명조" w:eastAsia="HY견명조" w:hAnsi="HY견명조" w:cs="굴림" w:hint="eastAsia"/>
          <w:b/>
          <w:bCs/>
          <w:kern w:val="0"/>
          <w:sz w:val="32"/>
          <w:szCs w:val="32"/>
        </w:rPr>
        <w:t>공</w:t>
      </w:r>
      <w:r w:rsidRPr="00F558AF">
        <w:rPr>
          <w:rFonts w:ascii="HY견명조" w:eastAsia="HY견명조" w:hAnsi="굴림" w:cs="굴림" w:hint="eastAsia"/>
          <w:b/>
          <w:bCs/>
          <w:kern w:val="0"/>
          <w:sz w:val="32"/>
          <w:szCs w:val="32"/>
        </w:rPr>
        <w:t>학 석사</w:t>
      </w:r>
    </w:p>
    <w:p w14:paraId="1A9EDFDC" w14:textId="77777777" w:rsidR="002E4B66" w:rsidRPr="002E4B66" w:rsidRDefault="002E4B66" w:rsidP="002E4B66">
      <w:pPr>
        <w:wordWrap/>
        <w:snapToGrid w:val="0"/>
        <w:spacing w:after="0" w:line="360" w:lineRule="auto"/>
        <w:jc w:val="center"/>
        <w:textAlignment w:val="baseline"/>
        <w:rPr>
          <w:rFonts w:ascii="바탕" w:eastAsia="굴림" w:hAnsi="굴림" w:cs="굴림"/>
          <w:color w:val="000000"/>
          <w:kern w:val="0"/>
          <w:sz w:val="32"/>
          <w:szCs w:val="32"/>
        </w:rPr>
      </w:pPr>
      <w:r w:rsidRPr="002E4B66">
        <w:rPr>
          <w:rFonts w:ascii="HY견명조" w:eastAsia="HY견명조" w:hAnsi="굴림" w:cs="굴림" w:hint="eastAsia"/>
          <w:b/>
          <w:bCs/>
          <w:color w:val="000000"/>
          <w:kern w:val="0"/>
          <w:sz w:val="32"/>
          <w:szCs w:val="32"/>
        </w:rPr>
        <w:t>학위논문으로 제출함</w:t>
      </w:r>
    </w:p>
    <w:p w14:paraId="7FF8DCAB" w14:textId="77777777" w:rsidR="002E4B66" w:rsidRPr="004F670E" w:rsidRDefault="002E4B66" w:rsidP="002E4B66">
      <w:pPr>
        <w:wordWrap/>
        <w:snapToGrid w:val="0"/>
        <w:spacing w:after="0" w:line="480" w:lineRule="auto"/>
        <w:textAlignment w:val="baseline"/>
        <w:rPr>
          <w:rFonts w:ascii="한양신명조" w:eastAsia="한양신명조" w:hAnsi="굴림" w:cs="굴림"/>
          <w:color w:val="000000"/>
          <w:kern w:val="0"/>
          <w:sz w:val="18"/>
          <w:szCs w:val="18"/>
        </w:rPr>
      </w:pPr>
    </w:p>
    <w:p w14:paraId="0BD7A7BB" w14:textId="322AFDE9" w:rsidR="002E4B66" w:rsidRPr="004F670E" w:rsidRDefault="002E4B66" w:rsidP="002E4B66">
      <w:pPr>
        <w:wordWrap/>
        <w:snapToGrid w:val="0"/>
        <w:spacing w:after="0" w:line="480" w:lineRule="auto"/>
        <w:textAlignment w:val="baseline"/>
        <w:rPr>
          <w:rFonts w:ascii="한양신명조" w:eastAsia="한양신명조" w:hAnsi="굴림" w:cs="굴림"/>
          <w:color w:val="000000"/>
          <w:kern w:val="0"/>
          <w:sz w:val="18"/>
          <w:szCs w:val="18"/>
        </w:rPr>
      </w:pPr>
    </w:p>
    <w:p w14:paraId="365B9F53" w14:textId="77777777" w:rsidR="004F670E" w:rsidRPr="004F670E" w:rsidRDefault="004F670E" w:rsidP="002E4B66">
      <w:pPr>
        <w:wordWrap/>
        <w:snapToGrid w:val="0"/>
        <w:spacing w:after="0" w:line="480" w:lineRule="auto"/>
        <w:textAlignment w:val="baseline"/>
        <w:rPr>
          <w:rFonts w:ascii="한양신명조" w:eastAsia="한양신명조" w:hAnsi="굴림" w:cs="굴림"/>
          <w:color w:val="000000"/>
          <w:kern w:val="0"/>
          <w:sz w:val="18"/>
          <w:szCs w:val="18"/>
        </w:rPr>
      </w:pPr>
    </w:p>
    <w:p w14:paraId="6F9AAC31" w14:textId="77777777" w:rsidR="002E4B66" w:rsidRPr="004F670E" w:rsidRDefault="002E4B66" w:rsidP="002E4B66">
      <w:pPr>
        <w:wordWrap/>
        <w:snapToGrid w:val="0"/>
        <w:spacing w:after="0" w:line="384" w:lineRule="auto"/>
        <w:textAlignment w:val="baseline"/>
        <w:rPr>
          <w:rFonts w:ascii="한양신명조" w:eastAsia="한양신명조" w:hAnsi="굴림" w:cs="굴림"/>
          <w:color w:val="000000"/>
          <w:kern w:val="0"/>
          <w:sz w:val="18"/>
          <w:szCs w:val="18"/>
        </w:rPr>
      </w:pPr>
    </w:p>
    <w:p w14:paraId="1BCCCD69" w14:textId="515C4287" w:rsidR="002E4B66" w:rsidRPr="00E85A70" w:rsidRDefault="002E4B66" w:rsidP="002E4B66">
      <w:pPr>
        <w:wordWrap/>
        <w:snapToGrid w:val="0"/>
        <w:spacing w:after="0" w:line="480" w:lineRule="auto"/>
        <w:jc w:val="center"/>
        <w:textAlignment w:val="baseline"/>
        <w:rPr>
          <w:rFonts w:ascii="바탕" w:eastAsia="굴림" w:hAnsi="굴림" w:cs="굴림"/>
          <w:color w:val="000000"/>
          <w:kern w:val="0"/>
          <w:szCs w:val="20"/>
        </w:rPr>
      </w:pPr>
      <w:r w:rsidRPr="005E0712">
        <w:rPr>
          <w:rFonts w:ascii="HY견명조" w:eastAsia="HY견명조" w:hAnsi="HY견명조" w:cs="굴림" w:hint="eastAsia"/>
          <w:color w:val="000000"/>
          <w:w w:val="95"/>
          <w:kern w:val="0"/>
          <w:sz w:val="38"/>
          <w:szCs w:val="38"/>
        </w:rPr>
        <w:t>경 상</w:t>
      </w:r>
      <w:r w:rsidRPr="005E0712">
        <w:rPr>
          <w:rFonts w:ascii="바탕" w:eastAsia="HY견명조" w:hAnsi="굴림" w:cs="굴림"/>
          <w:color w:val="000000"/>
          <w:kern w:val="0"/>
          <w:sz w:val="38"/>
          <w:szCs w:val="38"/>
        </w:rPr>
        <w:t xml:space="preserve"> </w:t>
      </w:r>
      <w:r w:rsidRPr="005E0712">
        <w:rPr>
          <w:rFonts w:ascii="HY견명조" w:eastAsia="HY견명조" w:hAnsi="굴림" w:cs="굴림" w:hint="eastAsia"/>
          <w:color w:val="000000"/>
          <w:kern w:val="0"/>
          <w:sz w:val="38"/>
          <w:szCs w:val="38"/>
        </w:rPr>
        <w:t>국</w:t>
      </w:r>
      <w:r w:rsidRPr="005E0712">
        <w:rPr>
          <w:rFonts w:ascii="HY견명조" w:eastAsia="HY견명조" w:hAnsi="굴림"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립 대 학 교</w:t>
      </w:r>
      <w:r>
        <w:rPr>
          <w:rFonts w:ascii="HY견명조" w:eastAsia="HY견명조" w:hAnsi="HY견명조"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 xml:space="preserve"> 대 학 원</w:t>
      </w:r>
    </w:p>
    <w:p w14:paraId="7EA2A408" w14:textId="77777777" w:rsidR="00F558AF" w:rsidRPr="005E0712" w:rsidRDefault="00F558AF" w:rsidP="00F558AF">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color w:val="000000"/>
          <w:kern w:val="0"/>
          <w:sz w:val="30"/>
          <w:szCs w:val="30"/>
        </w:rPr>
        <w:t>컴퓨터공학</w:t>
      </w:r>
      <w:r w:rsidRPr="005E0712">
        <w:rPr>
          <w:rFonts w:ascii="HY견명조" w:eastAsia="HY견명조" w:hAnsi="굴림" w:cs="굴림" w:hint="eastAsia"/>
          <w:color w:val="000000"/>
          <w:kern w:val="0"/>
          <w:sz w:val="30"/>
          <w:szCs w:val="30"/>
        </w:rPr>
        <w:t>과</w:t>
      </w:r>
    </w:p>
    <w:p w14:paraId="407BD366" w14:textId="77777777" w:rsidR="00F558AF" w:rsidRPr="005E0712" w:rsidRDefault="00F558AF" w:rsidP="00F558AF">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b/>
          <w:bCs/>
          <w:color w:val="000000"/>
          <w:w w:val="95"/>
          <w:kern w:val="0"/>
          <w:sz w:val="34"/>
          <w:szCs w:val="34"/>
        </w:rPr>
        <w:t>박 상 훈</w:t>
      </w:r>
    </w:p>
    <w:p w14:paraId="6969B9B5" w14:textId="1C0B1C21" w:rsidR="00F558AF" w:rsidRDefault="00F558AF" w:rsidP="00F558AF">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31B2C48C" w14:textId="77777777" w:rsidR="004F670E" w:rsidRDefault="004F670E" w:rsidP="002E4B66">
      <w:pPr>
        <w:wordWrap/>
        <w:snapToGrid w:val="0"/>
        <w:spacing w:after="0" w:line="384" w:lineRule="auto"/>
        <w:jc w:val="center"/>
        <w:textAlignment w:val="baseline"/>
        <w:rPr>
          <w:rFonts w:ascii="HY견명조" w:eastAsia="HY견명조" w:hAnsi="HY견명조" w:cs="굴림"/>
          <w:b/>
          <w:bCs/>
          <w:color w:val="FF0000"/>
          <w:w w:val="95"/>
          <w:kern w:val="0"/>
          <w:szCs w:val="20"/>
        </w:rPr>
      </w:pPr>
    </w:p>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3"/>
      </w:tblGrid>
      <w:tr w:rsidR="004F670E" w:rsidRPr="001A0AAB" w14:paraId="39B3E2EA" w14:textId="77777777" w:rsidTr="002473EA">
        <w:trPr>
          <w:trHeight w:val="352"/>
        </w:trPr>
        <w:tc>
          <w:tcPr>
            <w:tcW w:w="4333" w:type="dxa"/>
          </w:tcPr>
          <w:p w14:paraId="749CAD5E" w14:textId="037744C2" w:rsidR="004F670E" w:rsidRPr="001A0AAB" w:rsidRDefault="004F670E" w:rsidP="002473EA">
            <w:pPr>
              <w:wordWrap/>
              <w:snapToGrid w:val="0"/>
              <w:spacing w:line="384" w:lineRule="auto"/>
              <w:jc w:val="left"/>
              <w:textAlignment w:val="baseline"/>
              <w:rPr>
                <w:rFonts w:ascii="한양신명조" w:eastAsia="한양신명조" w:hAnsi="굴림" w:cs="굴림"/>
                <w:bCs/>
                <w:color w:val="000000"/>
                <w:kern w:val="0"/>
                <w:szCs w:val="20"/>
              </w:rPr>
            </w:pPr>
          </w:p>
        </w:tc>
      </w:tr>
    </w:tbl>
    <w:p w14:paraId="738C75FA" w14:textId="77777777" w:rsidR="004F670E" w:rsidRPr="004F670E" w:rsidRDefault="004F670E" w:rsidP="002E4B66">
      <w:pPr>
        <w:wordWrap/>
        <w:snapToGrid w:val="0"/>
        <w:spacing w:after="0" w:line="384" w:lineRule="auto"/>
        <w:jc w:val="center"/>
        <w:textAlignment w:val="baseline"/>
        <w:rPr>
          <w:rFonts w:ascii="HY견명조" w:eastAsia="HY견명조" w:hAnsi="HY견명조" w:cs="굴림"/>
          <w:b/>
          <w:bCs/>
          <w:color w:val="FF0000"/>
          <w:w w:val="95"/>
          <w:kern w:val="0"/>
          <w:sz w:val="8"/>
          <w:szCs w:val="8"/>
        </w:rPr>
      </w:pPr>
    </w:p>
    <w:p w14:paraId="7641838E" w14:textId="3D3DB5E1" w:rsidR="008C4065" w:rsidRPr="00F558AF" w:rsidRDefault="00F558AF" w:rsidP="002E4B66">
      <w:pPr>
        <w:snapToGrid w:val="0"/>
        <w:spacing w:after="0" w:line="384" w:lineRule="auto"/>
        <w:ind w:firstLineChars="100" w:firstLine="260"/>
        <w:textAlignment w:val="baseline"/>
        <w:rPr>
          <w:rFonts w:ascii="바탕" w:eastAsia="굴림" w:hAnsi="굴림" w:cs="굴림"/>
          <w:kern w:val="0"/>
          <w:sz w:val="26"/>
          <w:szCs w:val="26"/>
        </w:rPr>
      </w:pPr>
      <w:r w:rsidRPr="00F558AF">
        <w:rPr>
          <w:rFonts w:ascii="HY견명조" w:eastAsia="HY견명조" w:hAnsi="HY견명조" w:cs="굴림" w:hint="eastAsia"/>
          <w:b/>
          <w:bCs/>
          <w:kern w:val="0"/>
          <w:sz w:val="26"/>
          <w:szCs w:val="26"/>
        </w:rPr>
        <w:t>박 상 훈</w:t>
      </w:r>
      <w:r w:rsidR="008C4065" w:rsidRPr="00F558AF">
        <w:rPr>
          <w:rFonts w:ascii="HY견명조" w:eastAsia="HY견명조" w:hAnsi="굴림" w:cs="굴림" w:hint="eastAsia"/>
          <w:b/>
          <w:bCs/>
          <w:kern w:val="0"/>
          <w:sz w:val="26"/>
          <w:szCs w:val="26"/>
        </w:rPr>
        <w:t>의</w:t>
      </w:r>
    </w:p>
    <w:p w14:paraId="7960A0A5" w14:textId="11957157" w:rsidR="008C4065" w:rsidRPr="008C4065" w:rsidRDefault="0031700A" w:rsidP="00F77976">
      <w:pPr>
        <w:snapToGrid w:val="0"/>
        <w:spacing w:after="0" w:line="384" w:lineRule="auto"/>
        <w:ind w:firstLineChars="100" w:firstLine="260"/>
        <w:textAlignment w:val="baseline"/>
        <w:rPr>
          <w:rFonts w:ascii="바탕" w:eastAsia="굴림" w:hAnsi="굴림" w:cs="굴림"/>
          <w:color w:val="000000"/>
          <w:kern w:val="0"/>
          <w:szCs w:val="20"/>
        </w:rPr>
      </w:pPr>
      <w:r w:rsidRPr="00FE53D7">
        <w:rPr>
          <w:rFonts w:ascii="HY견명조" w:eastAsia="HY견명조" w:hAnsi="굴림" w:cs="굴림" w:hint="eastAsia"/>
          <w:b/>
          <w:bCs/>
          <w:color w:val="000000"/>
          <w:kern w:val="0"/>
          <w:sz w:val="26"/>
          <w:szCs w:val="26"/>
        </w:rPr>
        <w:t>석</w:t>
      </w:r>
      <w:r w:rsidR="008C4065" w:rsidRPr="00FE53D7">
        <w:rPr>
          <w:rFonts w:ascii="HY견명조" w:eastAsia="HY견명조" w:hAnsi="굴림" w:cs="굴림" w:hint="eastAsia"/>
          <w:b/>
          <w:bCs/>
          <w:color w:val="000000"/>
          <w:kern w:val="0"/>
          <w:sz w:val="26"/>
          <w:szCs w:val="26"/>
        </w:rPr>
        <w:t>사</w:t>
      </w:r>
      <w:r w:rsidR="00425845" w:rsidRPr="00FE53D7">
        <w:rPr>
          <w:rFonts w:ascii="HY견명조" w:eastAsia="HY견명조" w:hAnsi="굴림" w:cs="굴림" w:hint="eastAsia"/>
          <w:b/>
          <w:bCs/>
          <w:color w:val="000000"/>
          <w:kern w:val="0"/>
          <w:sz w:val="26"/>
          <w:szCs w:val="26"/>
        </w:rPr>
        <w:t xml:space="preserve"> </w:t>
      </w:r>
      <w:r w:rsidR="008C4065" w:rsidRPr="008C4065">
        <w:rPr>
          <w:rFonts w:ascii="HY견명조" w:eastAsia="HY견명조" w:hAnsi="굴림" w:cs="굴림" w:hint="eastAsia"/>
          <w:b/>
          <w:bCs/>
          <w:color w:val="000000"/>
          <w:kern w:val="0"/>
          <w:sz w:val="26"/>
          <w:szCs w:val="26"/>
        </w:rPr>
        <w:t>학 위 논 문 을 인 준 함</w:t>
      </w:r>
    </w:p>
    <w:p w14:paraId="6B520630" w14:textId="77777777" w:rsidR="00085A6F" w:rsidRPr="00D35909" w:rsidRDefault="00085A6F" w:rsidP="00085A6F">
      <w:pPr>
        <w:wordWrap/>
        <w:snapToGrid w:val="0"/>
        <w:spacing w:after="0" w:line="384" w:lineRule="auto"/>
        <w:textAlignment w:val="baseline"/>
        <w:rPr>
          <w:rFonts w:ascii="한양신명조" w:eastAsia="굴림" w:hAnsi="굴림" w:cs="굴림"/>
          <w:color w:val="000000"/>
          <w:kern w:val="0"/>
          <w:szCs w:val="20"/>
        </w:rPr>
      </w:pPr>
    </w:p>
    <w:p w14:paraId="44C46123" w14:textId="77777777" w:rsidR="00085A6F"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3CCF65BD" w14:textId="1121BA61" w:rsidR="00085A6F"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60712CC1" w14:textId="781852BD" w:rsidR="00F77976" w:rsidRDefault="00F77976" w:rsidP="00085A6F">
      <w:pPr>
        <w:wordWrap/>
        <w:snapToGrid w:val="0"/>
        <w:spacing w:after="0" w:line="384" w:lineRule="auto"/>
        <w:textAlignment w:val="baseline"/>
        <w:rPr>
          <w:rFonts w:ascii="한양신명조" w:eastAsia="한양신명조" w:hAnsi="굴림" w:cs="굴림"/>
          <w:color w:val="000000"/>
          <w:kern w:val="0"/>
          <w:sz w:val="16"/>
          <w:szCs w:val="16"/>
        </w:rPr>
      </w:pPr>
    </w:p>
    <w:p w14:paraId="582B03D6" w14:textId="77777777" w:rsidR="00133189" w:rsidRDefault="00133189" w:rsidP="00085A6F">
      <w:pPr>
        <w:wordWrap/>
        <w:snapToGrid w:val="0"/>
        <w:spacing w:after="0" w:line="384" w:lineRule="auto"/>
        <w:textAlignment w:val="baseline"/>
        <w:rPr>
          <w:rFonts w:ascii="한양신명조" w:eastAsia="한양신명조" w:hAnsi="굴림" w:cs="굴림"/>
          <w:color w:val="000000"/>
          <w:kern w:val="0"/>
          <w:sz w:val="16"/>
          <w:szCs w:val="16"/>
        </w:rPr>
      </w:pPr>
    </w:p>
    <w:p w14:paraId="757E833E" w14:textId="77777777" w:rsidR="00085A6F" w:rsidRPr="003E2988"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6A6B5044" w14:textId="0961A6F9" w:rsidR="00135375" w:rsidRPr="008C4065" w:rsidRDefault="008C4065" w:rsidP="00F77976">
      <w:pPr>
        <w:wordWrap/>
        <w:snapToGrid w:val="0"/>
        <w:spacing w:after="0" w:line="384" w:lineRule="auto"/>
        <w:jc w:val="center"/>
        <w:textAlignment w:val="baseline"/>
        <w:rPr>
          <w:rFonts w:ascii="HY견명조" w:eastAsia="HY견명조" w:hAnsi="굴림" w:cs="굴림"/>
          <w:color w:val="000000"/>
          <w:kern w:val="0"/>
          <w:sz w:val="28"/>
          <w:szCs w:val="28"/>
        </w:rPr>
      </w:pPr>
      <w:r w:rsidRPr="008C4065">
        <w:rPr>
          <w:rFonts w:ascii="HY견명조" w:eastAsia="HY견명조" w:hAnsi="굴림" w:cs="굴림" w:hint="eastAsia"/>
          <w:color w:val="000000"/>
          <w:kern w:val="0"/>
          <w:sz w:val="28"/>
          <w:szCs w:val="28"/>
        </w:rPr>
        <w:t>심 사 위 원</w:t>
      </w:r>
    </w:p>
    <w:p w14:paraId="369FBFAA" w14:textId="288A5760" w:rsidR="00F77976" w:rsidRDefault="00F77976" w:rsidP="00F77976">
      <w:pPr>
        <w:pStyle w:val="a3"/>
        <w:wordWrap/>
        <w:spacing w:line="312" w:lineRule="auto"/>
        <w:ind w:left="555"/>
        <w:jc w:val="right"/>
        <w:rPr>
          <w:b/>
          <w:bCs/>
          <w:color w:val="FF0000"/>
          <w:sz w:val="22"/>
          <w:szCs w:val="22"/>
        </w:rPr>
      </w:pPr>
    </w:p>
    <w:p w14:paraId="5E46D0AB" w14:textId="77777777" w:rsidR="00133189" w:rsidRPr="00F77976" w:rsidRDefault="00133189" w:rsidP="00F77976">
      <w:pPr>
        <w:pStyle w:val="a3"/>
        <w:wordWrap/>
        <w:spacing w:line="312" w:lineRule="auto"/>
        <w:ind w:left="555"/>
        <w:jc w:val="right"/>
        <w:rPr>
          <w:b/>
          <w:bCs/>
          <w:color w:val="FF0000"/>
          <w:sz w:val="22"/>
          <w:szCs w:val="22"/>
        </w:rPr>
      </w:pPr>
    </w:p>
    <w:p w14:paraId="6BAE6EA7" w14:textId="5091C8A7" w:rsidR="0031700A" w:rsidRPr="00425845" w:rsidRDefault="0031700A" w:rsidP="005B26C0">
      <w:pPr>
        <w:wordWrap/>
        <w:snapToGrid w:val="0"/>
        <w:spacing w:after="0" w:line="840" w:lineRule="auto"/>
        <w:jc w:val="center"/>
        <w:textAlignment w:val="baseline"/>
        <w:rPr>
          <w:rFonts w:ascii="바탕" w:eastAsia="굴림" w:hAnsi="굴림" w:cs="굴림"/>
          <w:color w:val="000000"/>
          <w:kern w:val="0"/>
          <w:szCs w:val="20"/>
        </w:rPr>
      </w:pPr>
      <w:r w:rsidRPr="00425845">
        <w:rPr>
          <w:rFonts w:ascii="HY견명조" w:eastAsia="HY견명조" w:hAnsi="굴림" w:cs="굴림" w:hint="eastAsia"/>
          <w:color w:val="000000"/>
          <w:kern w:val="0"/>
          <w:sz w:val="28"/>
          <w:szCs w:val="28"/>
          <w:u w:val="single" w:color="000000"/>
        </w:rPr>
        <w:t>위원장</w:t>
      </w:r>
      <w:r>
        <w:rPr>
          <w:rFonts w:ascii="HY견명조" w:eastAsia="HY견명조" w:hAnsi="굴림" w:cs="굴림" w:hint="eastAsia"/>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3088E8B0" w14:textId="77777777" w:rsidR="00133189" w:rsidRDefault="0031700A" w:rsidP="00133189">
      <w:pPr>
        <w:wordWrap/>
        <w:snapToGrid w:val="0"/>
        <w:spacing w:after="0" w:line="840" w:lineRule="auto"/>
        <w:jc w:val="center"/>
        <w:textAlignment w:val="baseline"/>
        <w:rPr>
          <w:rFonts w:ascii="HY견명조" w:eastAsia="HY견명조" w:hAnsi="굴림" w:cs="굴림"/>
          <w:color w:val="FF0000"/>
          <w:kern w:val="0"/>
          <w:sz w:val="28"/>
          <w:szCs w:val="28"/>
        </w:rPr>
      </w:pPr>
      <w:r w:rsidRPr="00425845">
        <w:rPr>
          <w:rFonts w:ascii="HY견명조" w:eastAsia="HY견명조" w:hAnsi="굴림" w:cs="굴림" w:hint="eastAsia"/>
          <w:color w:val="000000"/>
          <w:kern w:val="0"/>
          <w:sz w:val="28"/>
          <w:szCs w:val="28"/>
          <w:u w:val="single" w:color="000000"/>
        </w:rPr>
        <w:t>위</w:t>
      </w:r>
      <w:r w:rsidR="00135375">
        <w:rPr>
          <w:rFonts w:ascii="HY견명조" w:eastAsia="HY견명조" w:hAnsi="굴림" w:cs="굴림" w:hint="eastAsia"/>
          <w:color w:val="000000"/>
          <w:kern w:val="0"/>
          <w:sz w:val="28"/>
          <w:szCs w:val="28"/>
          <w:u w:val="single" w:color="000000"/>
        </w:rPr>
        <w:t xml:space="preserve"> </w:t>
      </w:r>
      <w:r w:rsidR="005B26C0">
        <w:rPr>
          <w:rFonts w:ascii="HY견명조" w:eastAsia="HY견명조" w:hAnsi="굴림" w:cs="굴림" w:hint="eastAsia"/>
          <w:color w:val="000000"/>
          <w:kern w:val="0"/>
          <w:sz w:val="28"/>
          <w:szCs w:val="28"/>
          <w:u w:val="single" w:color="000000"/>
        </w:rPr>
        <w:t>원</w:t>
      </w:r>
      <w:r>
        <w:rPr>
          <w:rFonts w:ascii="HY견명조" w:eastAsia="HY견명조" w:hAnsi="굴림" w:cs="굴림" w:hint="eastAsia"/>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Pr="00425845">
        <w:rPr>
          <w:rFonts w:ascii="HY견명조" w:eastAsia="HY견명조" w:hAnsi="굴림" w:cs="굴림" w:hint="eastAsia"/>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0B9C58E7" w14:textId="03CB7D0C" w:rsidR="0031700A" w:rsidRPr="00425845" w:rsidRDefault="0031700A" w:rsidP="00133189">
      <w:pPr>
        <w:wordWrap/>
        <w:snapToGrid w:val="0"/>
        <w:spacing w:after="0" w:line="840" w:lineRule="auto"/>
        <w:jc w:val="center"/>
        <w:textAlignment w:val="baseline"/>
        <w:rPr>
          <w:rFonts w:ascii="바탕" w:eastAsia="굴림" w:hAnsi="굴림" w:cs="굴림"/>
          <w:color w:val="000000"/>
          <w:kern w:val="0"/>
          <w:szCs w:val="20"/>
        </w:rPr>
      </w:pPr>
      <w:r w:rsidRPr="00425845">
        <w:rPr>
          <w:rFonts w:ascii="HY견명조" w:eastAsia="HY견명조" w:hAnsi="굴림" w:cs="굴림" w:hint="eastAsia"/>
          <w:color w:val="000000"/>
          <w:kern w:val="0"/>
          <w:sz w:val="28"/>
          <w:szCs w:val="28"/>
          <w:u w:val="single" w:color="000000"/>
        </w:rPr>
        <w:t>위 원</w:t>
      </w:r>
      <w:r>
        <w:rPr>
          <w:rFonts w:ascii="HY견명조" w:eastAsia="HY견명조" w:hAnsi="굴림" w:cs="굴림" w:hint="eastAsia"/>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sidRPr="00425845">
        <w:rPr>
          <w:rFonts w:ascii="HY견명조" w:eastAsia="HY견명조" w:hAnsi="굴림" w:cs="굴림" w:hint="eastAsia"/>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059987E3" w14:textId="345AD9BB" w:rsidR="00085A6F" w:rsidRDefault="00085A6F"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1C5F97B4" w14:textId="70CEE4CB"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4C2C232D" w14:textId="2988A033"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9767AEC" w14:textId="5156AAFE"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DBBE7CB" w14:textId="77777777" w:rsidR="00F77976" w:rsidRPr="00425845"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3CBE7B1" w14:textId="77777777" w:rsidR="00F70108" w:rsidRPr="004F670E" w:rsidRDefault="00F70108" w:rsidP="005B26C0">
      <w:pPr>
        <w:wordWrap/>
        <w:snapToGrid w:val="0"/>
        <w:spacing w:after="0" w:line="384" w:lineRule="auto"/>
        <w:textAlignment w:val="baseline"/>
        <w:rPr>
          <w:rFonts w:ascii="한양신명조" w:eastAsia="한양신명조" w:hAnsi="굴림" w:cs="굴림"/>
          <w:color w:val="000000"/>
          <w:kern w:val="0"/>
          <w:sz w:val="24"/>
          <w:szCs w:val="24"/>
        </w:rPr>
      </w:pPr>
    </w:p>
    <w:p w14:paraId="01310241" w14:textId="2D29C630" w:rsidR="00085A6F" w:rsidRDefault="00425845" w:rsidP="00F70108">
      <w:pPr>
        <w:wordWrap/>
        <w:snapToGrid w:val="0"/>
        <w:spacing w:after="0" w:line="384" w:lineRule="auto"/>
        <w:jc w:val="center"/>
        <w:textAlignment w:val="baseline"/>
        <w:rPr>
          <w:rFonts w:ascii="HY견명조" w:eastAsia="HY견명조" w:hAnsi="굴림" w:cs="굴림"/>
          <w:color w:val="000000"/>
          <w:kern w:val="0"/>
          <w:sz w:val="28"/>
          <w:szCs w:val="28"/>
        </w:rPr>
      </w:pPr>
      <w:r w:rsidRPr="00425845">
        <w:rPr>
          <w:rFonts w:ascii="HY견명조" w:eastAsia="HY견명조" w:hAnsi="굴림" w:cs="굴림" w:hint="eastAsia"/>
          <w:b/>
          <w:bCs/>
          <w:color w:val="000000"/>
          <w:kern w:val="0"/>
          <w:sz w:val="34"/>
          <w:szCs w:val="34"/>
        </w:rPr>
        <w:t>경</w:t>
      </w:r>
      <w:r w:rsidR="00085A6F" w:rsidRPr="00425845">
        <w:rPr>
          <w:rFonts w:ascii="HY견명조" w:eastAsia="HY견명조" w:hAnsi="굴림" w:cs="굴림" w:hint="eastAsia"/>
          <w:b/>
          <w:bCs/>
          <w:color w:val="000000"/>
          <w:kern w:val="0"/>
          <w:sz w:val="34"/>
          <w:szCs w:val="34"/>
        </w:rPr>
        <w:t xml:space="preserve"> </w:t>
      </w:r>
      <w:r w:rsidRPr="00425845">
        <w:rPr>
          <w:rFonts w:ascii="HY견명조" w:eastAsia="HY견명조" w:hAnsi="굴림" w:cs="굴림" w:hint="eastAsia"/>
          <w:b/>
          <w:bCs/>
          <w:color w:val="000000"/>
          <w:kern w:val="0"/>
          <w:sz w:val="34"/>
          <w:szCs w:val="34"/>
        </w:rPr>
        <w:t>상 국 립 대</w:t>
      </w:r>
      <w:r w:rsidR="00085A6F" w:rsidRPr="00425845">
        <w:rPr>
          <w:rFonts w:ascii="HY견명조" w:eastAsia="HY견명조" w:hAnsi="굴림" w:cs="굴림" w:hint="eastAsia"/>
          <w:b/>
          <w:bCs/>
          <w:color w:val="000000"/>
          <w:kern w:val="0"/>
          <w:sz w:val="34"/>
          <w:szCs w:val="34"/>
        </w:rPr>
        <w:t xml:space="preserve"> 학 교</w:t>
      </w:r>
      <w:r w:rsidR="00F70108">
        <w:rPr>
          <w:rFonts w:ascii="HY견명조" w:eastAsia="HY견명조" w:hAnsi="굴림" w:cs="굴림" w:hint="eastAsia"/>
          <w:b/>
          <w:bCs/>
          <w:color w:val="000000"/>
          <w:kern w:val="0"/>
          <w:sz w:val="34"/>
          <w:szCs w:val="34"/>
        </w:rPr>
        <w:t xml:space="preserve"> </w:t>
      </w:r>
      <w:r w:rsidR="00085A6F" w:rsidRPr="00425845">
        <w:rPr>
          <w:rFonts w:ascii="HY견명조" w:eastAsia="HY견명조" w:hAnsi="굴림" w:cs="굴림" w:hint="eastAsia"/>
          <w:b/>
          <w:bCs/>
          <w:color w:val="000000"/>
          <w:kern w:val="0"/>
          <w:sz w:val="34"/>
          <w:szCs w:val="34"/>
        </w:rPr>
        <w:t xml:space="preserve"> 대 학 원</w:t>
      </w:r>
    </w:p>
    <w:p w14:paraId="55E76D6F" w14:textId="77777777" w:rsidR="00F70108" w:rsidRPr="00F70108" w:rsidRDefault="00F70108" w:rsidP="00F70108">
      <w:pPr>
        <w:wordWrap/>
        <w:snapToGrid w:val="0"/>
        <w:spacing w:after="0" w:line="384" w:lineRule="auto"/>
        <w:jc w:val="center"/>
        <w:textAlignment w:val="baseline"/>
        <w:rPr>
          <w:rFonts w:ascii="HY견명조" w:eastAsia="HY견명조" w:hAnsi="굴림" w:cs="굴림"/>
          <w:color w:val="000000"/>
          <w:kern w:val="0"/>
          <w:sz w:val="16"/>
          <w:szCs w:val="16"/>
        </w:rPr>
      </w:pPr>
    </w:p>
    <w:p w14:paraId="2E37FFE6" w14:textId="77777777" w:rsidR="00F558AF" w:rsidRDefault="00F558AF" w:rsidP="00F558AF">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0E56871F" w14:textId="543BB21F" w:rsidR="00133189" w:rsidRDefault="00133189" w:rsidP="00CD5F72">
      <w:pPr>
        <w:wordWrap/>
        <w:snapToGrid w:val="0"/>
        <w:spacing w:after="0" w:line="384" w:lineRule="auto"/>
        <w:jc w:val="left"/>
        <w:textAlignment w:val="baseline"/>
        <w:rPr>
          <w:rFonts w:ascii="HY견명조" w:eastAsia="HY견명조" w:hAnsi="굴림" w:cs="굴림"/>
          <w:bCs/>
          <w:color w:val="000000"/>
          <w:kern w:val="0"/>
          <w:szCs w:val="20"/>
        </w:rPr>
      </w:pPr>
    </w:p>
    <w:p w14:paraId="503A171F" w14:textId="77777777" w:rsidR="00CD5F72" w:rsidRPr="00A52DBB" w:rsidRDefault="00CD5F72" w:rsidP="00CD5F72">
      <w:pPr>
        <w:wordWrap/>
        <w:snapToGrid w:val="0"/>
        <w:spacing w:after="0" w:line="384" w:lineRule="auto"/>
        <w:jc w:val="center"/>
        <w:textAlignment w:val="baseline"/>
        <w:rPr>
          <w:rFonts w:ascii="HY견명조" w:eastAsia="HY견명조" w:hAnsi="굴림" w:cs="굴림"/>
          <w:color w:val="000000"/>
          <w:kern w:val="0"/>
          <w:szCs w:val="20"/>
        </w:rPr>
      </w:pPr>
    </w:p>
    <w:p>
      <w:r>
        <w:br w:type="page"/>
      </w:r>
    </w:p>
    <w:p>
      <w:pPr>
        <w:spacing w:before="0" w:after="360" w:lineRule="auto" w:line="432"/>
        <w:jc w:val="center"/>
      </w:pPr>
      <w:r>
        <w:rPr>
          <w:rFonts w:ascii="Times New Roman" w:hAnsi="Times New Roman" w:eastAsia="HY견명조"/>
          <w:b/>
          <w:i w:val="0"/>
          <w:sz w:val="32"/>
        </w:rPr>
        <w:t>차   례</w:t>
      </w:r>
    </w:p>
    <w:p>
      <w:pPr>
        <w:spacing w:before="40" w:after="40" w:lineRule="auto" w:line="480"/>
        <w:ind w:left="0"/>
        <w:tabs>
          <w:tab w:val="right" w:pos="8220" w:leader="none"/>
        </w:tabs>
      </w:pPr>
      <w:r>
        <w:rPr>
          <w:rFonts w:ascii="Times New Roman" w:hAnsi="Times New Roman" w:eastAsia="HY견명조"/>
          <w:b/>
          <w:i w:val="0"/>
          <w:sz w:val="22"/>
        </w:rPr>
        <w:t>Ⅰ. 서론</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연구 배경</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연구 질문</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연구 범위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연구 방법 및 분석 절차 개요</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논문 구성</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Ⅱ. 선행연구</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실현분산(Realized Variance, RV)</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내재분산(Implied Variance)과 변동성지수(VIX)</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분산위험프리미엄(Variance Risk Premium, VRP)</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전통적 변동성 모형</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기계학습 기반 변동성 예측</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앙상블 및 예측 결합 이론</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다중 자산 VRP 및 스필오버 선행연구</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Ⅲ. 데이터 및 방법론</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분석 대상 자산 및 데이터</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데이터 전처리</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변수 및 피처 구성</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데이터 구성</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예측 모형군 정의</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WEns 가중 앙상블 알고리즘</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하이퍼파라미터 탐색 및 학습 절차</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8. 평가 지표 및 통계 검정</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Ⅳ. 실증 분석 결과</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전체 모형 성능 비교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자산별·자산군별 성능 분석</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피처 기여도 및 중요도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시장 기간별 예측 성능</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베이스라인 비교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예측 RV 기반 VRP 분석</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경제적 가치 평가</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Ⅴ. 결론 및 향후 연구</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연구 결과 요약</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학문적·실무적 시사점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연구 한계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향후 연구 방향</w:t>
      </w:r>
      <w:r>
        <w:rPr>
          <w:rFonts w:ascii="Times New Roman" w:hAnsi="Times New Roman" w:eastAsia="HY견명조"/>
          <w:b w:val="0"/>
          <w:i w:val="0"/>
          <w:sz w:val="22"/>
        </w:rPr>
        <w:tab/>
      </w:r>
    </w:p>
    <w:p>
      <w:pPr>
        <w:tabs>
          <w:tab w:val="right" w:pos="8220" w:leader="none"/>
        </w:tabs>
        <w:spacing w:before="40" w:after="40" w:lineRule="auto" w:line="312"/>
      </w:pPr>
      <w:r>
        <w:rPr>
          <w:rFonts w:ascii="Times New Roman" w:hAnsi="Times New Roman" w:eastAsia="HY견명조"/>
          <w:b/>
          <w:i w:val="0"/>
          <w:sz w:val="22"/>
        </w:rPr>
        <w:t>참고문헌</w:t>
      </w:r>
      <w:r>
        <w:tab/>
      </w:r>
    </w:p>
    <w:p>
      <w:pPr>
        <w:tabs>
          <w:tab w:val="right" w:pos="8220" w:leader="none"/>
        </w:tabs>
        <w:spacing w:before="40" w:after="40" w:lineRule="auto" w:line="312"/>
      </w:pPr>
      <w:r>
        <w:rPr>
          <w:rFonts w:ascii="Times New Roman" w:hAnsi="Times New Roman" w:eastAsia="HY견명조"/>
          <w:b/>
          <w:i w:val="0"/>
          <w:sz w:val="22"/>
        </w:rPr>
        <w:t>부록</w:t>
      </w:r>
      <w:r>
        <w:tab/>
      </w:r>
    </w:p>
    <w:p>
      <w:pPr>
        <w:tabs>
          <w:tab w:val="right" w:pos="8220" w:leader="none"/>
        </w:tabs>
        <w:spacing w:before="40" w:after="40" w:lineRule="auto" w:line="312"/>
      </w:pPr>
      <w:r>
        <w:rPr>
          <w:rFonts w:ascii="Times New Roman" w:hAnsi="Times New Roman" w:eastAsia="HY견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HY견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HY견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HY견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HY견명조"/>
          <w:b/>
          <w:i w:val="0"/>
          <w:sz w:val="22"/>
        </w:rPr>
        <w:t>부록 E. ETF별 기초 통계량</w:t>
      </w:r>
      <w:r>
        <w:tab/>
      </w:r>
    </w:p>
    <w:p>
      <w:r>
        <w:br w:type="page"/>
      </w:r>
    </w:p>
    <w:p>
      <w:pPr>
        <w:spacing w:before="0" w:after="360" w:lineRule="auto" w:line="432"/>
        <w:jc w:val="center"/>
      </w:pPr>
      <w:r>
        <w:rPr>
          <w:rFonts w:ascii="Times New Roman" w:hAnsi="Times New Roman" w:eastAsia="HY견명조"/>
          <w:b/>
          <w:i w:val="0"/>
          <w:sz w:val="32"/>
        </w:rPr>
        <w:t>표   차   례</w:t>
      </w:r>
    </w:p>
    <w:p>
      <w:pPr>
        <w:spacing w:before="0" w:after="60" w:lineRule="auto" w:line="480"/>
        <w:ind w:left="0"/>
        <w:tabs>
          <w:tab w:val="right" w:pos="8220" w:leader="dot"/>
        </w:tabs>
      </w:pPr>
      <w:r>
        <w:rPr>
          <w:rFonts w:ascii="Times New Roman" w:hAnsi="Times New Roman" w:eastAsia="HY견명조"/>
          <w:b w:val="0"/>
          <w:i w:val="0"/>
          <w:sz w:val="22"/>
        </w:rPr>
        <w:t>Table 1. Assets Group</w:t>
        <w:tab/>
      </w:r>
    </w:p>
    <w:p>
      <w:pPr>
        <w:spacing w:before="0" w:after="60" w:lineRule="auto" w:line="480"/>
        <w:ind w:left="0"/>
        <w:tabs>
          <w:tab w:val="right" w:pos="8220" w:leader="dot"/>
        </w:tabs>
      </w:pPr>
      <w:r>
        <w:rPr>
          <w:rFonts w:ascii="Times New Roman" w:hAnsi="Times New Roman" w:eastAsia="HY견명조"/>
          <w:b w:val="0"/>
          <w:i w:val="0"/>
          <w:sz w:val="22"/>
        </w:rPr>
        <w:t>Table 2. Symbol and Definition</w:t>
        <w:tab/>
      </w:r>
    </w:p>
    <w:p>
      <w:pPr>
        <w:spacing w:before="0" w:after="60" w:lineRule="auto" w:line="480"/>
        <w:ind w:left="0"/>
        <w:tabs>
          <w:tab w:val="right" w:pos="8220" w:leader="dot"/>
        </w:tabs>
      </w:pPr>
      <w:r>
        <w:rPr>
          <w:rFonts w:ascii="Times New Roman" w:hAnsi="Times New Roman" w:eastAsia="HY견명조"/>
          <w:b w:val="0"/>
          <w:i w:val="0"/>
          <w:sz w:val="22"/>
        </w:rPr>
        <w:t>Table 3. Model Group</w:t>
        <w:tab/>
      </w:r>
    </w:p>
    <w:p>
      <w:pPr>
        <w:spacing w:before="0" w:after="60" w:lineRule="auto" w:line="480"/>
        <w:ind w:left="0"/>
        <w:tabs>
          <w:tab w:val="right" w:pos="8220" w:leader="dot"/>
        </w:tabs>
      </w:pPr>
      <w:r>
        <w:rPr>
          <w:rFonts w:ascii="Times New Roman" w:hAnsi="Times New Roman" w:eastAsia="HY견명조"/>
          <w:b w:val="0"/>
          <w:i w:val="0"/>
          <w:sz w:val="22"/>
        </w:rPr>
        <w:t>Table 4. Hyperparameter Search Space By Model</w:t>
        <w:tab/>
      </w:r>
    </w:p>
    <w:p>
      <w:pPr>
        <w:spacing w:before="0" w:after="60" w:lineRule="auto" w:line="480"/>
        <w:ind w:left="0"/>
        <w:tabs>
          <w:tab w:val="right" w:pos="8220" w:leader="dot"/>
        </w:tabs>
      </w:pPr>
      <w:r>
        <w:rPr>
          <w:rFonts w:ascii="Times New Roman" w:hAnsi="Times New Roman" w:eastAsia="HY견명조"/>
          <w:b w:val="0"/>
          <w:i w:val="0"/>
          <w:sz w:val="22"/>
        </w:rPr>
        <w:t>Table 5. WEns Pooled R² vs R²_Within Decomposition</w:t>
        <w:tab/>
      </w:r>
    </w:p>
    <w:p>
      <w:pPr>
        <w:spacing w:before="0" w:after="60" w:lineRule="auto" w:line="480"/>
        <w:ind w:left="0"/>
        <w:tabs>
          <w:tab w:val="right" w:pos="8220" w:leader="dot"/>
        </w:tabs>
      </w:pPr>
      <w:r>
        <w:rPr>
          <w:rFonts w:ascii="Times New Roman" w:hAnsi="Times New Roman" w:eastAsia="HY견명조"/>
          <w:b w:val="0"/>
          <w:i w:val="0"/>
          <w:sz w:val="22"/>
        </w:rPr>
        <w:t>Table 6. 22-day Model Performance Comparison</w:t>
        <w:tab/>
      </w:r>
    </w:p>
    <w:p>
      <w:pPr>
        <w:spacing w:before="0" w:after="60" w:lineRule="auto" w:line="480"/>
        <w:ind w:left="0"/>
        <w:tabs>
          <w:tab w:val="right" w:pos="8220" w:leader="dot"/>
        </w:tabs>
      </w:pPr>
      <w:r>
        <w:rPr>
          <w:rFonts w:ascii="Times New Roman" w:hAnsi="Times New Roman" w:eastAsia="HY견명조"/>
          <w:b w:val="0"/>
          <w:i w:val="0"/>
          <w:sz w:val="22"/>
        </w:rPr>
        <w:t>Table 7. WEns Per-Asset R² (22d Forecast Horizon)</w:t>
        <w:tab/>
      </w:r>
    </w:p>
    <w:p>
      <w:pPr>
        <w:spacing w:before="0" w:after="60" w:lineRule="auto" w:line="480"/>
        <w:ind w:left="0"/>
        <w:tabs>
          <w:tab w:val="right" w:pos="8220" w:leader="dot"/>
        </w:tabs>
      </w:pPr>
      <w:r>
        <w:rPr>
          <w:rFonts w:ascii="Times New Roman" w:hAnsi="Times New Roman" w:eastAsia="HY견명조"/>
          <w:b w:val="0"/>
          <w:i w:val="0"/>
          <w:sz w:val="22"/>
        </w:rPr>
        <w:t>Table 8. 22-day Feature Group Subset Experiment (Ridge)</w:t>
        <w:tab/>
      </w:r>
    </w:p>
    <w:p>
      <w:pPr>
        <w:spacing w:before="0" w:after="60" w:lineRule="auto" w:line="480"/>
        <w:ind w:left="0"/>
        <w:tabs>
          <w:tab w:val="right" w:pos="8220" w:leader="dot"/>
        </w:tabs>
      </w:pPr>
      <w:r>
        <w:rPr>
          <w:rFonts w:ascii="Times New Roman" w:hAnsi="Times New Roman" w:eastAsia="HY견명조"/>
          <w:b w:val="0"/>
          <w:i w:val="0"/>
          <w:sz w:val="22"/>
        </w:rPr>
        <w:t>Table 9. WEns 22d Feature Group Removal Experiment</w:t>
        <w:tab/>
      </w:r>
    </w:p>
    <w:p>
      <w:pPr>
        <w:spacing w:before="0" w:after="60" w:lineRule="auto" w:line="480"/>
        <w:ind w:left="0"/>
        <w:tabs>
          <w:tab w:val="right" w:pos="8220" w:leader="dot"/>
        </w:tabs>
      </w:pPr>
      <w:r>
        <w:rPr>
          <w:rFonts w:ascii="Times New Roman" w:hAnsi="Times New Roman" w:eastAsia="HY견명조"/>
          <w:b w:val="0"/>
          <w:i w:val="0"/>
          <w:sz w:val="22"/>
        </w:rPr>
        <w:t>Table 10. Kendall's W by Forecast Horizon</w:t>
        <w:tab/>
      </w:r>
    </w:p>
    <w:p>
      <w:pPr>
        <w:spacing w:before="0" w:after="60" w:lineRule="auto" w:line="480"/>
        <w:ind w:left="0"/>
        <w:tabs>
          <w:tab w:val="right" w:pos="8220" w:leader="dot"/>
        </w:tabs>
      </w:pPr>
      <w:r>
        <w:rPr>
          <w:rFonts w:ascii="Times New Roman" w:hAnsi="Times New Roman" w:eastAsia="HY견명조"/>
          <w:b w:val="0"/>
          <w:i w:val="0"/>
          <w:sz w:val="22"/>
        </w:rPr>
        <w:t>Table 11. 22-day Pooled R² by VIX Regime</w:t>
        <w:tab/>
      </w:r>
    </w:p>
    <w:p>
      <w:pPr>
        <w:spacing w:before="0" w:after="60" w:lineRule="auto" w:line="480"/>
        <w:ind w:left="0"/>
        <w:tabs>
          <w:tab w:val="right" w:pos="8220" w:leader="dot"/>
        </w:tabs>
      </w:pPr>
      <w:r>
        <w:rPr>
          <w:rFonts w:ascii="Times New Roman" w:hAnsi="Times New Roman" w:eastAsia="HY견명조"/>
          <w:b w:val="0"/>
          <w:i w:val="0"/>
          <w:sz w:val="22"/>
        </w:rPr>
        <w:t>Table 12. LASSO-HAR vs LASSO Pooled R² by Horizon</w:t>
        <w:tab/>
      </w:r>
    </w:p>
    <w:p>
      <w:pPr>
        <w:spacing w:before="0" w:after="60" w:lineRule="auto" w:line="480"/>
        <w:ind w:left="0"/>
        <w:tabs>
          <w:tab w:val="right" w:pos="8220" w:leader="dot"/>
        </w:tabs>
      </w:pPr>
      <w:r>
        <w:rPr>
          <w:rFonts w:ascii="Times New Roman" w:hAnsi="Times New Roman" w:eastAsia="HY견명조"/>
          <w:b w:val="0"/>
          <w:i w:val="0"/>
          <w:sz w:val="22"/>
        </w:rPr>
        <w:t>Table 13. VRP Summary Statistics by Asset Class (22d, WEns-predicted RV)</w:t>
        <w:tab/>
      </w:r>
    </w:p>
    <w:p>
      <w:pPr>
        <w:spacing w:before="0" w:after="60" w:lineRule="auto" w:line="480"/>
        <w:ind w:left="0"/>
        <w:tabs>
          <w:tab w:val="right" w:pos="8220" w:leader="dot"/>
        </w:tabs>
      </w:pPr>
      <w:r>
        <w:rPr>
          <w:rFonts w:ascii="Times New Roman" w:hAnsi="Times New Roman" w:eastAsia="HY견명조"/>
          <w:b w:val="0"/>
          <w:i w:val="0"/>
          <w:sz w:val="22"/>
        </w:rPr>
        <w:t>Table A-1. Feature List and Definition (35 Features)</w:t>
        <w:tab/>
      </w:r>
    </w:p>
    <w:p>
      <w:pPr>
        <w:spacing w:before="0" w:after="60" w:lineRule="auto" w:line="480"/>
        <w:ind w:left="0"/>
        <w:tabs>
          <w:tab w:val="right" w:pos="8220" w:leader="dot"/>
        </w:tabs>
      </w:pPr>
      <w:r>
        <w:rPr>
          <w:rFonts w:ascii="Times New Roman" w:hAnsi="Times New Roman" w:eastAsia="HY견명조"/>
          <w:b w:val="0"/>
          <w:i w:val="0"/>
          <w:sz w:val="22"/>
        </w:rPr>
        <w:t>Table B-1. Hyperparameter Search Space (Extended)</w:t>
        <w:tab/>
      </w:r>
    </w:p>
    <w:p>
      <w:pPr>
        <w:spacing w:before="0" w:after="60" w:lineRule="auto" w:line="480"/>
        <w:ind w:left="0"/>
        <w:tabs>
          <w:tab w:val="right" w:pos="8220" w:leader="dot"/>
        </w:tabs>
      </w:pPr>
      <w:r>
        <w:rPr>
          <w:rFonts w:ascii="Times New Roman" w:hAnsi="Times New Roman" w:eastAsia="HY견명조"/>
          <w:b w:val="0"/>
          <w:i w:val="0"/>
          <w:sz w:val="22"/>
        </w:rPr>
        <w:t>Table C-1. Feature Importance Consensus by Horizon (Top 10, Average Rank Score)</w:t>
        <w:tab/>
      </w:r>
    </w:p>
    <w:p>
      <w:pPr>
        <w:spacing w:before="0" w:after="60" w:lineRule="auto" w:line="480"/>
        <w:ind w:left="0"/>
        <w:tabs>
          <w:tab w:val="right" w:pos="8220" w:leader="dot"/>
        </w:tabs>
      </w:pPr>
      <w:r>
        <w:rPr>
          <w:rFonts w:ascii="Times New Roman" w:hAnsi="Times New Roman" w:eastAsia="HY견명조"/>
          <w:b w:val="0"/>
          <w:i w:val="0"/>
          <w:sz w:val="22"/>
        </w:rPr>
        <w:t>Table C-2. Diebold-Mariano Test Results: WEns vs. Baselines (BH Multiple Comparison Adjustment)</w:t>
        <w:tab/>
      </w:r>
    </w:p>
    <w:p>
      <w:pPr>
        <w:spacing w:before="0" w:after="60" w:lineRule="auto" w:line="480"/>
        <w:ind w:left="0"/>
        <w:tabs>
          <w:tab w:val="right" w:pos="8220" w:leader="dot"/>
        </w:tabs>
      </w:pPr>
      <w:r>
        <w:rPr>
          <w:rFonts w:ascii="Times New Roman" w:hAnsi="Times New Roman" w:eastAsia="HY견명조"/>
          <w:b w:val="0"/>
          <w:i w:val="0"/>
          <w:sz w:val="22"/>
        </w:rPr>
        <w:t>Table E-1. Descriptive Statistics by ETF (Daily Log-Return and 22d Annualized RV)</w:t>
        <w:tab/>
      </w:r>
    </w:p>
    <w:p>
      <w:r>
        <w:br w:type="page"/>
      </w:r>
    </w:p>
    <w:p>
      <w:pPr>
        <w:spacing w:before="0" w:after="360" w:lineRule="auto" w:line="432"/>
        <w:jc w:val="center"/>
      </w:pPr>
      <w:r>
        <w:rPr>
          <w:rFonts w:ascii="Times New Roman" w:hAnsi="Times New Roman" w:eastAsia="HY견명조"/>
          <w:b/>
          <w:i w:val="0"/>
          <w:sz w:val="32"/>
        </w:rPr>
        <w:t>그   림   차   례</w:t>
      </w:r>
    </w:p>
    <w:p>
      <w:pPr>
        <w:spacing w:before="0" w:after="60" w:lineRule="auto" w:line="480"/>
        <w:tabs>
          <w:tab w:val="right" w:pos="8220" w:leader="dot"/>
        </w:tabs>
      </w:pPr>
      <w:r>
        <w:rPr>
          <w:rFonts w:ascii="Times New Roman" w:hAnsi="Times New Roman" w:eastAsia="HY견명조"/>
          <w:b w:val="0"/>
          <w:i w:val="0"/>
          <w:sz w:val="22"/>
        </w:rPr>
        <w:t>Fig. 1. VIX·RV·VRP Daily Series(S&amp;P 500, 2010–2026)</w:t>
        <w:tab/>
      </w:r>
    </w:p>
    <w:p>
      <w:pPr>
        <w:spacing w:before="0" w:after="60" w:lineRule="auto" w:line="480"/>
        <w:tabs>
          <w:tab w:val="right" w:pos="8220" w:leader="dot"/>
        </w:tabs>
      </w:pPr>
      <w:r>
        <w:rPr>
          <w:rFonts w:ascii="Times New Roman" w:hAnsi="Times New Roman" w:eastAsia="HY견명조"/>
          <w:b w:val="0"/>
          <w:i w:val="0"/>
          <w:sz w:val="22"/>
        </w:rPr>
        <w:t>Fig. 2. Overall Workflow of the WEns Model</w:t>
        <w:tab/>
      </w:r>
    </w:p>
    <w:p>
      <w:pPr>
        <w:spacing w:before="0" w:after="60" w:lineRule="auto" w:line="480"/>
        <w:tabs>
          <w:tab w:val="right" w:pos="8220" w:leader="dot"/>
        </w:tabs>
      </w:pPr>
      <w:r>
        <w:rPr>
          <w:rFonts w:ascii="Times New Roman" w:hAnsi="Times New Roman" w:eastAsia="HY견명조"/>
          <w:b w:val="0"/>
          <w:i w:val="0"/>
          <w:sz w:val="22"/>
        </w:rPr>
        <w:t>Fig. 3. Model × Horizon Pooled R² Heatmap</w:t>
        <w:tab/>
      </w:r>
    </w:p>
    <w:p>
      <w:pPr>
        <w:spacing w:before="0" w:after="60" w:lineRule="auto" w:line="480"/>
        <w:tabs>
          <w:tab w:val="right" w:pos="8220" w:leader="dot"/>
        </w:tabs>
      </w:pPr>
      <w:r>
        <w:rPr>
          <w:rFonts w:ascii="Times New Roman" w:hAnsi="Times New Roman" w:eastAsia="HY견명조"/>
          <w:b w:val="0"/>
          <w:i w:val="0"/>
          <w:sz w:val="22"/>
        </w:rPr>
        <w:t>Fig. 4. WEns Pooled R² vs R²_Within by Horizon</w:t>
        <w:tab/>
      </w:r>
    </w:p>
    <w:p>
      <w:pPr>
        <w:spacing w:before="0" w:after="60" w:lineRule="auto" w:line="480"/>
        <w:tabs>
          <w:tab w:val="right" w:pos="8220" w:leader="dot"/>
        </w:tabs>
      </w:pPr>
      <w:r>
        <w:rPr>
          <w:rFonts w:ascii="Times New Roman" w:hAnsi="Times New Roman" w:eastAsia="HY견명조"/>
          <w:b w:val="0"/>
          <w:i w:val="0"/>
          <w:sz w:val="22"/>
        </w:rPr>
        <w:t>Fig. 5. 22_d Feature Importance Consensus Top-10</w:t>
        <w:tab/>
      </w:r>
    </w:p>
    <w:p>
      <w:pPr>
        <w:spacing w:before="0" w:after="60" w:lineRule="auto" w:line="480"/>
        <w:tabs>
          <w:tab w:val="right" w:pos="8220" w:leader="dot"/>
        </w:tabs>
      </w:pPr>
      <w:r>
        <w:rPr>
          <w:rFonts w:ascii="Times New Roman" w:hAnsi="Times New Roman" w:eastAsia="HY견명조"/>
          <w:b w:val="0"/>
          <w:i w:val="0"/>
          <w:sz w:val="22"/>
        </w:rPr>
        <w:t>Fig. 6. VIX Time Series with Quantile Regime Shading</w:t>
        <w:tab/>
      </w:r>
    </w:p>
    <w:p>
      <w:r>
        <w:br w:type="page"/>
      </w:r>
    </w:p>
    <w:p>
      <w:pPr>
        <w:spacing w:before="0" w:after="120" w:lineRule="auto" w:line="480"/>
        <w:ind w:firstLine="400"/>
        <w:jc w:val="both"/>
      </w:pPr>
      <w:r>
        <w:rPr>
          <w:rFonts w:ascii="Times New Roman" w:hAnsi="Times New Roman"/>
          <w:b w:val="0"/>
          <w:i w:val="0"/>
          <w:sz w:val="22"/>
        </w:rPr>
        <w:t>﻿Weighted Ensemble을 활용한 다중 예측 기간 Cross-Asset 실현분산 예측</w:t>
      </w:r>
    </w:p>
    <w:p>
      <w:pPr>
        <w:spacing w:before="0" w:after="120" w:lineRule="auto" w:line="480"/>
        <w:ind w:firstLine="400"/>
        <w:jc w:val="both"/>
      </w:pPr>
      <w:r>
        <w:rPr>
          <w:rFonts w:ascii="Times New Roman" w:hAnsi="Times New Roman"/>
          <w:b w:val="0"/>
          <w:i w:val="0"/>
          <w:sz w:val="22"/>
        </w:rPr>
        <w:t>*</w:t>
      </w:r>
    </w:p>
    <w:p>
      <w:pPr>
        <w:spacing w:before="0" w:after="120" w:lineRule="auto" w:line="480"/>
        <w:ind w:firstLine="400"/>
        <w:jc w:val="both"/>
      </w:pPr>
      <w:r>
        <w:rPr>
          <w:rFonts w:ascii="Times New Roman" w:hAnsi="Times New Roman"/>
          <w:b w:val="0"/>
          <w:i w:val="0"/>
          <w:sz w:val="22"/>
        </w:rPr>
        <w:t>Multi-Horizon Realized Variance Forecasting across Asset Classes with a Weighted Ensemble</w:t>
      </w:r>
    </w:p>
    <w:p>
      <w:pPr>
        <w:spacing w:before="0" w:after="120" w:lineRule="auto" w:line="480"/>
        <w:ind w:firstLine="400"/>
        <w:jc w:val="both"/>
      </w:pPr>
      <w:r>
        <w:rPr>
          <w:rFonts w:ascii="Times New Roman" w:hAnsi="Times New Roman"/>
          <w:b w:val="0"/>
          <w:i w:val="0"/>
          <w:sz w:val="22"/>
        </w:rPr>
        <w:t>*</w:t>
      </w:r>
    </w:p>
    <w:p>
      <w:r>
        <w:br w:type="page"/>
      </w:r>
    </w:p>
    <w:p>
      <w:pPr>
        <w:spacing w:before="0" w:after="120" w:lineRule="auto" w:line="480"/>
        <w:ind w:firstLine="400"/>
        <w:jc w:val="both"/>
      </w:pPr>
      <w:r>
        <w:rPr>
          <w:rFonts w:ascii="Times New Roman" w:hAnsi="Times New Roman"/>
          <w:b w:val="0"/>
          <w:i w:val="0"/>
          <w:sz w:val="22"/>
        </w:rPr>
        <w:t>초록</w:t>
      </w:r>
    </w:p>
    <w:p>
      <w:pPr>
        <w:spacing w:before="0" w:after="120" w:lineRule="auto" w:line="480"/>
        <w:ind w:firstLine="400"/>
        <w:jc w:val="both"/>
      </w:pPr>
      <w:r>
        <w:rPr>
          <w:rFonts w:ascii="Times New Roman" w:hAnsi="Times New Roman"/>
          <w:b w:val="0"/>
          <w:i w:val="0"/>
          <w:sz w:val="22"/>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480"/>
        <w:ind w:firstLine="400"/>
        <w:jc w:val="both"/>
      </w:pPr>
      <w:r>
        <w:rPr>
          <w:rFonts w:ascii="Times New Roman" w:hAnsi="Times New Roman"/>
          <w:b w:val="0"/>
          <w:i w:val="0"/>
          <w:sz w:val="22"/>
        </w:rPr>
        <w:t>동일한 피처와 검증 절차 하에서 선형·트리·신경망 모델을 비교한 결과, 22거래일 기준 WEns가 Pooled R</w:t>
      </w:r>
      <w:r>
        <w:rPr>
          <w:rFonts w:ascii="Times New Roman" w:hAnsi="Times New Roman"/>
          <w:b w:val="0"/>
          <w:i w:val="0"/>
          <w:sz w:val="22"/>
          <w:vertAlign w:val="superscript"/>
        </w:rPr>
        <w:t>2</w:t>
      </w:r>
      <w:r>
        <w:rPr>
          <w:rFonts w:ascii="Times New Roman" w:hAnsi="Times New Roman"/>
          <w:b w:val="0"/>
          <w:i w:val="0"/>
          <w:sz w:val="22"/>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2"/>
          <w:vertAlign w:val="superscript"/>
        </w:rPr>
        <w:t>2</w:t>
      </w:r>
      <w:r>
        <w:rPr>
          <w:rFonts w:ascii="Times New Roman" w:hAnsi="Times New Roman"/>
          <w:b w:val="0"/>
          <w:i w:val="0"/>
          <w:sz w:val="22"/>
        </w:rPr>
        <w:t>=+0.0164)이 HF Proxy(+0.0153)보다 대체 불가능한 고유 정보를 더 많이 제공함을 확인했다. WEns는 HAR-3, NaiveRV, GARCH(1,1), IV-only 대비 22d Pooled R</w:t>
      </w:r>
      <w:r>
        <w:rPr>
          <w:rFonts w:ascii="Times New Roman" w:hAnsi="Times New Roman"/>
          <w:b w:val="0"/>
          <w:i w:val="0"/>
          <w:sz w:val="22"/>
          <w:vertAlign w:val="superscript"/>
        </w:rPr>
        <w:t>2</w:t>
      </w:r>
      <w:r>
        <w:rPr>
          <w:rFonts w:ascii="Times New Roman" w:hAnsi="Times New Roman"/>
          <w:b w:val="0"/>
          <w:i w:val="0"/>
          <w:sz w:val="22"/>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480"/>
        <w:ind w:firstLine="400"/>
        <w:jc w:val="both"/>
      </w:pPr>
      <w:r>
        <w:rPr>
          <w:rFonts w:ascii="Times New Roman" w:hAnsi="Times New Roman"/>
          <w:b w:val="0"/>
          <w:i w:val="0"/>
          <w:sz w:val="22"/>
        </w:rPr>
        <w:t>핵심어: 실현분산 예측, 가중 앙상블, 다중 자산 분석, 기계학습, 분산위험프리미엄</w:t>
      </w:r>
    </w:p>
    <w:p>
      <w:r>
        <w:br w:type="page"/>
      </w:r>
    </w:p>
    <w:p>
      <w:pPr>
        <w:spacing w:before="0" w:after="120" w:lineRule="auto" w:line="480"/>
        <w:ind w:firstLine="400"/>
        <w:jc w:val="both"/>
      </w:pPr>
      <w:r>
        <w:rPr>
          <w:rFonts w:ascii="Times New Roman" w:hAnsi="Times New Roman"/>
          <w:b w:val="0"/>
          <w:i w:val="0"/>
          <w:sz w:val="22"/>
        </w:rPr>
        <w:t>Abstract</w:t>
      </w:r>
    </w:p>
    <w:p>
      <w:pPr>
        <w:spacing w:before="0" w:after="120" w:lineRule="auto" w:line="480"/>
        <w:ind w:firstLine="400"/>
        <w:jc w:val="both"/>
      </w:pPr>
      <w:r>
        <w:rPr>
          <w:rFonts w:ascii="Times New Roman" w:hAnsi="Times New Roman"/>
          <w:b w:val="0"/>
          <w:i w:val="0"/>
          <w:sz w:val="22"/>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480"/>
        <w:ind w:firstLine="400"/>
        <w:jc w:val="both"/>
      </w:pPr>
      <w:r>
        <w:rPr>
          <w:rFonts w:ascii="Times New Roman" w:hAnsi="Times New Roman"/>
          <w:b w:val="0"/>
          <w:i w:val="0"/>
          <w:sz w:val="22"/>
        </w:rPr>
        <w:t>Under identical feature sets and validation protocols, WEns achieves the highest pooled R</w:t>
      </w:r>
      <w:r>
        <w:rPr>
          <w:rFonts w:ascii="Times New Roman" w:hAnsi="Times New Roman"/>
          <w:b w:val="0"/>
          <w:i w:val="0"/>
          <w:sz w:val="22"/>
          <w:vertAlign w:val="superscript"/>
        </w:rPr>
        <w:t>2</w:t>
      </w:r>
      <w:r>
        <w:rPr>
          <w:rFonts w:ascii="Times New Roman" w:hAnsi="Times New Roman"/>
          <w:b w:val="0"/>
          <w:i w:val="0"/>
          <w:sz w:val="22"/>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2"/>
          <w:vertAlign w:val="superscript"/>
        </w:rPr>
        <w:t>2</w:t>
      </w:r>
      <w:r>
        <w:rPr>
          <w:rFonts w:ascii="Times New Roman" w:hAnsi="Times New Roman"/>
          <w:b w:val="0"/>
          <w:i w:val="0"/>
          <w:sz w:val="22"/>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2"/>
          <w:vertAlign w:val="superscript"/>
        </w:rPr>
        <w:t>2</w:t>
      </w:r>
      <w:r>
        <w:rPr>
          <w:rFonts w:ascii="Times New Roman" w:hAnsi="Times New Roman"/>
          <w:b w:val="0"/>
          <w:i w:val="0"/>
          <w:sz w:val="22"/>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480"/>
        <w:ind w:firstLine="400"/>
        <w:jc w:val="both"/>
      </w:pPr>
      <w:r>
        <w:rPr>
          <w:rFonts w:ascii="Times New Roman" w:hAnsi="Times New Roman"/>
          <w:b w:val="0"/>
          <w:i w:val="0"/>
          <w:sz w:val="22"/>
        </w:rPr>
        <w:t>Keywords: financial forecasting, volatility modeling, multi-asset analysis, ensemble learning, variance risk premium</w:t>
      </w:r>
    </w:p>
    <w:p>
      <w:r>
        <w:br w:type="page"/>
      </w:r>
    </w:p>
    <w:p>
      <w:pPr>
        <w:spacing w:before="480" w:after="240" w:lineRule="auto" w:line="432"/>
        <w:jc w:val="center"/>
      </w:pPr>
      <w:r>
        <w:rPr>
          <w:rFonts w:ascii="Times New Roman" w:hAnsi="Times New Roman"/>
          <w:b/>
          <w:i w:val="0"/>
          <w:sz w:val="32"/>
        </w:rPr>
        <w:t>Ⅰ. 서론</w:t>
      </w:r>
    </w:p>
    <w:p>
      <w:pPr>
        <w:spacing w:before="240" w:after="120" w:lineRule="auto" w:line="360"/>
        <w:jc w:val="left"/>
      </w:pPr>
      <w:r>
        <w:rPr>
          <w:rFonts w:ascii="Times New Roman" w:hAnsi="Times New Roman"/>
          <w:b/>
          <w:i w:val="0"/>
          <w:sz w:val="28"/>
        </w:rPr>
        <w:t>1. 연구 배경</w:t>
      </w:r>
    </w:p>
    <w:p>
      <w:pPr>
        <w:spacing w:before="0" w:after="120" w:lineRule="auto" w:line="480"/>
        <w:ind w:firstLine="400"/>
        <w:jc w:val="both"/>
      </w:pPr>
      <w:r>
        <w:rPr>
          <w:rFonts w:ascii="Times New Roman" w:hAnsi="Times New Roman"/>
          <w:b w:val="0"/>
          <w:i w:val="0"/>
          <w:sz w:val="22"/>
        </w:rPr>
        <w:t>2010년 이후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480"/>
        <w:ind w:firstLine="400"/>
        <w:jc w:val="both"/>
      </w:pPr>
      <w:r>
        <w:rPr>
          <w:rFonts w:ascii="Times New Roman" w:hAnsi="Times New Roman"/>
          <w:b w:val="0"/>
          <w:i w:val="0"/>
          <w:sz w:val="22"/>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HAR-RV1 이래 광범위하게 검증되어 왔으며, 이를 다중 자산·다중 기간으로 확장하는 것이 본 연구의 목적이다.</w:t>
      </w:r>
    </w:p>
    <w:p>
      <w:pPr>
        <w:spacing w:before="0" w:after="120" w:lineRule="auto" w:line="480"/>
        <w:ind w:firstLine="400"/>
        <w:jc w:val="both"/>
      </w:pPr>
      <w:r>
        <w:rPr>
          <w:rFonts w:ascii="Times New Roman" w:hAnsi="Times New Roman"/>
          <w:b w:val="0"/>
          <w:i w:val="0"/>
          <w:sz w:val="22"/>
        </w:rPr>
        <w:t>금융 예측에서 가장 직관적인 목표는 수익률 또는 초과수익률이지만, 수익률은 신호 대 잡음 비율이 낮고 구조 변화의 영향을 크게 받기 때문에 안정적인 예측이 어렵다. Gu, Kelly, and Xiu2는 여러 기계학습 방법을 비교하며 자산가격 예측에서 기계학습의 가능성을 제시했다. 반면 변동성은 군집성과 지속성이 강하므로 수익률보다 예측 가능성이 상대적으로 높다. Corsi1의 HAR-RV 모형은 일·주·월 수준의 변동성 정보를 결합하여 이러한 특성을 간명하게 반영한 대표적 접근이며, 이후 Audrino and Knaus3, Christensen et al.4은 정규화 회귀와 기계학습을 활용한 변동성 예측의 확장 가능성을 보였다.</w:t>
      </w:r>
    </w:p>
    <w:p>
      <w:pPr>
        <w:spacing w:before="0" w:after="120" w:lineRule="auto" w:line="480"/>
        <w:ind w:firstLine="400"/>
        <w:jc w:val="both"/>
      </w:pPr>
      <w:r>
        <w:rPr>
          <w:rFonts w:ascii="Times New Roman" w:hAnsi="Times New Roman"/>
          <w:b w:val="0"/>
          <w:i w:val="0"/>
          <w:sz w:val="22"/>
        </w:rPr>
        <w:t>Fig.1.은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1. VIX·RV·VRP Daily Series(S&amp;P 500, 2010–2026)</w:t>
      </w:r>
    </w:p>
    <w:p>
      <w:pPr>
        <w:spacing w:before="240" w:after="120" w:lineRule="auto" w:line="360"/>
        <w:jc w:val="left"/>
      </w:pPr>
      <w:r>
        <w:rPr>
          <w:rFonts w:ascii="Times New Roman" w:hAnsi="Times New Roman"/>
          <w:b/>
          <w:i w:val="0"/>
          <w:sz w:val="28"/>
        </w:rPr>
        <w:t>2. 연구 질문</w:t>
      </w:r>
    </w:p>
    <w:p>
      <w:pPr>
        <w:spacing w:before="0" w:after="120" w:lineRule="auto" w:line="480"/>
        <w:ind w:firstLine="400"/>
        <w:jc w:val="both"/>
      </w:pPr>
      <w:r>
        <w:rPr>
          <w:rFonts w:ascii="Times New Roman" w:hAnsi="Times New Roman"/>
          <w:b w:val="0"/>
          <w:i w:val="0"/>
          <w:sz w:val="22"/>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있으며56, 이는 변동성 위험 가격화의 보조 참고 신호로 활용될 수 있다.</w:t>
      </w:r>
    </w:p>
    <w:p>
      <w:pPr>
        <w:spacing w:before="0" w:after="120" w:lineRule="auto" w:line="480"/>
        <w:ind w:firstLine="400"/>
        <w:jc w:val="both"/>
      </w:pPr>
      <w:r>
        <w:rPr>
          <w:rFonts w:ascii="Times New Roman" w:hAnsi="Times New Roman"/>
          <w:b w:val="0"/>
          <w:i w:val="0"/>
          <w:sz w:val="22"/>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480"/>
        <w:ind w:firstLine="400"/>
        <w:jc w:val="both"/>
      </w:pPr>
      <w:r>
        <w:rPr>
          <w:rFonts w:ascii="Times New Roman" w:hAnsi="Times New Roman"/>
          <w:b w:val="0"/>
          <w:i w:val="0"/>
          <w:sz w:val="22"/>
        </w:rPr>
        <w:t>첫째, 공개 일별 자료만으로 설계한 35개 피처 세트가 HAR 기본 3개 피처 대비 다중 자산·다중 기간 RV 예측력을 얼마나 개선하는가?</w:t>
      </w:r>
    </w:p>
    <w:p>
      <w:pPr>
        <w:spacing w:before="0" w:after="120" w:lineRule="auto" w:line="480"/>
        <w:ind w:firstLine="400"/>
        <w:jc w:val="both"/>
      </w:pPr>
      <w:r>
        <w:rPr>
          <w:rFonts w:ascii="Times New Roman" w:hAnsi="Times New Roman"/>
          <w:b w:val="0"/>
          <w:i w:val="0"/>
          <w:sz w:val="22"/>
        </w:rPr>
        <w:t>둘째, Ridge와 XGBoost를 결합한 WEns 앙상블이 개별 모형 및 기존 벤치마크 대비 통계적으로 유의한 성능 우위를 가지는가?</w:t>
      </w:r>
    </w:p>
    <w:p>
      <w:pPr>
        <w:spacing w:before="0" w:after="120" w:lineRule="auto" w:line="480"/>
        <w:ind w:firstLine="400"/>
        <w:jc w:val="both"/>
      </w:pPr>
      <w:r>
        <w:rPr>
          <w:rFonts w:ascii="Times New Roman" w:hAnsi="Times New Roman"/>
          <w:b w:val="0"/>
          <w:i w:val="0"/>
          <w:sz w:val="22"/>
        </w:rPr>
        <w:t>셋째, 예측 기간이 단기(1~22d)에서 장기(60~252d)로 확장될 때 모형 구조 및 피처 기여 양상은 어떻게 달라지는가?</w:t>
      </w:r>
    </w:p>
    <w:p>
      <w:pPr>
        <w:spacing w:before="0" w:after="120" w:lineRule="auto" w:line="480"/>
        <w:ind w:firstLine="400"/>
        <w:jc w:val="both"/>
      </w:pPr>
      <w:r>
        <w:rPr>
          <w:rFonts w:ascii="Times New Roman" w:hAnsi="Times New Roman"/>
          <w:b w:val="0"/>
          <w:i w:val="0"/>
          <w:sz w:val="22"/>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8"/>
        </w:rPr>
        <w:t>3. 연구 범위</w:t>
      </w:r>
    </w:p>
    <w:p>
      <w:pPr>
        <w:spacing w:before="0" w:after="120" w:lineRule="auto" w:line="480"/>
        <w:ind w:firstLine="400"/>
        <w:jc w:val="both"/>
      </w:pPr>
      <w:r>
        <w:rPr>
          <w:rFonts w:ascii="Times New Roman" w:hAnsi="Times New Roman"/>
          <w:b w:val="0"/>
          <w:i w:val="0"/>
          <w:sz w:val="22"/>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480"/>
        <w:ind w:firstLine="400"/>
        <w:jc w:val="both"/>
      </w:pPr>
      <w:r>
        <w:rPr>
          <w:rFonts w:ascii="Times New Roman" w:hAnsi="Times New Roman"/>
          <w:b w:val="0"/>
          <w:i w:val="0"/>
          <w:sz w:val="22"/>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8"/>
        </w:rPr>
        <w:t>4. 연구 방법 및 분석 절차 개요</w:t>
      </w:r>
    </w:p>
    <w:p>
      <w:pPr>
        <w:spacing w:before="0" w:after="120" w:lineRule="auto" w:line="480"/>
        <w:ind w:firstLine="400"/>
        <w:jc w:val="both"/>
      </w:pPr>
      <w:r>
        <w:rPr>
          <w:rFonts w:ascii="Times New Roman" w:hAnsi="Times New Roman"/>
          <w:b w:val="0"/>
          <w:i w:val="0"/>
          <w:sz w:val="22"/>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480"/>
        <w:ind w:firstLine="400"/>
        <w:jc w:val="both"/>
      </w:pPr>
      <w:r>
        <w:rPr>
          <w:rFonts w:ascii="Times New Roman" w:hAnsi="Times New Roman"/>
          <w:b w:val="0"/>
          <w:i w:val="0"/>
          <w:sz w:val="22"/>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8"/>
        </w:rPr>
        <w:t>5. 논문 구성</w:t>
      </w:r>
    </w:p>
    <w:p>
      <w:pPr>
        <w:spacing w:before="0" w:after="120" w:lineRule="auto" w:line="480"/>
        <w:ind w:firstLine="400"/>
        <w:jc w:val="both"/>
      </w:pPr>
      <w:r>
        <w:rPr>
          <w:rFonts w:ascii="Times New Roman" w:hAnsi="Times New Roman"/>
          <w:b w:val="0"/>
          <w:i w:val="0"/>
          <w:sz w:val="22"/>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480"/>
        <w:ind w:firstLine="400"/>
        <w:jc w:val="both"/>
      </w:pPr>
      <w:r>
        <w:rPr>
          <w:rFonts w:ascii="Times New Roman" w:hAnsi="Times New Roman"/>
          <w:b w:val="0"/>
          <w:i w:val="0"/>
          <w:sz w:val="22"/>
        </w:rPr>
        <w:t>﻿</w:t>
      </w:r>
    </w:p>
    <w:p>
      <w:r>
        <w:br w:type="page"/>
      </w:r>
    </w:p>
    <w:p>
      <w:pPr>
        <w:spacing w:before="480" w:after="240" w:lineRule="auto" w:line="432"/>
        <w:jc w:val="center"/>
      </w:pPr>
      <w:r>
        <w:rPr>
          <w:rFonts w:ascii="Times New Roman" w:hAnsi="Times New Roman"/>
          <w:b/>
          <w:i w:val="0"/>
          <w:sz w:val="32"/>
        </w:rPr>
        <w:t>Ⅱ. 선행연구</w:t>
      </w:r>
    </w:p>
    <w:p>
      <w:pPr>
        <w:spacing w:before="240" w:after="120" w:lineRule="auto" w:line="360"/>
        <w:jc w:val="left"/>
      </w:pPr>
      <w:r>
        <w:rPr>
          <w:rFonts w:ascii="Times New Roman" w:hAnsi="Times New Roman"/>
          <w:b/>
          <w:i w:val="0"/>
          <w:sz w:val="28"/>
        </w:rPr>
        <w:t>1. 실현분산(Realized Variance, RV)</w:t>
      </w:r>
    </w:p>
    <w:p>
      <w:pPr>
        <w:spacing w:before="0" w:after="120" w:lineRule="auto" w:line="480"/>
        <w:ind w:firstLine="400"/>
        <w:jc w:val="both"/>
      </w:pPr>
      <w:r>
        <w:rPr>
          <w:rFonts w:ascii="Times New Roman" w:hAnsi="Times New Roman"/>
          <w:b w:val="0"/>
          <w:i w:val="0"/>
          <w:sz w:val="22"/>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결과이다9. 이러한 성질 덕분에 RV는 GARCH와 같은 모형 가정 없이도 변동성을 일관되게 추정할 수 있으며, 옵션가격 기반 내재분산과 독립적인 측정값을 제공한다. Andersen et al.9은 고빈도 수익률로 구성된 RV가 기존 조건부 분산 추정치보다 풍부한 정보를 담고 있음을 실증했다.</w:t>
      </w:r>
    </w:p>
    <w:p>
      <w:pPr>
        <w:spacing w:before="0" w:after="120" w:lineRule="auto" w:line="480"/>
        <w:ind w:firstLine="400"/>
        <w:jc w:val="both"/>
      </w:pPr>
      <w:r>
        <w:rPr>
          <w:rFonts w:ascii="Times New Roman" w:hAnsi="Times New Roman"/>
          <w:b w:val="0"/>
          <w:i w:val="0"/>
          <w:sz w:val="22"/>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8"/>
        </w:rPr>
        <w:t>2. 내재분산(Implied Variance)과 변동성지수(VIX)</w:t>
      </w:r>
    </w:p>
    <w:p>
      <w:pPr>
        <w:spacing w:before="0" w:after="120" w:lineRule="auto" w:line="480"/>
        <w:ind w:firstLine="400"/>
        <w:jc w:val="both"/>
      </w:pPr>
      <w:r>
        <w:rPr>
          <w:rFonts w:ascii="Times New Roman" w:hAnsi="Times New Roman"/>
          <w:b w:val="0"/>
          <w:i w:val="0"/>
          <w:sz w:val="22"/>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있으며5,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0" w:after="120" w:lineRule="auto" w:line="480"/>
        <w:ind w:firstLine="400"/>
        <w:jc w:val="both"/>
      </w:pPr>
      <w:r>
        <w:rPr>
          <w:rFonts w:ascii="Times New Roman" w:hAnsi="Times New Roman"/>
          <w:b w:val="0"/>
          <w:i w:val="0"/>
          <w:sz w:val="22"/>
        </w:rPr>
        <w:t>실용적 관점에서 VIX를 100으로 나눈 후 제곱한 값 (VIX/100)2은 분산 단위의 IV proxy로 사용할 수 있다. 그러나 이 근사는 30일 만기를 기준으로 산출된 것이므로, h가 60일 이상인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8"/>
        </w:rPr>
        <w:t>3. 분산위험프리미엄(Variance Risk Premium, VRP)</w:t>
      </w:r>
    </w:p>
    <w:p>
      <w:pPr>
        <w:spacing w:before="0" w:after="120" w:lineRule="auto" w:line="480"/>
        <w:ind w:firstLine="400"/>
        <w:jc w:val="both"/>
      </w:pPr>
      <w:r>
        <w:rPr>
          <w:rFonts w:ascii="Times New Roman" w:hAnsi="Times New Roman"/>
          <w:b w:val="0"/>
          <w:i w:val="0"/>
          <w:sz w:val="22"/>
        </w:rPr>
        <w:t>분산위험프리미엄(VRP)은 옵션시장이 반영하는 위험중립 기대분산과 실제로 실현된 분산의 차이, 즉 VRP = IV − RV로 정의된다56(본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된다6.</w:t>
      </w:r>
    </w:p>
    <w:p>
      <w:pPr>
        <w:spacing w:before="0" w:after="120" w:lineRule="auto" w:line="480"/>
        <w:ind w:firstLine="400"/>
        <w:jc w:val="both"/>
      </w:pPr>
      <w:r>
        <w:rPr>
          <w:rFonts w:ascii="Times New Roman" w:hAnsi="Times New Roman"/>
          <w:b w:val="0"/>
          <w:i w:val="0"/>
          <w:sz w:val="22"/>
        </w:rPr>
        <w:t>Bollerslev, Tauchen, and Zhou6는 VRP가 향후 주식 수익률을 예측하는 유의미한 변수임을 보였다. Drechsler and Yaron11은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8"/>
        </w:rPr>
        <w:t>4. 전통적 변동성 모형</w:t>
      </w:r>
    </w:p>
    <w:p>
      <w:pPr>
        <w:spacing w:before="0" w:after="120" w:lineRule="auto" w:line="480"/>
        <w:ind w:firstLine="400"/>
        <w:jc w:val="both"/>
      </w:pPr>
      <w:r>
        <w:rPr>
          <w:rFonts w:ascii="Times New Roman" w:hAnsi="Times New Roman"/>
          <w:b w:val="0"/>
          <w:i w:val="0"/>
          <w:sz w:val="22"/>
        </w:rPr>
        <w:t>Engle7이 제안한 ARCH(Autoregressive Conditional Heteroskedasticity) 모형은 수익률 분산이 과거 충격의 크기에 따라 달라진다는 조건부 이분산성을 포착한다. Bollerslev8의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여러 변형이 제안되었으나, 본 연구에서는 기준 비교를 위한 베이스라인으로 GARCH(1,1)을 사용한다.</w:t>
      </w:r>
    </w:p>
    <w:p>
      <w:pPr>
        <w:spacing w:before="0" w:after="120" w:lineRule="auto" w:line="480"/>
        <w:ind w:firstLine="400"/>
        <w:jc w:val="both"/>
      </w:pPr>
      <w:r>
        <w:rPr>
          <w:rFonts w:ascii="Times New Roman" w:hAnsi="Times New Roman"/>
          <w:b w:val="0"/>
          <w:i w:val="0"/>
          <w:sz w:val="22"/>
        </w:rPr>
        <w:t>Corsi1의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480"/>
        <w:ind w:firstLine="400"/>
        <w:jc w:val="both"/>
      </w:pPr>
      <w:r>
        <w:rPr>
          <w:rFonts w:ascii="Times New Roman" w:hAnsi="Times New Roman"/>
          <w:b w:val="0"/>
          <w:i w:val="0"/>
          <w:sz w:val="22"/>
        </w:rPr>
        <w:t>RVt+1 = β0 + βd · RVt + βw · RV̄t-4:t + βm · RV̄t-21:t + εt+1</w:t>
      </w:r>
    </w:p>
    <w:p>
      <w:pPr>
        <w:spacing w:before="0" w:after="120" w:lineRule="auto" w:line="480"/>
        <w:ind w:firstLine="400"/>
        <w:jc w:val="both"/>
      </w:pPr>
      <w:r>
        <w:rPr>
          <w:rFonts w:ascii="Times New Roman" w:hAnsi="Times New Roman"/>
          <w:b w:val="0"/>
          <w:i w:val="0"/>
          <w:sz w:val="22"/>
        </w:rPr>
        <w:t>여기서 RV_t는 당일 실현분산, RV̄t-4:t는 직전 5거래일 평균, RV̄t-21:t는 직전 22거래일 평균이다. 단순한 선형 모형임에도 불구하고 RV의 장기 기억(long-memory) 성질을 효과적으로 근사하여 실증 예측력이 높은 것으로 알려져 있으며1, 본 연구에서도 주요 비교 기준(HAR-3) 및 피처 설계의 기반으로 활용된다.</w:t>
      </w:r>
    </w:p>
    <w:p>
      <w:pPr>
        <w:spacing w:before="240" w:after="120" w:lineRule="auto" w:line="360"/>
        <w:jc w:val="left"/>
      </w:pPr>
      <w:r>
        <w:rPr>
          <w:rFonts w:ascii="Times New Roman" w:hAnsi="Times New Roman"/>
          <w:b/>
          <w:i w:val="0"/>
          <w:sz w:val="28"/>
        </w:rPr>
        <w:t>5. 기계학습 기반 변동성 예측</w:t>
      </w:r>
    </w:p>
    <w:p>
      <w:pPr>
        <w:spacing w:before="0" w:after="120" w:lineRule="auto" w:line="480"/>
        <w:ind w:firstLine="400"/>
        <w:jc w:val="both"/>
      </w:pPr>
      <w:r>
        <w:rPr>
          <w:rFonts w:ascii="Times New Roman" w:hAnsi="Times New Roman"/>
          <w:b w:val="0"/>
          <w:i w:val="0"/>
          <w:sz w:val="22"/>
        </w:rPr>
        <w:t>HAR 구조에 LASSO를 결합한 LASSO-HAR는 Audrino and Knaus3가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0" w:after="120" w:lineRule="auto" w:line="480"/>
        <w:ind w:firstLine="400"/>
        <w:jc w:val="both"/>
      </w:pPr>
      <w:r>
        <w:rPr>
          <w:rFonts w:ascii="Times New Roman" w:hAnsi="Times New Roman"/>
          <w:b w:val="0"/>
          <w:i w:val="0"/>
          <w:sz w:val="22"/>
        </w:rPr>
        <w:t>Christensen, Siggaard, and Veliyev4는 여러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0" w:after="120" w:lineRule="auto" w:line="480"/>
        <w:ind w:firstLine="400"/>
        <w:jc w:val="both"/>
      </w:pPr>
      <w:r>
        <w:rPr>
          <w:rFonts w:ascii="Times New Roman" w:hAnsi="Times New Roman"/>
          <w:b w:val="0"/>
          <w:i w:val="0"/>
          <w:sz w:val="22"/>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Xiu2는 자산가격 예측에서 기계학습의 가능성을 제시하였으나, 변동성 예측 맥락에서 신경망의 성능은 데이터 환경과 피처 구성에 강하게 의존한다.</w:t>
      </w:r>
    </w:p>
    <w:p>
      <w:pPr>
        <w:spacing w:before="240" w:after="120" w:lineRule="auto" w:line="360"/>
        <w:jc w:val="left"/>
      </w:pPr>
      <w:r>
        <w:rPr>
          <w:rFonts w:ascii="Times New Roman" w:hAnsi="Times New Roman"/>
          <w:b/>
          <w:i w:val="0"/>
          <w:sz w:val="28"/>
        </w:rPr>
        <w:t>6. 앙상블 및 예측 결합 이론</w:t>
      </w:r>
    </w:p>
    <w:p>
      <w:pPr>
        <w:spacing w:before="0" w:after="120" w:lineRule="auto" w:line="480"/>
        <w:ind w:firstLine="400"/>
        <w:jc w:val="both"/>
      </w:pPr>
      <w:r>
        <w:rPr>
          <w:rFonts w:ascii="Times New Roman" w:hAnsi="Times New Roman"/>
          <w:b w:val="0"/>
          <w:i w:val="0"/>
          <w:sz w:val="22"/>
        </w:rPr>
        <w:t>서로 다른 모형의 예측치를 결합하는 forecast combination은 개별 모형보다 낮은 예측 오차를 달성할 수 있다는 점에서 이론적으로 지지된다. Bates and Granger23는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0" w:after="120" w:lineRule="auto" w:line="480"/>
        <w:ind w:firstLine="400"/>
        <w:jc w:val="both"/>
      </w:pPr>
      <w:r>
        <w:rPr>
          <w:rFonts w:ascii="Times New Roman" w:hAnsi="Times New Roman"/>
          <w:b w:val="0"/>
          <w:i w:val="0"/>
          <w:sz w:val="22"/>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8"/>
        </w:rPr>
        <w:t>7. 다중 자산 VRP 및 스필오버 선행연구</w:t>
      </w:r>
    </w:p>
    <w:p>
      <w:pPr>
        <w:spacing w:before="0" w:after="120" w:lineRule="auto" w:line="480"/>
        <w:ind w:firstLine="400"/>
        <w:jc w:val="both"/>
      </w:pPr>
      <w:r>
        <w:rPr>
          <w:rFonts w:ascii="Times New Roman" w:hAnsi="Times New Roman"/>
          <w:b w:val="0"/>
          <w:i w:val="0"/>
          <w:sz w:val="22"/>
        </w:rPr>
        <w:t>주식시장에서 VRP의 측정과 예측력에 관한 연구는 Carr and Wu5, Bekaert and Hoerova10, Bollerslev, Tauchen, and Zhou6 이후 활발히 이루어졌다. Zhang, Chen, and Lu12는 VRP의 비모수적 추정을 제안했으며, Carr, Wu, and Zhang13은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0" w:after="120" w:lineRule="auto" w:line="480"/>
        <w:ind w:firstLine="400"/>
        <w:jc w:val="both"/>
      </w:pPr>
      <w:r>
        <w:rPr>
          <w:rFonts w:ascii="Times New Roman" w:hAnsi="Times New Roman"/>
          <w:b w:val="0"/>
          <w:i w:val="0"/>
          <w:sz w:val="22"/>
        </w:rPr>
        <w:t>Hattori, Shim, and Sugihara14는 미국 VRP가 국제 금융시장에 미치는 스필오버 효과를 분석했다. Ornelas et al.15는 원자재 시장의 변동성 위험 프리미엄을 분석하여 자산군별 VRP의 이질성을 보였으며, Dierckx, Davis, and Schoutens16는 외환시장의 VRP 예측에 기계학습을 적용했다. Heston and Todorov17는 여러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432"/>
        <w:jc w:val="center"/>
      </w:pPr>
      <w:r>
        <w:rPr>
          <w:rFonts w:ascii="Times New Roman" w:hAnsi="Times New Roman"/>
          <w:b/>
          <w:i w:val="0"/>
          <w:sz w:val="32"/>
        </w:rPr>
        <w:t>Ⅲ. 데이터 및 방법론</w:t>
      </w:r>
    </w:p>
    <w:p>
      <w:pPr>
        <w:spacing w:before="240" w:after="120" w:lineRule="auto" w:line="360"/>
        <w:jc w:val="left"/>
      </w:pPr>
      <w:r>
        <w:rPr>
          <w:rFonts w:ascii="Times New Roman" w:hAnsi="Times New Roman"/>
          <w:b/>
          <w:i w:val="0"/>
          <w:sz w:val="28"/>
        </w:rPr>
        <w:t>1. 분석 대상 자산 및 데이터</w:t>
      </w:r>
    </w:p>
    <w:p>
      <w:pPr>
        <w:spacing w:before="0" w:after="120" w:lineRule="auto" w:line="480"/>
        <w:ind w:firstLine="400"/>
        <w:jc w:val="both"/>
      </w:pPr>
      <w:r>
        <w:rPr>
          <w:rFonts w:ascii="Times New Roman" w:hAnsi="Times New Roman"/>
          <w:b w:val="0"/>
          <w:i w:val="0"/>
          <w:sz w:val="22"/>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480"/>
        <w:ind w:firstLine="400"/>
        <w:jc w:val="both"/>
      </w:pPr>
      <w:r>
        <w:rPr>
          <w:rFonts w:ascii="Times New Roman" w:hAnsi="Times New Roman"/>
          <w:b w:val="0"/>
          <w:i w:val="0"/>
          <w:sz w:val="22"/>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480"/>
        <w:jc w:val="center"/>
      </w:pPr>
      <w:r>
        <w:rPr>
          <w:rFonts w:ascii="Times New Roman" w:hAnsi="Times New Roman"/>
          <w:b/>
          <w:i w:val="0"/>
          <w:sz w:val="22"/>
        </w:rPr>
        <w:t>Table 1. Assets Group</w:t>
      </w:r>
    </w:p>
    <w:p>
      <w:pPr>
        <w:spacing w:before="0" w:after="20" w:lineRule="auto" w:line="288"/>
        <w:jc w:val="both"/>
      </w:pPr>
      <w:r>
        <w:rPr>
          <w:rFonts w:ascii="Times New Roman" w:hAnsi="Times New Roman"/>
          <w:b w:val="0"/>
          <w:i w:val="0"/>
          <w:sz w:val="18"/>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20" w:lineRule="auto" w:line="288"/>
        <w:jc w:val="both"/>
      </w:pPr>
      <w:r>
        <w:rPr>
          <w:rFonts w:ascii="Times New Roman" w:hAnsi="Times New Roman"/>
          <w:b w:val="0"/>
          <w:i w:val="0"/>
          <w:sz w:val="18"/>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0" w:after="20" w:lineRule="auto" w:line="288"/>
        <w:jc w:val="both"/>
      </w:pPr>
      <w:r>
        <w:rPr>
          <w:rFonts w:ascii="Times New Roman" w:hAnsi="Times New Roman"/>
          <w:b w:val="0"/>
          <w:i w:val="0"/>
          <w:sz w:val="18"/>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R2 비교를 통해 제시한다.</w:t>
      </w:r>
    </w:p>
    <w:p>
      <w:pPr>
        <w:spacing w:before="240" w:after="120" w:lineRule="auto" w:line="360"/>
        <w:jc w:val="left"/>
      </w:pPr>
      <w:r>
        <w:rPr>
          <w:rFonts w:ascii="Times New Roman" w:hAnsi="Times New Roman"/>
          <w:b/>
          <w:i w:val="0"/>
          <w:sz w:val="28"/>
        </w:rPr>
        <w:t>2. 데이터 전처리</w:t>
      </w:r>
    </w:p>
    <w:p>
      <w:pPr>
        <w:spacing w:before="0" w:after="120" w:lineRule="auto" w:line="480"/>
        <w:ind w:firstLine="400"/>
        <w:jc w:val="both"/>
      </w:pPr>
      <w:r>
        <w:rPr>
          <w:rFonts w:ascii="Times New Roman" w:hAnsi="Times New Roman"/>
          <w:b w:val="0"/>
          <w:i w:val="0"/>
          <w:sz w:val="22"/>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480"/>
        <w:ind w:firstLine="400"/>
        <w:jc w:val="both"/>
      </w:pPr>
      <w:r>
        <w:rPr>
          <w:rFonts w:ascii="Times New Roman" w:hAnsi="Times New Roman"/>
          <w:b w:val="0"/>
          <w:i w:val="0"/>
          <w:sz w:val="22"/>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480"/>
        <w:ind w:firstLine="400"/>
        <w:jc w:val="both"/>
      </w:pPr>
      <w:r>
        <w:rPr>
          <w:rFonts w:ascii="Times New Roman" w:hAnsi="Times New Roman"/>
          <w:b w:val="0"/>
          <w:i w:val="0"/>
          <w:sz w:val="22"/>
        </w:rPr>
        <w:t>추가 강건성 검증 결과, 전방 채움을 제거한 경우 Pooled R2는 0.782에서 0.795로, 중위 R2는 0.123에서 0.182로 소폭 상승했다(강건성 실험 기준값; Ⅳ장 5절 3)항 참조). 이는 전방 채움이 성능을 인위적으로 부풀리지 않았음을 의미하며, 오히려 보수적인 방향으로 작용했음을 보여준다.</w:t>
      </w:r>
    </w:p>
    <w:p>
      <w:pPr>
        <w:spacing w:before="0" w:after="120" w:lineRule="auto" w:line="480"/>
        <w:ind w:firstLine="400"/>
        <w:jc w:val="both"/>
      </w:pPr>
      <w:r>
        <w:rPr>
          <w:rFonts w:ascii="Times New Roman" w:hAnsi="Times New Roman"/>
          <w:b w:val="0"/>
          <w:i w:val="0"/>
          <w:sz w:val="22"/>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8"/>
        </w:rPr>
        <w:t>3. 변수 및 피처 구성</w:t>
      </w:r>
    </w:p>
    <w:p>
      <w:pPr>
        <w:spacing w:before="0" w:after="120" w:lineRule="auto" w:line="480"/>
        <w:ind w:firstLine="400"/>
        <w:jc w:val="both"/>
      </w:pPr>
      <w:r>
        <w:rPr>
          <w:rFonts w:ascii="Times New Roman" w:hAnsi="Times New Roman"/>
          <w:b w:val="0"/>
          <w:i w:val="0"/>
          <w:sz w:val="22"/>
        </w:rPr>
        <w:t>일별 수익률은 로그수익률로 정의한다.</w:t>
      </w:r>
    </w:p>
    <w:p>
      <w:pPr>
        <w:spacing w:before="0" w:after="120" w:lineRule="auto" w:line="480"/>
        <w:ind w:firstLine="400"/>
        <w:jc w:val="both"/>
      </w:pPr>
      <w:r>
        <w:rPr>
          <w:rFonts w:ascii="Times New Roman" w:hAnsi="Times New Roman"/>
          <w:b w:val="0"/>
          <w:i w:val="0"/>
          <w:sz w:val="22"/>
        </w:rPr>
        <w:t>rt = ln(Pt / Pt-1)</w:t>
      </w:r>
    </w:p>
    <w:p>
      <w:pPr>
        <w:spacing w:before="0" w:after="120" w:lineRule="auto" w:line="480"/>
        <w:ind w:firstLine="400"/>
        <w:jc w:val="both"/>
      </w:pPr>
      <w:r>
        <w:rPr>
          <w:rFonts w:ascii="Times New Roman" w:hAnsi="Times New Roman"/>
          <w:b w:val="0"/>
          <w:i w:val="0"/>
          <w:sz w:val="22"/>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0" w:after="120" w:lineRule="auto" w:line="480"/>
        <w:ind w:firstLine="400"/>
        <w:jc w:val="both"/>
      </w:pPr>
      <w:r>
        <w:rPr>
          <w:rFonts w:ascii="Times New Roman" w:hAnsi="Times New Roman"/>
          <w:b w:val="0"/>
          <w:i w:val="0"/>
          <w:sz w:val="22"/>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480"/>
        <w:ind w:firstLine="400"/>
        <w:jc w:val="both"/>
      </w:pPr>
      <w:r>
        <w:rPr>
          <w:rFonts w:ascii="Times New Roman" w:hAnsi="Times New Roman"/>
          <w:b w:val="0"/>
          <w:i w:val="0"/>
          <w:sz w:val="22"/>
        </w:rPr>
        <w:t>RVi,t(h) = (252 / h) × Σk=1h ri,t+k2</w:t>
      </w:r>
    </w:p>
    <w:p>
      <w:pPr>
        <w:spacing w:before="0" w:after="120" w:lineRule="auto" w:line="480"/>
        <w:ind w:firstLine="400"/>
        <w:jc w:val="both"/>
      </w:pPr>
      <w:r>
        <w:rPr>
          <w:rFonts w:ascii="Times New Roman" w:hAnsi="Times New Roman"/>
          <w:b w:val="0"/>
          <w:i w:val="0"/>
          <w:sz w:val="22"/>
        </w:rPr>
        <w:t>여기서 252는 연간 거래일 수이며, 이를 통해 예측 기간에 관계없이 연율화된 분산 단위로 비교 가능하다. 타깃은 시점 t에서의 예측 시점 이후 실현되는 전방(forward) 실현분산이 된다.</w:t>
      </w:r>
    </w:p>
    <w:p>
      <w:pPr>
        <w:spacing w:before="0" w:after="120" w:lineRule="auto" w:line="480"/>
        <w:ind w:firstLine="400"/>
        <w:jc w:val="both"/>
      </w:pPr>
      <w:r>
        <w:rPr>
          <w:rFonts w:ascii="Times New Roman" w:hAnsi="Times New Roman"/>
          <w:b w:val="0"/>
          <w:i w:val="0"/>
          <w:sz w:val="22"/>
        </w:rPr>
        <w:t>본 연구는 변동성 관련 변수를 모두 분산 단위로 통일하여 정의한다. IV는 변동성 지수를 제곱한 값으로 근사하며, 구체적으로 IV_t2 = (VIXt / 100)2를 사용한다. VRP는 IV와 RV의 차이로 정의하며, VRPi,t(h) = IVt2 − RV̂i,t(h)으로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VRP̂i,t(h)과 개념적으로 구분된다. 본 연구에서 사용하는 주요 기호 및 정의는 표 2에 정리했다.</w:t>
      </w:r>
    </w:p>
    <w:p>
      <w:pPr>
        <w:spacing w:before="60" w:after="60" w:lineRule="auto" w:line="480"/>
        <w:jc w:val="center"/>
      </w:pPr>
      <w:r>
        <w:rPr>
          <w:rFonts w:ascii="Times New Roman" w:hAnsi="Times New Roman"/>
          <w:b/>
          <w:i w:val="0"/>
          <w:sz w:val="22"/>
        </w:rPr>
        <w:t>Table 2. Symbol and Definition</w:t>
      </w:r>
    </w:p>
    <w:p>
      <w:pPr>
        <w:spacing w:before="0" w:after="20" w:lineRule="auto" w:line="288"/>
        <w:jc w:val="both"/>
      </w:pPr>
      <w:r>
        <w:rPr>
          <w:rFonts w:ascii="Times New Roman" w:hAnsi="Times New Roman"/>
          <w:b w:val="0"/>
          <w:i w:val="0"/>
          <w:sz w:val="18"/>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0" w:after="20" w:lineRule="auto" w:line="288"/>
        <w:jc w:val="both"/>
      </w:pPr>
      <w:r>
        <w:rPr>
          <w:rFonts w:ascii="Times New Roman" w:hAnsi="Times New Roman"/>
          <w:b w:val="0"/>
          <w:i w:val="0"/>
          <w:sz w:val="18"/>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20" w:lineRule="auto" w:line="288"/>
        <w:jc w:val="both"/>
      </w:pPr>
      <w:r>
        <w:rPr>
          <w:rFonts w:ascii="Times New Roman" w:hAnsi="Times New Roman"/>
          <w:b w:val="0"/>
          <w:i w:val="0"/>
          <w:sz w:val="18"/>
        </w:rPr>
        <w:t>IV Surface 그룹에는 IV_VRP와 IV_VRP_ma22가 포함되는데, 이는 과거 시점에서 관측된 VRP(IV - 과거RV)로서 미래 RV와 독립적이다. 구체적으로 IV_VRP = (VIXt/100)2 − RVSPY,[t-22,t-1]로 정의되며, 여기서 RVSPY,[t-22,t-1]는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R2를 약 0.006 하락시키는 것이 확인되어 최종 피처세트에서 제외했다.</w:t>
      </w:r>
    </w:p>
    <w:p>
      <w:pPr>
        <w:spacing w:before="0" w:after="20" w:lineRule="auto" w:line="288"/>
        <w:jc w:val="both"/>
      </w:pPr>
      <w:r>
        <w:rPr>
          <w:rFonts w:ascii="Times New Roman" w:hAnsi="Times New Roman"/>
          <w:b w:val="0"/>
          <w:i w:val="0"/>
          <w:sz w:val="18"/>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8"/>
        </w:rPr>
        <w:t>4. 데이터 구성</w:t>
      </w:r>
    </w:p>
    <w:p>
      <w:pPr>
        <w:spacing w:before="0" w:after="120" w:lineRule="auto" w:line="480"/>
        <w:ind w:firstLine="400"/>
        <w:jc w:val="both"/>
      </w:pPr>
      <w:r>
        <w:rPr>
          <w:rFonts w:ascii="Times New Roman" w:hAnsi="Times New Roman"/>
          <w:b w:val="0"/>
          <w:i w:val="0"/>
          <w:sz w:val="22"/>
        </w:rPr>
        <w:t>본 연구의 데이터는 복수의 자산을 복수의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0" w:after="120" w:lineRule="auto" w:line="480"/>
        <w:ind w:firstLine="400"/>
        <w:jc w:val="both"/>
      </w:pPr>
      <w:r>
        <w:rPr>
          <w:rFonts w:ascii="Times New Roman" w:hAnsi="Times New Roman"/>
          <w:b w:val="0"/>
          <w:i w:val="0"/>
          <w:sz w:val="22"/>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적용한다18.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8"/>
        </w:rPr>
        <w:t>5. 예측 모형군 정의</w:t>
      </w:r>
    </w:p>
    <w:p>
      <w:pPr>
        <w:spacing w:before="0" w:after="120" w:lineRule="auto" w:line="480"/>
        <w:ind w:firstLine="400"/>
        <w:jc w:val="both"/>
      </w:pPr>
      <w:r>
        <w:rPr>
          <w:rFonts w:ascii="Times New Roman" w:hAnsi="Times New Roman"/>
          <w:b w:val="0"/>
          <w:i w:val="0"/>
          <w:sz w:val="22"/>
        </w:rPr>
        <w:t>HAR-3는 Corsi1의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0" w:after="120" w:lineRule="auto" w:line="480"/>
        <w:ind w:firstLine="400"/>
        <w:jc w:val="both"/>
      </w:pPr>
      <w:r>
        <w:rPr>
          <w:rFonts w:ascii="Times New Roman" w:hAnsi="Times New Roman"/>
          <w:b w:val="0"/>
          <w:i w:val="0"/>
          <w:sz w:val="22"/>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0" w:after="120" w:lineRule="auto" w:line="480"/>
        <w:ind w:firstLine="400"/>
        <w:jc w:val="both"/>
      </w:pPr>
      <w:r>
        <w:rPr>
          <w:rFonts w:ascii="Times New Roman" w:hAnsi="Times New Roman"/>
          <w:b w:val="0"/>
          <w:i w:val="0"/>
          <w:sz w:val="22"/>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0" w:after="120" w:lineRule="auto" w:line="480"/>
        <w:ind w:firstLine="400"/>
        <w:jc w:val="both"/>
      </w:pPr>
      <w:r>
        <w:rPr>
          <w:rFonts w:ascii="Times New Roman" w:hAnsi="Times New Roman"/>
          <w:b w:val="0"/>
          <w:i w:val="0"/>
          <w:sz w:val="22"/>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480"/>
        <w:jc w:val="center"/>
      </w:pPr>
      <w:r>
        <w:rPr>
          <w:rFonts w:ascii="Times New Roman" w:hAnsi="Times New Roman"/>
          <w:b/>
          <w:i w:val="0"/>
          <w:sz w:val="22"/>
        </w:rPr>
        <w:t>Table 3. Model Group</w:t>
      </w:r>
    </w:p>
    <w:p>
      <w:pPr>
        <w:spacing w:before="240" w:after="120" w:lineRule="auto" w:line="360"/>
        <w:jc w:val="left"/>
      </w:pPr>
      <w:r>
        <w:rPr>
          <w:rFonts w:ascii="Times New Roman" w:hAnsi="Times New Roman"/>
          <w:b/>
          <w:i w:val="0"/>
          <w:sz w:val="28"/>
        </w:rPr>
        <w:t>6. WEns 가중 앙상블 알고리즘</w:t>
      </w:r>
    </w:p>
    <w:p>
      <w:pPr>
        <w:spacing w:before="0" w:after="120" w:lineRule="auto" w:line="480"/>
        <w:ind w:firstLine="400"/>
        <w:jc w:val="both"/>
      </w:pPr>
      <w:r>
        <w:rPr>
          <w:rFonts w:ascii="Times New Roman" w:hAnsi="Times New Roman"/>
          <w:b w:val="0"/>
          <w:i w:val="0"/>
          <w:sz w:val="22"/>
        </w:rPr>
        <w:t>본 연구는 Ridge와 XGBoost를 결합한 가중 앙상블(WEns)을 제안한다.</w:t>
      </w:r>
    </w:p>
    <w:p>
      <w:pPr>
        <w:spacing w:before="0" w:after="120" w:lineRule="auto" w:line="480"/>
        <w:ind w:firstLine="400"/>
        <w:jc w:val="both"/>
      </w:pPr>
      <w:r>
        <w:rPr>
          <w:rFonts w:ascii="Times New Roman" w:hAnsi="Times New Roman"/>
          <w:b w:val="0"/>
          <w:i w:val="0"/>
          <w:sz w:val="22"/>
        </w:rPr>
        <w:t>yWEns = pw × yRidge + (1 - pw) × yXGBoost</w:t>
      </w:r>
    </w:p>
    <w:p>
      <w:pPr>
        <w:spacing w:before="0" w:after="120" w:lineRule="auto" w:line="480"/>
        <w:ind w:firstLine="400"/>
        <w:jc w:val="both"/>
      </w:pPr>
      <w:r>
        <w:rPr>
          <w:rFonts w:ascii="Times New Roman" w:hAnsi="Times New Roman"/>
          <w:b w:val="0"/>
          <w:i w:val="0"/>
          <w:sz w:val="22"/>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R2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0" w:after="120" w:lineRule="auto" w:line="480"/>
        <w:ind w:firstLine="400"/>
        <w:jc w:val="both"/>
      </w:pPr>
      <w:r>
        <w:rPr>
          <w:rFonts w:ascii="Times New Roman" w:hAnsi="Times New Roman"/>
          <w:b w:val="0"/>
          <w:i w:val="0"/>
          <w:sz w:val="22"/>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2. Overall Workflow of the WEns Model</w:t>
      </w:r>
    </w:p>
    <w:p>
      <w:pPr>
        <w:spacing w:before="240" w:after="120" w:lineRule="auto" w:line="360"/>
        <w:jc w:val="left"/>
      </w:pPr>
      <w:r>
        <w:rPr>
          <w:rFonts w:ascii="Times New Roman" w:hAnsi="Times New Roman"/>
          <w:b/>
          <w:i w:val="0"/>
          <w:sz w:val="28"/>
        </w:rPr>
        <w:t>7. 하이퍼파라미터 탐색 및 학습 절차</w:t>
      </w:r>
    </w:p>
    <w:p>
      <w:pPr>
        <w:spacing w:before="0" w:after="120" w:lineRule="auto" w:line="480"/>
        <w:ind w:firstLine="400"/>
        <w:jc w:val="both"/>
      </w:pPr>
      <w:r>
        <w:rPr>
          <w:rFonts w:ascii="Times New Roman" w:hAnsi="Times New Roman"/>
          <w:b w:val="0"/>
          <w:i w:val="0"/>
          <w:sz w:val="22"/>
        </w:rPr>
        <w:t>주요 모형의 하이퍼파라미터 탐색 공간은 표 4에 정리했으며, 전체 상세는 부록 B를 참조한다.</w:t>
      </w:r>
    </w:p>
    <w:p>
      <w:pPr>
        <w:spacing w:before="60" w:after="60" w:lineRule="auto" w:line="480"/>
        <w:jc w:val="center"/>
      </w:pPr>
      <w:r>
        <w:rPr>
          <w:rFonts w:ascii="Times New Roman" w:hAnsi="Times New Roman"/>
          <w:b/>
          <w:i w:val="0"/>
          <w:sz w:val="22"/>
        </w:rPr>
        <w:t>Table 4. Hyperparameter Search Space By Model</w:t>
      </w:r>
    </w:p>
    <w:p>
      <w:pPr>
        <w:spacing w:before="0" w:after="20" w:lineRule="auto" w:line="288"/>
        <w:jc w:val="both"/>
      </w:pPr>
      <w:r>
        <w:rPr>
          <w:rFonts w:ascii="Times New Roman" w:hAnsi="Times New Roman"/>
          <w:b w:val="0"/>
          <w:i w:val="0"/>
          <w:sz w:val="18"/>
        </w:rPr>
        <w:t>전체 모형별 하이퍼파라미터 탐색 범위 상세는 부록 B를 참조한다.</w:t>
      </w:r>
    </w:p>
    <w:p>
      <w:pPr>
        <w:spacing w:before="0" w:after="20" w:lineRule="auto" w:line="288"/>
        <w:jc w:val="both"/>
      </w:pPr>
      <w:r>
        <w:rPr>
          <w:rFonts w:ascii="Times New Roman" w:hAnsi="Times New Roman"/>
          <w:b w:val="0"/>
          <w:i w:val="0"/>
          <w:sz w:val="18"/>
        </w:rPr>
        <w:t>모든 모형의 최종 하이퍼파라미터는 내부 검증셋 R2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8"/>
        </w:rPr>
        <w:t>8. 평가 지표 및 통계 검정</w:t>
      </w:r>
    </w:p>
    <w:p>
      <w:pPr>
        <w:spacing w:before="0" w:after="120" w:lineRule="auto" w:line="480"/>
        <w:ind w:firstLine="400"/>
        <w:jc w:val="both"/>
      </w:pPr>
      <w:r>
        <w:rPr>
          <w:rFonts w:ascii="Times New Roman" w:hAnsi="Times New Roman"/>
          <w:b w:val="0"/>
          <w:i w:val="0"/>
          <w:sz w:val="22"/>
        </w:rPr>
        <w:t>모델 예측 정확도는 RMSE(Root Mean Squared Error)를 주 오차 지표로 사용하며, MAE(Mean Absolute Error)와 QLIKE(Quasi-Likelihood)를 보조 지표로 함께 검토했다.</w:t>
      </w:r>
    </w:p>
    <w:p>
      <w:pPr>
        <w:spacing w:before="0" w:after="120" w:lineRule="auto" w:line="480"/>
        <w:ind w:firstLine="400"/>
        <w:jc w:val="both"/>
      </w:pPr>
      <w:r>
        <w:rPr>
          <w:rFonts w:ascii="Times New Roman" w:hAnsi="Times New Roman"/>
          <w:b w:val="0"/>
          <w:i w:val="0"/>
          <w:sz w:val="22"/>
        </w:rPr>
        <w:t>모델 순위 비교는 Pooled R2를 기준으로 수행하며, Median R2와 RMSE를 보조 지표로 함께 보고한다. Pooled R2는 11개 자산의 전체 테스트 기간 예측치와 실측치를 하나의 풀로 합산하여 산출한 단일 R2이며, 자산별 R2의 단순 평균이 아니다. 이 지표는 자산 간 횡단면 변동과 시계열 방향 변동을 모두 포함한다. 높은 Pooled R2 수치를 시계열 예측력으로 오해하지 않도록, 자산별 평균을 제거한 후 계산한 R2_Within을 함께 제시한다.</w:t>
      </w:r>
    </w:p>
    <w:p>
      <w:pPr>
        <w:spacing w:before="0" w:after="120" w:lineRule="auto" w:line="480"/>
        <w:ind w:firstLine="400"/>
        <w:jc w:val="both"/>
      </w:pPr>
      <w:r>
        <w:rPr>
          <w:rFonts w:ascii="Times New Roman" w:hAnsi="Times New Roman"/>
          <w:b w:val="0"/>
          <w:i w:val="0"/>
          <w:sz w:val="22"/>
        </w:rPr>
        <w:t>모델 간 차이의 통계적 유의성은 Diebold-Mariano(DM) 검정을 통해 평가했다19.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보정했다20. 또한 120거래일 이상의 장기 기간에서는 점근 근사의 한계를 보완하기 위해 블록 크기 h, 반복 횟수 5,000회의 블록 부트스트랩을 보조 검정으로 사용하여 유의성을 재확인했다21. 다중 비교 문제는 Benjamini-Hochberg(BH) 방법으로 보정했다.</w:t>
      </w:r>
    </w:p>
    <w:p>
      <w:r>
        <w:br w:type="page"/>
      </w:r>
    </w:p>
    <w:p>
      <w:pPr>
        <w:spacing w:before="480" w:after="240" w:lineRule="auto" w:line="432"/>
        <w:jc w:val="center"/>
      </w:pPr>
      <w:r>
        <w:rPr>
          <w:rFonts w:ascii="Times New Roman" w:hAnsi="Times New Roman"/>
          <w:b/>
          <w:i w:val="0"/>
          <w:sz w:val="32"/>
        </w:rPr>
        <w:t>Ⅳ. 실증 분석 결과</w:t>
      </w:r>
    </w:p>
    <w:p>
      <w:pPr>
        <w:spacing w:before="240" w:after="120" w:lineRule="auto" w:line="360"/>
        <w:jc w:val="left"/>
      </w:pPr>
      <w:r>
        <w:rPr>
          <w:rFonts w:ascii="Times New Roman" w:hAnsi="Times New Roman"/>
          <w:b/>
          <w:i w:val="0"/>
          <w:sz w:val="28"/>
        </w:rPr>
        <w:t>1. 전체 모형 성능 비교</w:t>
      </w:r>
    </w:p>
    <w:p>
      <w:pPr>
        <w:spacing w:before="0" w:after="120" w:lineRule="auto" w:line="480"/>
        <w:ind w:firstLine="400"/>
        <w:jc w:val="both"/>
      </w:pPr>
      <w:r>
        <w:rPr>
          <w:rFonts w:ascii="Times New Roman" w:hAnsi="Times New Roman"/>
          <w:b w:val="0"/>
          <w:i w:val="0"/>
          <w:sz w:val="22"/>
        </w:rPr>
        <w:t>기간별로 가장 높은 Pooled R2를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480"/>
        <w:ind w:firstLine="400"/>
        <w:jc w:val="both"/>
      </w:pPr>
      <w:r>
        <w:rPr>
          <w:rFonts w:ascii="Times New Roman" w:hAnsi="Times New Roman"/>
          <w:b w:val="0"/>
          <w:i w:val="0"/>
          <w:sz w:val="22"/>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480"/>
        <w:ind w:firstLine="400"/>
        <w:jc w:val="both"/>
      </w:pPr>
      <w:r>
        <w:rPr>
          <w:rFonts w:ascii="Times New Roman" w:hAnsi="Times New Roman"/>
          <w:b w:val="0"/>
          <w:i w:val="0"/>
          <w:sz w:val="22"/>
        </w:rPr>
        <w:t>그림 3은 전체 모델과 예측 기간별 Pooled R2를 히트맵으로 나타낸 것으로, 기간별 최고 성능 모형의 분포를 확인할 수 있다.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3. Model × Horizon Pooled R2 Heatmap</w:t>
      </w:r>
    </w:p>
    <w:p>
      <w:pPr>
        <w:spacing w:before="0" w:after="120" w:lineRule="auto" w:line="480"/>
        <w:ind w:firstLine="400"/>
        <w:jc w:val="both"/>
      </w:pPr>
      <w:r>
        <w:rPr>
          <w:rFonts w:ascii="Times New Roman" w:hAnsi="Times New Roman"/>
          <w:b w:val="0"/>
          <w:i w:val="0"/>
          <w:sz w:val="22"/>
        </w:rPr>
        <w:t>패널 R2 분해 관점에서, Pooled R2는 자산 간 횡단면 변동성 차이와 시계열 방향 변동을 모두 포함한다. 이를 구분하기 위해 표 5에서 자산별 평균을 제거한 R2_Within을 WEns Pooled R2와 함께 비교한다.</w:t>
      </w:r>
    </w:p>
    <w:p>
      <w:pPr>
        <w:spacing w:before="60" w:after="60" w:lineRule="auto" w:line="480"/>
        <w:jc w:val="center"/>
      </w:pPr>
      <w:r>
        <w:rPr>
          <w:rFonts w:ascii="Times New Roman" w:hAnsi="Times New Roman"/>
          <w:b/>
          <w:i w:val="0"/>
          <w:sz w:val="22"/>
        </w:rPr>
        <w:t>Table 5. WEns Pooled R2 vs R2_Within Decomposition</w:t>
      </w:r>
    </w:p>
    <w:p>
      <w:pPr>
        <w:spacing w:before="0" w:after="20" w:lineRule="auto" w:line="288"/>
        <w:jc w:val="both"/>
      </w:pPr>
      <w:r>
        <w:rPr>
          <w:rFonts w:ascii="Times New Roman" w:hAnsi="Times New Roman"/>
          <w:b w:val="0"/>
          <w:i w:val="0"/>
          <w:sz w:val="18"/>
        </w:rPr>
        <w:t>22거래일 기준으로 Pooled R2는 0.8041인 반면 R2_Within은 0.3831로, 두 지표의 차이가 0.421이다. 이 차이는 장기로 갈수록 확대되어 252d에서는 1.574에 이른다. 1~22거래일 구간에서는 R2_Within이 0.034~0.383 범위의 양수로 시계열 예측력이 존재하나, 60거래일 이상에서는 R2_Within이 0.166 이하로 하락하고 90d부터 음수로 전환된다.</w:t>
      </w:r>
    </w:p>
    <w:p>
      <w:pPr>
        <w:spacing w:before="0" w:after="20" w:lineRule="auto" w:line="288"/>
        <w:jc w:val="both"/>
      </w:pPr>
      <w:r>
        <w:rPr>
          <w:rFonts w:ascii="Times New Roman" w:hAnsi="Times New Roman"/>
          <w:b w:val="0"/>
          <w:i w:val="0"/>
          <w:sz w:val="18"/>
        </w:rPr>
        <w:t>R2_Within이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R2는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R2를 해석할 때는 이 분해를 반드시 함께 고려해야 한다.</w:t>
      </w:r>
    </w:p>
    <w:p>
      <w:pPr>
        <w:spacing w:before="0" w:after="20" w:lineRule="auto" w:line="288"/>
        <w:jc w:val="both"/>
      </w:pPr>
      <w:r>
        <w:rPr>
          <w:rFonts w:ascii="Times New Roman" w:hAnsi="Times New Roman"/>
          <w:b w:val="0"/>
          <w:i w:val="0"/>
          <w:sz w:val="18"/>
        </w:rPr>
        <w:t>그림 4는 예측 기간별 WEns의 Pooled R2와 R2_Within을 함께 나타낸 것으로, 장기 기간으로 갈수록 두 지표의 괴리가 확대되는 양상을 보여준다.</w:t>
      </w:r>
    </w:p>
    <w:p>
      <w:pPr>
        <w:spacing w:before="0" w:after="20" w:lineRule="auto" w:line="288"/>
        <w:jc w:val="both"/>
      </w:pPr>
      <w:r>
        <w:rPr>
          <w:rFonts w:ascii="Times New Roman" w:hAnsi="Times New Roman"/>
          <w:b w:val="0"/>
          <w:i w:val="0"/>
          <w:sz w:val="18"/>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4. WEns Pooled R2 vs R2_Within by Horizon</w:t>
      </w:r>
    </w:p>
    <w:p>
      <w:pPr>
        <w:spacing w:before="0" w:after="120" w:lineRule="auto" w:line="480"/>
        <w:ind w:firstLine="400"/>
        <w:jc w:val="both"/>
      </w:pPr>
      <w:r>
        <w:rPr>
          <w:rFonts w:ascii="Times New Roman" w:hAnsi="Times New Roman"/>
          <w:b w:val="0"/>
          <w:i w:val="0"/>
          <w:sz w:val="22"/>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480"/>
        <w:ind w:firstLine="400"/>
        <w:jc w:val="both"/>
      </w:pPr>
      <w:r>
        <w:rPr>
          <w:rFonts w:ascii="Times New Roman" w:hAnsi="Times New Roman"/>
          <w:b w:val="0"/>
          <w:i w:val="0"/>
          <w:sz w:val="22"/>
        </w:rPr>
        <w:t>22d Pooled R2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480"/>
        <w:jc w:val="center"/>
      </w:pPr>
      <w:r>
        <w:rPr>
          <w:rFonts w:ascii="Times New Roman" w:hAnsi="Times New Roman"/>
          <w:b/>
          <w:i w:val="0"/>
          <w:sz w:val="22"/>
        </w:rPr>
        <w:t>Table 6. 22-day Model Performance Comparison</w:t>
      </w:r>
    </w:p>
    <w:p>
      <w:pPr>
        <w:spacing w:before="0" w:after="20" w:lineRule="auto" w:line="288"/>
        <w:jc w:val="both"/>
      </w:pPr>
      <w:r>
        <w:rPr>
          <w:rFonts w:ascii="Times New Roman" w:hAnsi="Times New Roman"/>
          <w:b w:val="0"/>
          <w:i w:val="0"/>
          <w:sz w:val="18"/>
        </w:rPr>
        <w:t>한편 Median R2 기준으로는 ElasticNet이 0.2619, Ridge가 0.2583으로 WEns의 0.2457보다 소폭 높게 나타났다. 즉, WEns는 Pooled R2 기준 최상위이나 Median R2 기준으로는 ElasticNet·Ridge에 미치지 못한다. 따라서 RQ2의 "WEns가 개별 모형 대비 통계적으로 유의한 성능 우위를 가지는가"에 대한 답은 지표에 따라 구분해야 한다. 전통적 벤치마크(HAR-3, NaiveRV, GARCH) 대비로는 Pooled R2 및 DM 검정 모두에서 명확한 우위가 확인된다. 반면 동일 피처·동일 검증 절차로 학습된 정규화 선형 모델(ElasticNet, Ridge) 대비로는 Pooled R2 기준 소폭 우위(+0.0018~+0.0035p)가 통계적으로 유의하지만, Median R2 기준에서는 ElasticNet과 Ridge가 소폭 앞서 단일 지표로 최고 모델을 결론 내리기 어렵다. 본 연구는 Pooled R2를 주 지표로 설정하였으므로 WEns를 최고 성능 모델로 보고하되, Median R2 관점의 한계를 함께 명시한다. WEns와 Ridge의 Pooled R2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8"/>
        </w:rPr>
        <w:t>2. 자산별·자산군별 성능 분석</w:t>
      </w:r>
    </w:p>
    <w:p>
      <w:pPr>
        <w:spacing w:before="0" w:after="120" w:lineRule="auto" w:line="480"/>
        <w:ind w:firstLine="400"/>
        <w:jc w:val="both"/>
      </w:pPr>
      <w:r>
        <w:rPr>
          <w:rFonts w:ascii="Times New Roman" w:hAnsi="Times New Roman"/>
          <w:b w:val="0"/>
          <w:i w:val="0"/>
          <w:sz w:val="22"/>
        </w:rPr>
        <w:t>22거래일 기간 WEns의 자산별 R2를 제시한다. 주식 자산군에서는 SPY(0.569), QQQ(0.454), EFA(0.415)가 상대적으로 높은 예측력을 보였으며, 원자재 중 USO(0.381)도 양호한 수준을 나타냈다. 반면 채권(TLT 0.123, IEF 0.152, AGG 0.159)과 SLV(0.003)는 낮은 R2를 보였다.</w:t>
      </w:r>
    </w:p>
    <w:p>
      <w:pPr>
        <w:spacing w:before="60" w:after="60" w:lineRule="auto" w:line="480"/>
        <w:jc w:val="center"/>
      </w:pPr>
      <w:r>
        <w:rPr>
          <w:rFonts w:ascii="Times New Roman" w:hAnsi="Times New Roman"/>
          <w:b/>
          <w:i w:val="0"/>
          <w:sz w:val="22"/>
        </w:rPr>
        <w:t>Table 7. WEns Per-Asset R2 (22d Forecast Horizon)</w:t>
      </w:r>
    </w:p>
    <w:p>
      <w:pPr>
        <w:spacing w:before="0" w:after="20" w:lineRule="auto" w:line="288"/>
        <w:jc w:val="both"/>
      </w:pPr>
      <w:r>
        <w:rPr>
          <w:rFonts w:ascii="Times New Roman" w:hAnsi="Times New Roman"/>
          <w:b w:val="0"/>
          <w:i w:val="0"/>
          <w:sz w:val="18"/>
        </w:rPr>
        <w:t>90일 이상 기간에서 중위 R2가 음수로 전환되는 현상은 자산군 간 이질성에서 비롯된다. 채권(TLT 0.123, IEF 0.152, AGG 0.159)과 SLV(0.003)의 22d R2가 주식(SPY 0.569, QQQ 0.454) 대비 현저히 낮아, 단일 풀링 모델의 중위 R2를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8"/>
        </w:rPr>
        <w:t>3. 피처 기여도 및 중요도</w:t>
      </w:r>
    </w:p>
    <w:p>
      <w:pPr>
        <w:spacing w:before="0" w:after="120" w:lineRule="auto" w:line="480"/>
        <w:ind w:firstLine="400"/>
        <w:jc w:val="both"/>
      </w:pPr>
      <w:r>
        <w:rPr>
          <w:rFonts w:ascii="Times New Roman" w:hAnsi="Times New Roman"/>
          <w:b w:val="0"/>
          <w:i w:val="0"/>
          <w:sz w:val="22"/>
        </w:rPr>
        <w:t>피처 그룹이 실제로 예측력에 기여하는지 확인하기 위해 Ridge 기반 서브셋 실험과 WEns 기반 그룹 제거 실험을 수행했다.</w:t>
      </w:r>
    </w:p>
    <w:p>
      <w:pPr>
        <w:spacing w:before="60" w:after="60" w:lineRule="auto" w:line="480"/>
        <w:jc w:val="center"/>
      </w:pPr>
      <w:r>
        <w:rPr>
          <w:rFonts w:ascii="Times New Roman" w:hAnsi="Times New Roman"/>
          <w:b/>
          <w:i w:val="0"/>
          <w:sz w:val="22"/>
        </w:rPr>
        <w:t>Table 8. 22-day Feature Group Subset Experiment (Ridge)</w:t>
      </w:r>
    </w:p>
    <w:p>
      <w:pPr>
        <w:spacing w:before="0" w:after="20" w:lineRule="auto" w:line="288"/>
        <w:jc w:val="both"/>
      </w:pPr>
      <w:r>
        <w:rPr>
          <w:rFonts w:ascii="Times New Roman" w:hAnsi="Times New Roman"/>
          <w:b w:val="0"/>
          <w:i w:val="0"/>
          <w:sz w:val="18"/>
        </w:rPr>
        <w:t>HAR 기본 3개 피처의 Pooled R2가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현저히 제한됨을 확인했다.</w:t>
      </w:r>
    </w:p>
    <w:p>
      <w:pPr>
        <w:spacing w:before="0" w:after="20" w:lineRule="auto" w:line="288"/>
        <w:jc w:val="both"/>
      </w:pPr>
      <w:r>
        <w:rPr>
          <w:rFonts w:ascii="Times New Roman" w:hAnsi="Times New Roman"/>
          <w:b w:val="0"/>
          <w:i w:val="0"/>
          <w:sz w:val="18"/>
        </w:rPr>
        <w:t>WEns 기반 그룹 제거 실험 결과는 표 9에 제시한다.</w:t>
      </w:r>
    </w:p>
    <w:p>
      <w:pPr>
        <w:spacing w:before="60" w:after="60" w:lineRule="auto" w:line="480"/>
        <w:jc w:val="center"/>
      </w:pPr>
      <w:r>
        <w:rPr>
          <w:rFonts w:ascii="Times New Roman" w:hAnsi="Times New Roman"/>
          <w:b/>
          <w:i w:val="0"/>
          <w:sz w:val="22"/>
        </w:rPr>
        <w:t>Table 9. WEns 22d Feature Group Removal Experiment</w:t>
      </w:r>
    </w:p>
    <w:p>
      <w:pPr>
        <w:spacing w:before="0" w:after="20" w:lineRule="auto" w:line="288"/>
        <w:jc w:val="both"/>
      </w:pPr>
      <w:r>
        <w:rPr>
          <w:rFonts w:ascii="Times New Roman" w:hAnsi="Times New Roman"/>
          <w:b w:val="0"/>
          <w:i w:val="0"/>
          <w:sz w:val="18"/>
        </w:rPr>
        <w:t>WEns 기준으로, Pooled R2가 0.8036인 상태에서 IV Surface 변수군의 증분 기여도는 +0.0164로 가장 컸고, HF Proxy는 +0.0153, Alternative Data는 +0.0016이었다. (주: 표 9의 Full R2 0.8036은 그룹 제거 실험에서 재학습된 WEns의 값으로, 표 6의 전체 비교 기준 0.8041과 미세하게 다를 수 있다.) IV Surface(ΔR2=+0.0164)가 HF Proxy(+0.0153)보다 0.0011 큰 기여를 보였다. 이는 자산의 과거 실현 변동성 정보와 옵션시장이 반영하는 미래 기대 정보가 서로 다른 경로로 예측력에 기여할 수 있음을 보여준다. 한편 Alternative 피처군(ΔR2=+0.0016)은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0" w:after="20" w:lineRule="auto" w:line="288"/>
        <w:jc w:val="both"/>
      </w:pPr>
      <w:r>
        <w:rPr>
          <w:rFonts w:ascii="Times New Roman" w:hAnsi="Times New Roman"/>
          <w:b w:val="0"/>
          <w:i w:val="0"/>
          <w:sz w:val="18"/>
        </w:rPr>
        <w:t>단일 방법의 편향을 줄이기 위해 Ridge 정규화 계수, XGBoost gain, permutation importance의 3개 방법에서 도출한 피처 중요도의 평균 순위를 합의 순위로 산출했다. 22거래일 기간에서는 RogersSatchell_22, LogRV_lag1, Parkinson5, GarmanKlass_22, Range_Close_Ratio가 상위권을 차지했다.</w:t>
      </w:r>
    </w:p>
    <w:p>
      <w:pPr>
        <w:spacing w:before="0" w:after="20" w:lineRule="auto" w:line="288"/>
        <w:jc w:val="both"/>
      </w:pPr>
      <w:r>
        <w:rPr>
          <w:rFonts w:ascii="Times New Roman" w:hAnsi="Times New Roman"/>
          <w:b w:val="0"/>
          <w:i w:val="0"/>
          <w:sz w:val="18"/>
        </w:rPr>
        <w:t>그림 5는 22거래일 기간의 피처 중요도 합의 순위 상위 10개를 나타낸 것으로, HF Proxy 계열 피처가 상위권에 집중됨을 확인할 수 있다.</w:t>
      </w:r>
    </w:p>
    <w:p>
      <w:pPr>
        <w:spacing w:before="0" w:after="20" w:lineRule="auto" w:line="288"/>
        <w:jc w:val="both"/>
      </w:pPr>
      <w:r>
        <w:rPr>
          <w:rFonts w:ascii="Times New Roman" w:hAnsi="Times New Roman"/>
          <w:b w:val="0"/>
          <w:i w:val="0"/>
          <w:sz w:val="18"/>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5. 22d Feature Importance Consensus Top-10</w:t>
      </w:r>
    </w:p>
    <w:p>
      <w:pPr>
        <w:spacing w:before="0" w:after="120" w:lineRule="auto" w:line="480"/>
        <w:ind w:firstLine="400"/>
        <w:jc w:val="both"/>
      </w:pPr>
      <w:r>
        <w:rPr>
          <w:rFonts w:ascii="Times New Roman" w:hAnsi="Times New Roman"/>
          <w:b w:val="0"/>
          <w:i w:val="0"/>
          <w:sz w:val="22"/>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많이 떨어진다.</w:t>
      </w:r>
    </w:p>
    <w:p>
      <w:pPr>
        <w:spacing w:before="0" w:after="120" w:lineRule="auto" w:line="480"/>
        <w:ind w:firstLine="400"/>
        <w:jc w:val="both"/>
      </w:pPr>
      <w:r>
        <w:rPr>
          <w:rFonts w:ascii="Times New Roman" w:hAnsi="Times New Roman"/>
          <w:b w:val="0"/>
          <w:i w:val="0"/>
          <w:sz w:val="22"/>
        </w:rPr>
        <w:t>예측 기간별 합의도(Kendall's W) 결과는 표 10과 같다.</w:t>
      </w:r>
    </w:p>
    <w:p>
      <w:pPr>
        <w:spacing w:before="60" w:after="60" w:lineRule="auto" w:line="480"/>
        <w:jc w:val="center"/>
      </w:pPr>
      <w:r>
        <w:rPr>
          <w:rFonts w:ascii="Times New Roman" w:hAnsi="Times New Roman"/>
          <w:b/>
          <w:i w:val="0"/>
          <w:sz w:val="22"/>
        </w:rPr>
        <w:t>Table 10. Kendall's W by Forecast Horizon</w:t>
      </w:r>
    </w:p>
    <w:p>
      <w:pPr>
        <w:spacing w:before="0" w:after="20" w:lineRule="auto" w:line="288"/>
        <w:jc w:val="both"/>
      </w:pPr>
      <w:r>
        <w:rPr>
          <w:rFonts w:ascii="Times New Roman" w:hAnsi="Times New Roman"/>
          <w:b w:val="0"/>
          <w:i w:val="0"/>
          <w:sz w:val="18"/>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8"/>
        </w:rPr>
        <w:t>4. 시장 기간별 예측 성능</w:t>
      </w:r>
    </w:p>
    <w:p>
      <w:pPr>
        <w:spacing w:before="0" w:after="120" w:lineRule="auto" w:line="480"/>
        <w:ind w:firstLine="400"/>
        <w:jc w:val="both"/>
      </w:pPr>
      <w:r>
        <w:rPr>
          <w:rFonts w:ascii="Times New Roman" w:hAnsi="Times New Roman"/>
          <w:b w:val="0"/>
          <w:i w:val="0"/>
          <w:sz w:val="22"/>
        </w:rPr>
        <w:t>그림 6은 2010~2024년 VIX 수준을 시계열로 나타낸 것으로, 분위수 구간(하위 50%, 50~90%, 상위 10%)을 음영으로 표시했다. COVID-19(2020.03), 유럽 재정위기(2011.08) 등 급등 구간이 상위 10% 국면에 해당한다.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6. VIX Time Series with Quantile Regime Shading</w:t>
      </w:r>
    </w:p>
    <w:p>
      <w:pPr>
        <w:spacing w:before="0" w:after="120" w:lineRule="auto" w:line="480"/>
        <w:ind w:firstLine="400"/>
        <w:jc w:val="both"/>
      </w:pPr>
      <w:r>
        <w:rPr>
          <w:rFonts w:ascii="Times New Roman" w:hAnsi="Times New Roman"/>
          <w:b w:val="0"/>
          <w:i w:val="0"/>
          <w:sz w:val="22"/>
        </w:rPr>
        <w:t>표 11은 22거래일 기준으로 VIX 분위수 구간별 WEns와 HAR-3의 Pooled R2를 비교한 결과이다.</w:t>
      </w:r>
    </w:p>
    <w:p>
      <w:pPr>
        <w:spacing w:before="60" w:after="60" w:lineRule="auto" w:line="480"/>
        <w:jc w:val="center"/>
      </w:pPr>
      <w:r>
        <w:rPr>
          <w:rFonts w:ascii="Times New Roman" w:hAnsi="Times New Roman"/>
          <w:b/>
          <w:i w:val="0"/>
          <w:sz w:val="22"/>
        </w:rPr>
        <w:t>Table 11. 22-day Pooled R2 by VIX Regime</w:t>
      </w:r>
    </w:p>
    <w:p>
      <w:pPr>
        <w:spacing w:before="0" w:after="20" w:lineRule="auto" w:line="288"/>
        <w:jc w:val="both"/>
      </w:pPr>
      <w:r>
        <w:rPr>
          <w:rFonts w:ascii="Times New Roman" w:hAnsi="Times New Roman"/>
          <w:b w:val="0"/>
          <w:i w:val="0"/>
          <w:sz w:val="18"/>
        </w:rPr>
        <w:t>VIX 하위 50% 구간에서는 R2가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8"/>
        </w:rPr>
        <w:t>5. 베이스라인 비교</w:t>
      </w:r>
    </w:p>
    <w:p>
      <w:pPr>
        <w:spacing w:before="0" w:after="120" w:lineRule="auto" w:line="480"/>
        <w:ind w:firstLine="400"/>
        <w:jc w:val="both"/>
      </w:pPr>
      <w:r>
        <w:rPr>
          <w:rFonts w:ascii="Times New Roman" w:hAnsi="Times New Roman"/>
          <w:b w:val="0"/>
          <w:i w:val="0"/>
          <w:sz w:val="22"/>
        </w:rPr>
        <w:t>22거래일 기준 Pooled R2 결과는 다음과 같다: NaiveRV = 0.7139, GARCH(1,1) = 0.6895, IV-only = 0.2094. 제안 모델 WEns는 Pooled R2 0.8041로 모든 베이스라인을 넘어서며, 소표본 보정 DM 검정22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480"/>
        <w:ind w:firstLine="400"/>
        <w:jc w:val="both"/>
      </w:pPr>
      <w:r>
        <w:rPr>
          <w:rFonts w:ascii="Times New Roman" w:hAnsi="Times New Roman"/>
          <w:b w:val="0"/>
          <w:i w:val="0"/>
          <w:sz w:val="22"/>
        </w:rPr>
        <w:t>IV-only 모델의 RV 예측 성능은 R2 = 0.2094로, 이는 VIX 계열 피처가 11개 ETF 전체에 동일하게 적용되어 자산 간 횡단면 변동성 차이를 구분하지 못한 데 비롯된다. GARCH(1,1)의 성능은 R2 = 0.6895로 NaiveRV보다 낮게 나타났는데, 이는 다기간 예측 방법의 구조적 특성에서 비롯된다. GARCH(1,1)의 t 시점에서 k기 앞 조건부 분산 예측은 다음과 같이 장기 무조건부 분산 σ̄2 = ω/(1−α−β)로 회귀한다.</w:t>
      </w:r>
    </w:p>
    <w:p>
      <w:pPr>
        <w:spacing w:before="0" w:after="120" w:lineRule="auto" w:line="480"/>
        <w:ind w:firstLine="400"/>
        <w:jc w:val="both"/>
      </w:pPr>
      <w:r>
        <w:rPr>
          <w:rFonts w:ascii="Times New Roman" w:hAnsi="Times New Roman"/>
          <w:b w:val="0"/>
          <w:i w:val="0"/>
          <w:sz w:val="22"/>
        </w:rPr>
        <w:t>σ2t+k|t = σ̄2 + (α+β)k × (σ2t − σ̄2)</w:t>
      </w:r>
    </w:p>
    <w:p>
      <w:pPr>
        <w:spacing w:before="0" w:after="120" w:lineRule="auto" w:line="480"/>
        <w:ind w:firstLine="400"/>
        <w:jc w:val="both"/>
      </w:pPr>
      <w:r>
        <w:rPr>
          <w:rFonts w:ascii="Times New Roman" w:hAnsi="Times New Roman"/>
          <w:b w:val="0"/>
          <w:i w:val="0"/>
          <w:sz w:val="22"/>
        </w:rPr>
        <w:t>h거래일 실현분산 예측값은 이를 연율화하여 산출한다.</w:t>
      </w:r>
    </w:p>
    <w:p>
      <w:pPr>
        <w:spacing w:before="0" w:after="120" w:lineRule="auto" w:line="480"/>
        <w:ind w:firstLine="400"/>
        <w:jc w:val="both"/>
      </w:pPr>
      <w:r>
        <w:rPr>
          <w:rFonts w:ascii="Times New Roman" w:hAnsi="Times New Roman"/>
          <w:b w:val="0"/>
          <w:i w:val="0"/>
          <w:sz w:val="22"/>
        </w:rPr>
        <w:t>RV̂GARCH(h) = (252/h) × Σk=1h σ2t+k|t</w:t>
      </w:r>
    </w:p>
    <w:p>
      <w:pPr>
        <w:spacing w:before="0" w:after="120" w:lineRule="auto" w:line="480"/>
        <w:ind w:firstLine="400"/>
        <w:jc w:val="both"/>
      </w:pPr>
      <w:r>
        <w:rPr>
          <w:rFonts w:ascii="Times New Roman" w:hAnsi="Times New Roman"/>
          <w:b w:val="0"/>
          <w:i w:val="0"/>
          <w:sz w:val="22"/>
        </w:rPr>
        <w:t>실증적으로 추정되는 α+β ≈ 0.97~0.99 범위에서는 h = 22이면 (α+β)22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σ̄2가 다르므로 장기 예측에서 자산 간 횡단면 분산이 축소되어 Pooled R2를 추가로 낮추는 효과가 발생한다. 극단적 변동성 국면에서의 모수 불안정성이 이를 심화시킨다.</w:t>
      </w:r>
    </w:p>
    <w:p>
      <w:pPr>
        <w:spacing w:before="0" w:after="120" w:lineRule="auto" w:line="480"/>
        <w:ind w:firstLine="400"/>
        <w:jc w:val="both"/>
      </w:pPr>
      <w:r>
        <w:rPr>
          <w:rFonts w:ascii="Times New Roman" w:hAnsi="Times New Roman"/>
          <w:b w:val="0"/>
          <w:i w:val="0"/>
          <w:sz w:val="22"/>
        </w:rPr>
        <w:t>표 12는 LASSO-HAR, HAR-3, LASSO(35피처), WEns의 기간별 Pooled R2를 비교한 결과이다.</w:t>
      </w:r>
    </w:p>
    <w:p>
      <w:pPr>
        <w:spacing w:before="60" w:after="60" w:lineRule="auto" w:line="480"/>
        <w:jc w:val="center"/>
      </w:pPr>
      <w:r>
        <w:rPr>
          <w:rFonts w:ascii="Times New Roman" w:hAnsi="Times New Roman"/>
          <w:b/>
          <w:i w:val="0"/>
          <w:sz w:val="22"/>
        </w:rPr>
        <w:t>Table 12. LASSO-HAR vs LASSO Pooled R2 by Horizon</w:t>
      </w:r>
    </w:p>
    <w:p>
      <w:pPr>
        <w:spacing w:before="0" w:after="20" w:lineRule="auto" w:line="288"/>
        <w:jc w:val="both"/>
      </w:pPr>
      <w:r>
        <w:rPr>
          <w:rFonts w:ascii="Times New Roman" w:hAnsi="Times New Roman"/>
          <w:b w:val="0"/>
          <w:i w:val="0"/>
          <w:sz w:val="18"/>
        </w:rPr>
        <w:t>LASSO(35피처)는 8개 기간 전체에서 LASSO-HAR(3피처)를 넘어서며, 성능 격차는 +0.001(1d)에서 +0.137(120d) 범위에 분포한다. 22d 기준 격차는 +0.068이며, 90d 이상 장기 구간에서 격차가 0.056~0.137로 확대된다.</w:t>
      </w:r>
    </w:p>
    <w:p>
      <w:pPr>
        <w:spacing w:before="0" w:after="20" w:lineRule="auto" w:line="288"/>
        <w:jc w:val="both"/>
      </w:pPr>
      <w:r>
        <w:rPr>
          <w:rFonts w:ascii="Times New Roman" w:hAnsi="Times New Roman"/>
          <w:b w:val="0"/>
          <w:i w:val="0"/>
          <w:sz w:val="18"/>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R2이며,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R2가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R2가 0.782에서 0.795로, 중위 R2가 0.123에서 0.182로 소폭 상승하여, 결측 처리 방식이 성능을 보수적 방향으로 작용하였음을 확인했다.</w:t>
      </w:r>
    </w:p>
    <w:p>
      <w:pPr>
        <w:spacing w:before="0" w:after="20" w:lineRule="auto" w:line="288"/>
        <w:jc w:val="both"/>
      </w:pPr>
      <w:r>
        <w:rPr>
          <w:rFonts w:ascii="Times New Roman" w:hAnsi="Times New Roman"/>
          <w:b w:val="0"/>
          <w:i w:val="0"/>
          <w:sz w:val="18"/>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8"/>
        </w:rPr>
        <w:t>6. 예측 RV 기반 VRP 분석</w:t>
      </w:r>
    </w:p>
    <w:p>
      <w:pPr>
        <w:spacing w:before="0" w:after="120" w:lineRule="auto" w:line="480"/>
        <w:ind w:firstLine="400"/>
        <w:jc w:val="both"/>
      </w:pPr>
      <w:r>
        <w:rPr>
          <w:rFonts w:ascii="Times New Roman" w:hAnsi="Times New Roman"/>
          <w:b w:val="0"/>
          <w:i w:val="0"/>
          <w:sz w:val="22"/>
        </w:rPr>
        <w:t>본 절에서는 WEns의 예측 RV를 활용하여 분산위험프리미엄(VRP)을 도출하고 그 특성을 탐색적으로 분석한다. 구체적으로 VRPi,t(h) = IVt2 − RV̂i,t(h)으로 정의하며, 여기서 IVt2 = (VIXt / 100)2는 예측 시점 t에서 관측 가능한 내재분산 proxy이고, RV̂i,t(h)은 WEns의 예측 RV이다. VRP 분석은 주요 RV 예측 결과에 추가하여 제시하는 탐색적(exploratory) 분석이며, 인과 관계 해석은 이 분석의 범위를 벗어난다.</w:t>
      </w:r>
    </w:p>
    <w:p>
      <w:pPr>
        <w:spacing w:before="0" w:after="120" w:lineRule="auto" w:line="480"/>
        <w:ind w:firstLine="400"/>
        <w:jc w:val="both"/>
      </w:pPr>
      <w:r>
        <w:rPr>
          <w:rFonts w:ascii="Times New Roman" w:hAnsi="Times New Roman"/>
          <w:b w:val="0"/>
          <w:i w:val="0"/>
          <w:sz w:val="22"/>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480"/>
        <w:jc w:val="center"/>
      </w:pPr>
      <w:r>
        <w:rPr>
          <w:rFonts w:ascii="Times New Roman" w:hAnsi="Times New Roman"/>
          <w:b/>
          <w:i w:val="0"/>
          <w:sz w:val="22"/>
        </w:rPr>
        <w:t>Table 13. VRP Summary Statistics by Asset Class (22d, WEns-predicted RV)</w:t>
      </w:r>
    </w:p>
    <w:p>
      <w:pPr>
        <w:spacing w:before="0" w:after="20" w:lineRule="auto" w:line="288"/>
        <w:jc w:val="both"/>
      </w:pPr>
      <w:r>
        <w:rPr>
          <w:rFonts w:ascii="Times New Roman" w:hAnsi="Times New Roman"/>
          <w:b w:val="0"/>
          <w:i w:val="0"/>
          <w:sz w:val="18"/>
        </w:rPr>
        <w:t>(비고: VRP = (VIXt/100)2 − RV̂i,t(22d).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20" w:lineRule="auto" w:line="288"/>
        <w:jc w:val="both"/>
      </w:pPr>
      <w:r>
        <w:rPr>
          <w:rFonts w:ascii="Times New Roman" w:hAnsi="Times New Roman"/>
          <w:b w:val="0"/>
          <w:i w:val="0"/>
          <w:sz w:val="18"/>
        </w:rPr>
        <w:t>1~22거래일 단기 구간에서 VRP의 평균은 주식 자산군을 중심으로 양수를 유지하는데, 이는 시장 참여자들이 단기 변동성 위험에 대해 프리미엄을 지불한다는 기존 문헌56의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0" w:after="20" w:lineRule="auto" w:line="288"/>
        <w:jc w:val="both"/>
      </w:pPr>
      <w:r>
        <w:rPr>
          <w:rFonts w:ascii="Times New Roman" w:hAnsi="Times New Roman"/>
          <w:b w:val="0"/>
          <w:i w:val="0"/>
          <w:sz w:val="18"/>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VIX2를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8"/>
        </w:rPr>
        <w:t>7. 경제적 가치 평가</w:t>
      </w:r>
    </w:p>
    <w:p>
      <w:pPr>
        <w:spacing w:before="0" w:after="120" w:lineRule="auto" w:line="480"/>
        <w:ind w:firstLine="400"/>
        <w:jc w:val="both"/>
      </w:pPr>
      <w:r>
        <w:rPr>
          <w:rFonts w:ascii="Times New Roman" w:hAnsi="Times New Roman"/>
          <w:b w:val="0"/>
          <w:i w:val="0"/>
          <w:sz w:val="22"/>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개선(ΔR2 = +0.163)은 위기 국면에서의 전략 성과 개선으로 이어질 가능성을 보여준다.</w:t>
      </w:r>
    </w:p>
    <w:p>
      <w:pPr>
        <w:spacing w:before="0" w:after="120" w:lineRule="auto" w:line="480"/>
        <w:ind w:firstLine="400"/>
        <w:jc w:val="both"/>
      </w:pPr>
      <w:r>
        <w:rPr>
          <w:rFonts w:ascii="Times New Roman" w:hAnsi="Times New Roman"/>
          <w:b w:val="0"/>
          <w:i w:val="0"/>
          <w:sz w:val="22"/>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예측 기간에서 예측 정확도 개선이 경제적 가치와 가장 강하게 연결되는지를 파악한다.</w:t>
      </w:r>
    </w:p>
    <w:p>
      <w:r>
        <w:br w:type="page"/>
      </w:r>
    </w:p>
    <w:p>
      <w:pPr>
        <w:spacing w:before="480" w:after="240" w:lineRule="auto" w:line="432"/>
        <w:jc w:val="center"/>
      </w:pPr>
      <w:r>
        <w:rPr>
          <w:rFonts w:ascii="Times New Roman" w:hAnsi="Times New Roman"/>
          <w:b/>
          <w:i w:val="0"/>
          <w:sz w:val="32"/>
        </w:rPr>
        <w:t>Ⅴ. 결론 및 향후 연구</w:t>
      </w:r>
    </w:p>
    <w:p>
      <w:pPr>
        <w:spacing w:before="240" w:after="120" w:lineRule="auto" w:line="360"/>
        <w:jc w:val="left"/>
      </w:pPr>
      <w:r>
        <w:rPr>
          <w:rFonts w:ascii="Times New Roman" w:hAnsi="Times New Roman"/>
          <w:b/>
          <w:i w:val="0"/>
          <w:sz w:val="28"/>
        </w:rPr>
        <w:t>1. 연구 결과 요약</w:t>
      </w:r>
    </w:p>
    <w:p>
      <w:pPr>
        <w:spacing w:before="0" w:after="120" w:lineRule="auto" w:line="480"/>
        <w:ind w:firstLine="400"/>
        <w:jc w:val="both"/>
      </w:pPr>
      <w:r>
        <w:rPr>
          <w:rFonts w:ascii="Times New Roman" w:hAnsi="Times New Roman"/>
          <w:b w:val="0"/>
          <w:i w:val="0"/>
          <w:sz w:val="22"/>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480"/>
        <w:ind w:firstLine="400"/>
        <w:jc w:val="both"/>
      </w:pPr>
      <w:r>
        <w:rPr>
          <w:rFonts w:ascii="Times New Roman" w:hAnsi="Times New Roman"/>
          <w:b w:val="0"/>
          <w:i w:val="0"/>
          <w:sz w:val="22"/>
        </w:rPr>
        <w:t>실증 결과, 1~252거래일 전 구간에서 Ridge 또는 WEns가 최상위권(1~2위)을 형성했으며, 세부 기간별 순위는 그림 3 히트맵을 참조한다. 이는 특정 예측 기간에만 유효한 기법이 아니라, Pooled R2 기준으로 단기부터 연간에 이르기까지 일관되게 상위권을 유지하는 구조임을 뜻한다. 다만 90거래일 이상 장기 기간에서 R2_Within(자산 내 시계열 예측력)이 음수로 전환되므로, 장기 Pooled R2의 개선은 자산군 간 횡단면 수준 차이 설명력에서 주로 비롯됨을 유의해야 한다. 특히 22일 예측에서 WEns는 Ridge와 XGBoost를 결합해 두 모델 단독 성능보다 높은 Pooled R2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R2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480"/>
        <w:ind w:firstLine="400"/>
        <w:jc w:val="both"/>
      </w:pPr>
      <w:r>
        <w:rPr>
          <w:rFonts w:ascii="Times New Roman" w:hAnsi="Times New Roman"/>
          <w:b w:val="0"/>
          <w:i w:val="0"/>
          <w:sz w:val="22"/>
        </w:rPr>
        <w:t>주요 정량 결과를 요약하면 다음과 같다. 첫째, WEns는 22d 기준 Pooled R2 0.8041로 8개 예측 기간 중 5개에서 최고 성능을 기록했다. 둘째, 1~22d에서는 HAR+Range(8피처) 조합이 Pooled R2 0.7899를 달성하며 전체 피처(0.8026) 대비 0.013p 차이에 그쳤고, 60d 이상에서는 IV_VRP_ma22가 피처 중요도 Top-5에 진입하여 장기 예측에서 IV 정보의 기여가 커짐을 확인했다. 셋째, WEns는 HAR-3·NaiveRV·GARCH(1,1)·IV-only 대비 22d Pooled R2를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8"/>
        </w:rPr>
        <w:t>2. 학문적·실무적 시사점</w:t>
      </w:r>
    </w:p>
    <w:p>
      <w:pPr>
        <w:spacing w:before="0" w:after="120" w:lineRule="auto" w:line="480"/>
        <w:ind w:firstLine="400"/>
        <w:jc w:val="both"/>
      </w:pPr>
      <w:r>
        <w:rPr>
          <w:rFonts w:ascii="Times New Roman" w:hAnsi="Times New Roman"/>
          <w:b w:val="0"/>
          <w:i w:val="0"/>
          <w:sz w:val="22"/>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480"/>
        <w:ind w:firstLine="400"/>
        <w:jc w:val="both"/>
      </w:pPr>
      <w:r>
        <w:rPr>
          <w:rFonts w:ascii="Times New Roman" w:hAnsi="Times New Roman"/>
          <w:b w:val="0"/>
          <w:i w:val="0"/>
          <w:sz w:val="22"/>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뚜렷하게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480"/>
        <w:ind w:firstLine="400"/>
        <w:jc w:val="both"/>
      </w:pPr>
      <w:r>
        <w:rPr>
          <w:rFonts w:ascii="Times New Roman" w:hAnsi="Times New Roman"/>
          <w:b w:val="0"/>
          <w:i w:val="0"/>
          <w:sz w:val="22"/>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ΔR2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8"/>
        </w:rPr>
        <w:t>3. 연구 한계</w:t>
      </w:r>
    </w:p>
    <w:p>
      <w:pPr>
        <w:spacing w:before="0" w:after="120" w:lineRule="auto" w:line="480"/>
        <w:ind w:firstLine="400"/>
        <w:jc w:val="both"/>
      </w:pPr>
      <w:r>
        <w:rPr>
          <w:rFonts w:ascii="Times New Roman" w:hAnsi="Times New Roman"/>
          <w:b w:val="0"/>
          <w:i w:val="0"/>
          <w:sz w:val="22"/>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R2_Within이 음수로 전환됨에 따라, 해당 구간의 높은 Pooled R2는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이를 보완하기 위해 5개 시드(0, 1, 2, 3, 42)를 사용한 추가 실험을 수행한 결과, 트리 계열 모형은 시드에 매우 안정적이었다(XGBoost std=0.0009, RF std=0.0005, LightGBM std=0.0010). MLP는 Pooled R2 범위 0.530~0.584(std=0.024)로 시드에 따라 변동이 있으나, 최선 시드에서도 트리 모형(0.75 수준) 대비 열위가 유지되어 최하위 결론은 시드에 강건하다. BiLSTM-A 또한 별도 5-시드 실험에서 Pooled R2 0.514~0.575 범위를 보이며, 신경망 모형이 트리 계열 대비 일관되게 열위임을 확인했다. 여덟째, 신경망 모형(MLP, BiLSTM-A)의 하이퍼파라미터 탐색 범위가 트리·선형 모형 대비 제한적이었다. MLP의 경우 원본 탐색(6개 조합)에서 Pooled R2 0.549를 기록했으나, 탐색 공간을 24개 조합으로 확장하고 max_iter를 1000으로 늘렸을 때 0.625로 0.075p 향상됐다. 이는 탐색 범위 제약이 신경망 성능을 일부 제한했음을 의미한다. 그러나 확장 탐색 후에도 MLP(0.625)는 Ridge(0.797)·트리 모형(0.75 수준) 대비 열위로, 최하위 결론 자체는 유지된다.</w:t>
      </w:r>
    </w:p>
    <w:p>
      <w:pPr>
        <w:spacing w:before="240" w:after="120" w:lineRule="auto" w:line="360"/>
        <w:jc w:val="left"/>
      </w:pPr>
      <w:r>
        <w:rPr>
          <w:rFonts w:ascii="Times New Roman" w:hAnsi="Times New Roman"/>
          <w:b/>
          <w:i w:val="0"/>
          <w:sz w:val="28"/>
        </w:rPr>
        <w:t>4. 향후 연구 방향</w:t>
      </w:r>
    </w:p>
    <w:p>
      <w:pPr>
        <w:spacing w:before="0" w:after="120" w:lineRule="auto" w:line="480"/>
        <w:ind w:firstLine="400"/>
        <w:jc w:val="both"/>
      </w:pPr>
      <w:r>
        <w:rPr>
          <w:rFonts w:ascii="Times New Roman" w:hAnsi="Times New Roman"/>
          <w:b w:val="0"/>
          <w:i w:val="0"/>
          <w:sz w:val="22"/>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48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Xiu, D. 2020. </w:t>
      </w:r>
      <w:r>
        <w:rPr>
          <w:rFonts w:ascii="Times New Roman" w:hAnsi="Times New Roman"/>
          <w:b w:val="0"/>
          <w:i w:val="0"/>
          <w:sz w:val="20"/>
        </w:rPr>
        <w:t xml:space="preserve">Empirical asset pricing via machine learning. </w:t>
      </w:r>
      <w:r>
        <w:rPr>
          <w:rFonts w:ascii="Times New Roman" w:hAnsi="Times New Roman"/>
          <w:b w:val="0"/>
          <w:i/>
          <w:sz w:val="20"/>
        </w:rPr>
        <w:t>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Knaus, S. D.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Econometric Reviews</w:t>
      </w:r>
      <w:r>
        <w:rPr>
          <w:rFonts w:ascii="Times New Roman" w:hAnsi="Times New Roman"/>
          <w:b w:val="0"/>
          <w:i w:val="0"/>
          <w:sz w:val="20"/>
        </w:rPr>
        <w:t>, 35(8–10): 1485–1521.</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22(2): 492–531.</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Wu, L. 2009. </w:t>
      </w:r>
      <w:r>
        <w:rPr>
          <w:rFonts w:ascii="Times New Roman" w:hAnsi="Times New Roman"/>
          <w:b w:val="0"/>
          <w:i w:val="0"/>
          <w:sz w:val="20"/>
        </w:rPr>
        <w:t xml:space="preserve">Variance risk premiums. </w:t>
      </w:r>
      <w:r>
        <w:rPr>
          <w:rFonts w:ascii="Times New Roman" w:hAnsi="Times New Roman"/>
          <w:b w:val="0"/>
          <w:i/>
          <w:sz w:val="20"/>
        </w:rPr>
        <w:t>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Zhou, H. 2009. </w:t>
      </w:r>
      <w:r>
        <w:rPr>
          <w:rFonts w:ascii="Times New Roman" w:hAnsi="Times New Roman"/>
          <w:b w:val="0"/>
          <w:i w:val="0"/>
          <w:sz w:val="20"/>
        </w:rPr>
        <w:t xml:space="preserve">Expected stock returns and variance risk premia. </w:t>
      </w:r>
      <w:r>
        <w:rPr>
          <w:rFonts w:ascii="Times New Roman" w:hAnsi="Times New Roman"/>
          <w:b w:val="0"/>
          <w:i/>
          <w:sz w:val="20"/>
        </w:rPr>
        <w:t>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Journal of Econometrics</w:t>
      </w:r>
      <w:r>
        <w:rPr>
          <w:rFonts w:ascii="Times New Roman" w:hAnsi="Times New Roman"/>
          <w:b w:val="0"/>
          <w:i w:val="0"/>
          <w:sz w:val="20"/>
        </w:rPr>
        <w:t>, 183(2): 181–192.</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Yaron, A. 2011. </w:t>
      </w:r>
      <w:r>
        <w:rPr>
          <w:rFonts w:ascii="Times New Roman" w:hAnsi="Times New Roman"/>
          <w:b w:val="0"/>
          <w:i w:val="0"/>
          <w:sz w:val="20"/>
        </w:rPr>
        <w:t xml:space="preserve">What's vol got to do with it. </w:t>
      </w:r>
      <w:r>
        <w:rPr>
          <w:rFonts w:ascii="Times New Roman" w:hAnsi="Times New Roman"/>
          <w:b w:val="0"/>
          <w:i/>
          <w:sz w:val="20"/>
        </w:rPr>
        <w:t>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S., Chen, S. X., Lu, L. 2021. </w:t>
      </w:r>
      <w:r>
        <w:rPr>
          <w:rFonts w:ascii="Times New Roman" w:hAnsi="Times New Roman"/>
          <w:b w:val="0"/>
          <w:i w:val="0"/>
          <w:sz w:val="20"/>
        </w:rPr>
        <w:t xml:space="preserve">Inference for variance risk premium. </w:t>
      </w:r>
      <w:r>
        <w:rPr>
          <w:rFonts w:ascii="Times New Roman" w:hAnsi="Times New Roman"/>
          <w:b w:val="0"/>
          <w:i/>
          <w:sz w:val="20"/>
        </w:rPr>
        <w:t>China Finance Review International</w:t>
      </w:r>
      <w:r>
        <w:rPr>
          <w:rFonts w:ascii="Times New Roman" w:hAnsi="Times New Roman"/>
          <w:b w:val="0"/>
          <w:i w:val="0"/>
          <w:sz w:val="20"/>
        </w:rPr>
        <w:t>, 11(1): 26–49.</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Zhang, Z. 2020. </w:t>
      </w:r>
      <w:r>
        <w:rPr>
          <w:rFonts w:ascii="Times New Roman" w:hAnsi="Times New Roman"/>
          <w:b w:val="0"/>
          <w:i w:val="0"/>
          <w:sz w:val="20"/>
        </w:rPr>
        <w:t xml:space="preserve">Using machine learning to predict realized variance. </w:t>
      </w:r>
      <w:r>
        <w:rPr>
          <w:rFonts w:ascii="Times New Roman" w:hAnsi="Times New Roman"/>
          <w:b w:val="0"/>
          <w:i/>
          <w:sz w:val="20"/>
        </w:rPr>
        <w:t>Journal of Investment Management</w:t>
      </w:r>
      <w:r>
        <w:rPr>
          <w:rFonts w:ascii="Times New Roman" w:hAnsi="Times New Roman"/>
          <w:b w:val="0"/>
          <w:i w:val="0"/>
          <w:sz w:val="20"/>
        </w:rPr>
        <w:t>, 18(2): 1–16.</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Sugihara, Y. 2018. </w:t>
      </w:r>
      <w:r>
        <w:rPr>
          <w:rFonts w:ascii="Times New Roman" w:hAnsi="Times New Roman"/>
          <w:b w:val="0"/>
          <w:i w:val="0"/>
          <w:sz w:val="20"/>
        </w:rPr>
        <w:t xml:space="preserve">Cross-stock market spillovers through variance risk premiums and equity flows. </w:t>
      </w:r>
      <w:r>
        <w:rPr>
          <w:rFonts w:ascii="Times New Roman" w:hAnsi="Times New Roman"/>
          <w:b w:val="0"/>
          <w:i/>
          <w:sz w:val="20"/>
        </w:rPr>
        <w:t>BIS Working Papers</w:t>
      </w:r>
      <w:r>
        <w:rPr>
          <w:rFonts w:ascii="Times New Roman" w:hAnsi="Times New Roman"/>
          <w:b w:val="0"/>
          <w:i w:val="0"/>
          <w:sz w:val="20"/>
        </w:rPr>
        <w:t>, No. 702.</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H., Mauad, R. B. 2017. </w:t>
      </w:r>
      <w:r>
        <w:rPr>
          <w:rFonts w:ascii="Times New Roman" w:hAnsi="Times New Roman"/>
          <w:b w:val="0"/>
          <w:i w:val="0"/>
          <w:sz w:val="20"/>
        </w:rPr>
        <w:t xml:space="preserve">Volatility risk premia and future commodities returns. </w:t>
      </w:r>
      <w:r>
        <w:rPr>
          <w:rFonts w:ascii="Times New Roman" w:hAnsi="Times New Roman"/>
          <w:b w:val="0"/>
          <w:i/>
          <w:sz w:val="20"/>
        </w:rPr>
        <w:t>BIS Working Papers</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J., Schoutens, W. 2022. </w:t>
      </w:r>
      <w:r>
        <w:rPr>
          <w:rFonts w:ascii="Times New Roman" w:hAnsi="Times New Roman"/>
          <w:b w:val="0"/>
          <w:i w:val="0"/>
          <w:sz w:val="20"/>
        </w:rPr>
        <w:t xml:space="preserve">Trading the FX volatility risk premium with machine learning and alternative data. </w:t>
      </w:r>
      <w:r>
        <w:rPr>
          <w:rFonts w:ascii="Times New Roman" w:hAnsi="Times New Roman"/>
          <w:b w:val="0"/>
          <w:i/>
          <w:sz w:val="20"/>
        </w:rPr>
        <w:t>Journal of Finance and Data Science. doi:</w:t>
      </w:r>
      <w:r>
        <w:rPr>
          <w:rFonts w:ascii="Times New Roman" w:hAnsi="Times New Roman"/>
          <w:b w:val="0"/>
          <w:i w:val="0"/>
          <w:sz w:val="20"/>
        </w:rPr>
        <w:t>10.1016/j.jfds.2022.07.001.</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L.,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Annual Meeting.</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and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pPr>
        <w:spacing w:before="240" w:after="120" w:lineRule="auto" w:line="360"/>
        <w:jc w:val="left"/>
      </w:pPr>
      <w:r>
        <w:rPr>
          <w:rFonts w:ascii="Times New Roman" w:hAnsi="Times New Roman"/>
          <w:b/>
          <w:i w:val="0"/>
          <w:sz w:val="28"/>
        </w:rPr>
        <w:t>부록 A. 피처 목록 및 정의 (35개 피처 전체)</w:t>
      </w:r>
    </w:p>
    <w:p>
      <w:pPr>
        <w:spacing w:before="60" w:after="60" w:lineRule="auto" w:line="480"/>
        <w:jc w:val="center"/>
      </w:pPr>
      <w:r>
        <w:rPr>
          <w:rFonts w:ascii="Times New Roman" w:hAnsi="Times New Roman"/>
          <w:b/>
          <w:i w:val="0"/>
          <w:sz w:val="22"/>
        </w:rPr>
        <w:t>Table A-1. Feature List and Definition (35 Features)</w:t>
      </w:r>
    </w:p>
    <w:p>
      <w:pPr>
        <w:spacing w:before="0" w:after="20" w:lineRule="auto" w:line="288"/>
        <w:jc w:val="both"/>
      </w:pPr>
      <w:r>
        <w:rPr>
          <w:rFonts w:ascii="Times New Roman" w:hAnsi="Times New Roman"/>
          <w:b w:val="0"/>
          <w:i w:val="0"/>
          <w:sz w:val="18"/>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20" w:lineRule="auto" w:line="288"/>
        <w:jc w:val="both"/>
      </w:pPr>
      <w:r>
        <w:rPr>
          <w:rFonts w:ascii="Times New Roman" w:hAnsi="Times New Roman"/>
          <w:b w:val="0"/>
          <w:i w:val="0"/>
          <w:sz w:val="18"/>
        </w:rPr>
        <w:t>(비고 2: 초기 설계에 포함되었던 GARCH_Daily, GARCH_Weekly 2개 피처는 Ridge 내부 검증 왜곡 문제로 최종 피처세트에서 제외하였다.)</w:t>
      </w:r>
    </w:p>
    <w:p>
      <w:pPr>
        <w:spacing w:before="240" w:after="120" w:lineRule="auto" w:line="360"/>
        <w:jc w:val="left"/>
      </w:pPr>
      <w:r>
        <w:rPr>
          <w:rFonts w:ascii="Times New Roman" w:hAnsi="Times New Roman"/>
          <w:b/>
          <w:i w:val="0"/>
          <w:sz w:val="28"/>
        </w:rPr>
        <w:t>부록 B. 모형별 하이퍼파라미터 탐색 범위 (확장)</w:t>
      </w:r>
    </w:p>
    <w:p>
      <w:pPr>
        <w:spacing w:before="60" w:after="60" w:lineRule="auto" w:line="480"/>
        <w:jc w:val="center"/>
      </w:pPr>
      <w:r>
        <w:rPr>
          <w:rFonts w:ascii="Times New Roman" w:hAnsi="Times New Roman"/>
          <w:b/>
          <w:i w:val="0"/>
          <w:sz w:val="22"/>
        </w:rPr>
        <w:t>Table B-1. Hyperparameter Search Space (Extended)</w:t>
      </w:r>
    </w:p>
    <w:p>
      <w:pPr>
        <w:spacing w:before="0" w:after="20" w:lineRule="auto" w:line="288"/>
        <w:jc w:val="both"/>
      </w:pPr>
      <w:r>
        <w:rPr>
          <w:rFonts w:ascii="Times New Roman" w:hAnsi="Times New Roman"/>
          <w:b w:val="0"/>
          <w:i w:val="0"/>
          <w:sz w:val="18"/>
        </w:rPr>
        <w:t>부록 C. 추가 성능표 (기간별 피처 중요도 합의, DM 검정 결과)</w:t>
      </w:r>
    </w:p>
    <w:p>
      <w:pPr>
        <w:spacing w:before="60" w:after="60" w:lineRule="auto" w:line="480"/>
        <w:jc w:val="center"/>
      </w:pPr>
      <w:r>
        <w:rPr>
          <w:rFonts w:ascii="Times New Roman" w:hAnsi="Times New Roman"/>
          <w:b/>
          <w:i w:val="0"/>
          <w:sz w:val="22"/>
        </w:rPr>
        <w:t>Table C-1. Feature Importance Consensus by Horizon (Top 10, Average Rank Score)</w:t>
      </w:r>
    </w:p>
    <w:p>
      <w:pPr>
        <w:spacing w:before="60" w:after="60" w:lineRule="auto" w:line="480"/>
        <w:jc w:val="center"/>
      </w:pPr>
      <w:r>
        <w:rPr>
          <w:rFonts w:ascii="Times New Roman" w:hAnsi="Times New Roman"/>
          <w:b/>
          <w:i w:val="0"/>
          <w:sz w:val="22"/>
        </w:rPr>
        <w:t>Table C-2. Diebold-Mariano Test Results: WEns vs. Baselines (BH Multiple Comparison Adjustment)</w:t>
      </w:r>
    </w:p>
    <w:p>
      <w:pPr>
        <w:spacing w:before="0" w:after="20" w:lineRule="auto" w:line="288"/>
        <w:jc w:val="both"/>
      </w:pPr>
      <w:r>
        <w:rPr>
          <w:rFonts w:ascii="Times New Roman" w:hAnsi="Times New Roman"/>
          <w:b w:val="0"/>
          <w:i w:val="0"/>
          <w:sz w:val="18"/>
        </w:rPr>
        <w:t>부록 D. 데이터 전처리 및 학습 알고리즘 의사코드</w:t>
      </w:r>
    </w:p>
    <w:p>
      <w:pPr>
        <w:spacing w:before="0" w:after="20" w:lineRule="auto" w:line="288"/>
        <w:jc w:val="both"/>
      </w:pPr>
      <w:r>
        <w:rPr>
          <w:rFonts w:ascii="Times New Roman" w:hAnsi="Times New Roman"/>
          <w:b w:val="0"/>
          <w:i w:val="0"/>
          <w:sz w:val="18"/>
        </w:rPr>
        <w:t>알고리즘 D-1. 데이터 전처리 및 피처 생성</w:t>
      </w:r>
    </w:p>
    <w:p>
      <w:pPr>
        <w:spacing w:before="0" w:after="20" w:lineRule="auto" w:line="288"/>
        <w:jc w:val="both"/>
      </w:pPr>
      <w:r>
        <w:rPr>
          <w:rFonts w:ascii="Times New Roman" w:hAnsi="Times New Roman"/>
          <w:b w:val="0"/>
          <w:i w:val="0"/>
          <w:sz w:val="18"/>
        </w:rPr>
        <w:t>입력: OHLCV 일별 데이터 (11 ETFs, 2010-2024), VIX/VIX3M/VIX9D</w:t>
      </w:r>
    </w:p>
    <w:p>
      <w:pPr>
        <w:spacing w:before="0" w:after="20" w:lineRule="auto" w:line="288"/>
        <w:jc w:val="both"/>
      </w:pPr>
      <w:r>
        <w:rPr>
          <w:rFonts w:ascii="Times New Roman" w:hAnsi="Times New Roman"/>
          <w:b w:val="0"/>
          <w:i w:val="0"/>
          <w:sz w:val="18"/>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480"/>
        <w:jc w:val="both"/>
      </w:pPr>
      <w:r>
        <w:rPr>
          <w:rFonts w:ascii="Times New Roman" w:hAnsi="Times New Roman"/>
          <w:b w:val="0"/>
          <w:i w:val="0"/>
          <w:sz w:val="22"/>
        </w:rPr>
        <w:t>- LogRV_lag{1,5,10,22}, LogRV_Std{5,22}, RV_Mom{5,22}</w:t>
      </w:r>
    </w:p>
    <w:p>
      <w:pPr>
        <w:spacing w:before="0" w:after="120" w:lineRule="auto" w:line="480"/>
        <w:jc w:val="both"/>
      </w:pPr>
      <w:r>
        <w:rPr>
          <w:rFonts w:ascii="Times New Roman" w:hAnsi="Times New Roman"/>
          <w:b w:val="0"/>
          <w:i w:val="0"/>
          <w:sz w:val="22"/>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480"/>
        <w:jc w:val="both"/>
      </w:pPr>
      <w:r>
        <w:rPr>
          <w:rFonts w:ascii="Times New Roman" w:hAnsi="Times New Roman"/>
          <w:b w:val="0"/>
          <w:i w:val="0"/>
          <w:sz w:val="22"/>
        </w:rPr>
        <w:t>- Parkinson5,22, GarmanKlass_22, RogersSatchell_22</w:t>
      </w:r>
    </w:p>
    <w:p>
      <w:pPr>
        <w:spacing w:before="0" w:after="120" w:lineRule="auto" w:line="480"/>
        <w:jc w:val="both"/>
      </w:pPr>
      <w:r>
        <w:rPr>
          <w:rFonts w:ascii="Times New Roman" w:hAnsi="Times New Roman"/>
          <w:b w:val="0"/>
          <w:i w:val="0"/>
          <w:sz w:val="22"/>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480"/>
        <w:jc w:val="both"/>
      </w:pPr>
      <w:r>
        <w:rPr>
          <w:rFonts w:ascii="Times New Roman" w:hAnsi="Times New Roman"/>
          <w:b w:val="0"/>
          <w:i w:val="0"/>
          <w:sz w:val="22"/>
        </w:rPr>
        <w:t>- IV_VIX, IV_VIX_chg, IV_VIX_ma5, IV_VIX_std5</w:t>
      </w:r>
    </w:p>
    <w:p>
      <w:pPr>
        <w:spacing w:before="0" w:after="120" w:lineRule="auto" w:line="480"/>
        <w:jc w:val="both"/>
      </w:pPr>
      <w:r>
        <w:rPr>
          <w:rFonts w:ascii="Times New Roman" w:hAnsi="Times New Roman"/>
          <w:b w:val="0"/>
          <w:i w:val="0"/>
          <w:sz w:val="22"/>
        </w:rPr>
        <w:t>- IV_VIX3M, IV_VIX_TermSlope, IV_VIX9D, IV_VIX_ShortSlope</w:t>
      </w:r>
    </w:p>
    <w:p>
      <w:pPr>
        <w:spacing w:before="0" w:after="120" w:lineRule="auto" w:line="480"/>
        <w:jc w:val="both"/>
      </w:pPr>
      <w:r>
        <w:rPr>
          <w:rFonts w:ascii="Times New Roman" w:hAnsi="Times New Roman"/>
          <w:b w:val="0"/>
          <w:i w:val="0"/>
          <w:sz w:val="22"/>
        </w:rPr>
        <w:t>- IV_VRP (= (VIX/100)2 -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480"/>
        <w:jc w:val="both"/>
      </w:pPr>
      <w:r>
        <w:rPr>
          <w:rFonts w:ascii="Times New Roman" w:hAnsi="Times New Roman"/>
          <w:b w:val="0"/>
          <w:i w:val="0"/>
          <w:sz w:val="22"/>
        </w:rPr>
        <w:t>- AltVol_Amihud, AltVol_Vol_Ratio, AltVol_PV_Corr</w:t>
      </w:r>
    </w:p>
    <w:p>
      <w:pPr>
        <w:spacing w:before="0" w:after="120" w:lineRule="auto" w:line="480"/>
        <w:jc w:val="both"/>
      </w:pPr>
      <w:r>
        <w:rPr>
          <w:rFonts w:ascii="Times New Roman" w:hAnsi="Times New Roman"/>
          <w:b w:val="0"/>
          <w:i w:val="0"/>
          <w:sz w:val="22"/>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yi,t(h) = 연율화(mean(r2t+1, ..., r2t+h))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480"/>
        <w:jc w:val="both"/>
      </w:pPr>
      <w:r>
        <w:rPr>
          <w:rFonts w:ascii="Times New Roman" w:hAnsi="Times New Roman"/>
          <w:b w:val="0"/>
          <w:i w:val="0"/>
          <w:sz w:val="22"/>
        </w:rPr>
        <w:t>알고리즘 D-2. WEns 학습 및 예측 절차</w:t>
      </w:r>
    </w:p>
    <w:p>
      <w:pPr>
        <w:spacing w:before="0" w:after="120" w:lineRule="auto" w:line="480"/>
        <w:jc w:val="both"/>
      </w:pPr>
      <w:r>
        <w:rPr>
          <w:rFonts w:ascii="Times New Roman" w:hAnsi="Times New Roman"/>
          <w:b w:val="0"/>
          <w:i w:val="0"/>
          <w:sz w:val="22"/>
        </w:rPr>
        <w:t>입력: 피처 행렬 X, 타깃 y, 예측 기간 h, 자산군 그룹 G</w:t>
      </w:r>
    </w:p>
    <w:p>
      <w:pPr>
        <w:spacing w:before="0" w:after="120" w:lineRule="auto" w:line="480"/>
        <w:jc w:val="both"/>
      </w:pPr>
      <w:r>
        <w:rPr>
          <w:rFonts w:ascii="Times New Roman" w:hAnsi="Times New Roman"/>
          <w:b w:val="0"/>
          <w:i w:val="0"/>
          <w:sz w:val="22"/>
        </w:rPr>
        <w:t>출력: 테스트 구간 예측값 y</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480"/>
        <w:jc w:val="both"/>
      </w:pPr>
      <w:r>
        <w:rPr>
          <w:rFonts w:ascii="Times New Roman" w:hAnsi="Times New Roman"/>
          <w:b w:val="0"/>
          <w:i w:val="0"/>
          <w:sz w:val="22"/>
        </w:rPr>
        <w:t>- train_end = 전체 날짜의 80% 시점</w:t>
      </w:r>
    </w:p>
    <w:p>
      <w:pPr>
        <w:spacing w:before="0" w:after="120" w:lineRule="auto" w:line="480"/>
        <w:jc w:val="both"/>
      </w:pPr>
      <w:r>
        <w:rPr>
          <w:rFonts w:ascii="Times New Roman" w:hAnsi="Times New Roman"/>
          <w:b w:val="0"/>
          <w:i w:val="0"/>
          <w:sz w:val="22"/>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480"/>
        <w:jc w:val="both"/>
      </w:pPr>
      <w:r>
        <w:rPr>
          <w:rFonts w:ascii="Times New Roman" w:hAnsi="Times New Roman"/>
          <w:b w:val="0"/>
          <w:i w:val="0"/>
          <w:sz w:val="22"/>
        </w:rPr>
        <w:t>a. X_train_g, y_train_g 추출 (train_end까지)</w:t>
      </w:r>
    </w:p>
    <w:p>
      <w:pPr>
        <w:spacing w:before="0" w:after="120" w:lineRule="auto" w:line="480"/>
        <w:jc w:val="both"/>
      </w:pPr>
      <w:r>
        <w:rPr>
          <w:rFonts w:ascii="Times New Roman" w:hAnsi="Times New Roman"/>
          <w:b w:val="0"/>
          <w:i w:val="0"/>
          <w:sz w:val="22"/>
        </w:rPr>
        <w:t>b. 내부 검증셋(inner holdout) 분할 (train_g의 80/20, purge gap h 적용)</w:t>
      </w:r>
    </w:p>
    <w:p>
      <w:pPr>
        <w:spacing w:before="0" w:after="120" w:lineRule="auto" w:line="480"/>
        <w:jc w:val="both"/>
      </w:pPr>
      <w:r>
        <w:rPr>
          <w:rFonts w:ascii="Times New Roman" w:hAnsi="Times New Roman"/>
          <w:b w:val="0"/>
          <w:i w:val="0"/>
          <w:sz w:val="22"/>
        </w:rPr>
        <w:t>c. Ridge 하이퍼파라미터 탐색 (α grid, 내부 검증셋 R2 기준)</w:t>
      </w:r>
    </w:p>
    <w:p>
      <w:pPr>
        <w:spacing w:before="0" w:after="120" w:lineRule="auto" w:line="480"/>
        <w:jc w:val="both"/>
      </w:pPr>
      <w:r>
        <w:rPr>
          <w:rFonts w:ascii="Times New Roman" w:hAnsi="Times New Roman"/>
          <w:b w:val="0"/>
          <w:i w:val="0"/>
          <w:sz w:val="22"/>
        </w:rPr>
        <w:t>d. XGBoost 하이퍼파라미터 탐색 (grid search, 내부 검증셋 R2 기준)</w:t>
      </w:r>
    </w:p>
    <w:p>
      <w:pPr>
        <w:spacing w:before="0" w:after="120" w:lineRule="auto" w:line="480"/>
        <w:jc w:val="both"/>
      </w:pPr>
      <w:r>
        <w:rPr>
          <w:rFonts w:ascii="Times New Roman" w:hAnsi="Times New Roman"/>
          <w:b w:val="0"/>
          <w:i w:val="0"/>
          <w:sz w:val="22"/>
        </w:rPr>
        <w:t>e. WEns 가중치 탐색: pw ∈ {0.4,...,0.9}에서 내부 검증셋 R2 최대화</w:t>
      </w:r>
    </w:p>
    <w:p>
      <w:pPr>
        <w:spacing w:before="0" w:after="120" w:lineRule="auto" w:line="480"/>
        <w:jc w:val="both"/>
      </w:pPr>
      <w:r>
        <w:rPr>
          <w:rFonts w:ascii="Times New Roman" w:hAnsi="Times New Roman"/>
          <w:b w:val="0"/>
          <w:i w:val="0"/>
          <w:sz w:val="22"/>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480"/>
        <w:jc w:val="both"/>
      </w:pPr>
      <w:r>
        <w:rPr>
          <w:rFonts w:ascii="Times New Roman" w:hAnsi="Times New Roman"/>
          <w:b w:val="0"/>
          <w:i w:val="0"/>
          <w:sz w:val="22"/>
        </w:rPr>
        <w:t>- y_hat_Ridge = Ridge.predict(X_test_g)</w:t>
      </w:r>
    </w:p>
    <w:p>
      <w:pPr>
        <w:spacing w:before="0" w:after="120" w:lineRule="auto" w:line="480"/>
        <w:jc w:val="both"/>
      </w:pPr>
      <w:r>
        <w:rPr>
          <w:rFonts w:ascii="Times New Roman" w:hAnsi="Times New Roman"/>
          <w:b w:val="0"/>
          <w:i w:val="0"/>
          <w:sz w:val="22"/>
        </w:rPr>
        <w:t>- y_hat_XGB = XGBoost.predict(X_test_g)</w:t>
      </w:r>
    </w:p>
    <w:p>
      <w:pPr>
        <w:spacing w:before="0" w:after="120" w:lineRule="auto" w:line="480"/>
        <w:jc w:val="both"/>
      </w:pPr>
      <w:r>
        <w:rPr>
          <w:rFonts w:ascii="Times New Roman" w:hAnsi="Times New Roman"/>
          <w:b w:val="0"/>
          <w:i w:val="0"/>
          <w:sz w:val="22"/>
        </w:rPr>
        <w:t>- y_hat_WEns = pw * y_hat_Ridge + (1-pw) * y_hat_XGB</w:t>
      </w:r>
    </w:p>
    <w:p>
      <w:pPr>
        <w:spacing w:before="40" w:after="40" w:lineRule="auto" w:line="312"/>
        <w:ind w:hanging="400" w:left="400"/>
        <w:jc w:val="both"/>
      </w:pPr>
      <w:r>
        <w:rPr>
          <w:rFonts w:ascii="Times New Roman" w:hAnsi="Times New Roman"/>
          <w:b w:val="0"/>
          <w:i w:val="0"/>
          <w:sz w:val="20"/>
        </w:rPr>
        <w:t>4. Pooled R2, Median R2,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pPr>
        <w:spacing w:before="240" w:after="120" w:lineRule="auto" w:line="360"/>
        <w:jc w:val="left"/>
      </w:pPr>
      <w:r>
        <w:rPr>
          <w:rFonts w:ascii="Times New Roman" w:hAnsi="Times New Roman"/>
          <w:b/>
          <w:i w:val="0"/>
          <w:sz w:val="28"/>
        </w:rPr>
        <w:t>부록 E. ETF별 기초 통계량 (2010~2024)</w:t>
      </w:r>
    </w:p>
    <w:p>
      <w:pPr>
        <w:spacing w:before="60" w:after="60" w:lineRule="auto" w:line="480"/>
        <w:jc w:val="center"/>
      </w:pPr>
      <w:r>
        <w:rPr>
          <w:rFonts w:ascii="Times New Roman" w:hAnsi="Times New Roman"/>
          <w:b/>
          <w:i w:val="0"/>
          <w:sz w:val="22"/>
        </w:rPr>
        <w:t>Table E-1. Descriptive Statistics by ETF (Daily Log-Return and 22d Annualized RV)</w:t>
      </w:r>
    </w:p>
    <w:p>
      <w:pPr>
        <w:spacing w:before="0" w:after="20" w:lineRule="auto" w:line="288"/>
        <w:jc w:val="both"/>
      </w:pPr>
      <w:r>
        <w:rPr>
          <w:rFonts w:ascii="Times New Roman" w:hAnsi="Times New Roman"/>
          <w:b w:val="0"/>
          <w:i w:val="0"/>
          <w:sz w:val="18"/>
        </w:rPr>
        <w:t>(비고: RV(ann) = (252/h) × Σr2t+k, h=22. Mean Ret은 일별 로그수익률 평균, Std Ret은 표준편차 (모두 % 단위).)</w:t>
      </w:r>
    </w:p>
    <w:sectPr w:rsidR="00FC693F" w:rsidRPr="0006063C" w:rsidSect="00034616">
      <w:footerReference w:type="default" r:id="rId9"/>
      <w:pgSz w:w="11906" w:h="16838"/>
      <w:pgMar w:top="1984" w:right="1701"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