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ntroduction-서론"/>
    <w:p>
      <w:pPr>
        <w:pStyle w:val="Heading1"/>
      </w:pPr>
      <w:r>
        <w:t xml:space="preserve">Introduction (서론)</w:t>
      </w:r>
    </w:p>
    <w:p>
      <w:r>
        <w:pict>
          <v:rect style="width:0;height:1.5pt" o:hralign="center" o:hrstd="t" o:hr="t"/>
        </w:pict>
      </w:r>
    </w:p>
    <w:bookmarkStart w:id="22" w:name="연구-배경-research-background"/>
    <w:p>
      <w:pPr>
        <w:pStyle w:val="Heading2"/>
      </w:pPr>
      <w:r>
        <w:t xml:space="preserve">1. 연구 배경 (Research Background)</w:t>
      </w:r>
    </w:p>
    <w:bookmarkStart w:id="20" w:name="변동성-리스크-프리미엄의-중요성"/>
    <w:p>
      <w:pPr>
        <w:pStyle w:val="Heading3"/>
      </w:pPr>
      <w:r>
        <w:t xml:space="preserve">1.1 변동성 리스크 프리미엄의 중요성</w:t>
      </w:r>
    </w:p>
    <w:p>
      <w:pPr>
        <w:pStyle w:val="FirstParagraph"/>
      </w:pPr>
      <w:r>
        <w:t xml:space="preserve">변동성 리스크 프리미엄(Variance Risk Premium, VRP)은 위험중립 측도하의 기대 분산과 물리적 측도하의 기대 분산 간의 차이로 정의되며, 금융 시장에서의 불확실성 가격결정(pricing of uncertainty)을 반영하는 핵심 지표이다 (Carr and Wu, 2009). VRP는 투자자가 변동성 위험을 헤지하기 위해 지불하는 초과 비용으로 해석되며, 이 프리미엄의 크기와 변동은 시장 참여자의 위험 회피 성향, 경제적 불확실성, 그리고 거시경제 상태의 변화를 반영한다 (Drechsler and Yaron, 2011).</w:t>
      </w:r>
    </w:p>
    <w:p>
      <w:pPr>
        <w:pStyle w:val="BodyText"/>
      </w:pPr>
      <w:r>
        <w:t xml:space="preserve">VRP의 예측은 다양한 금융 실무에서 핵심적 역할을 수행한다:</w:t>
      </w:r>
    </w:p>
    <w:p>
      <w:pPr>
        <w:numPr>
          <w:ilvl w:val="0"/>
          <w:numId w:val="1001"/>
        </w:numPr>
        <w:pStyle w:val="Compact"/>
      </w:pPr>
      <w:r>
        <w:rPr>
          <w:bCs/>
          <w:b/>
        </w:rPr>
        <w:t xml:space="preserve">옵션 가격결정</w:t>
      </w:r>
      <w:r>
        <w:t xml:space="preserve">: VRP는 옵션의 내재 변동성과 실현 변동성 간의 체계적 괴리를 설명하며, 정확한 VRP 예측은 옵션 가격결정의 정밀도를 향상시킨다.</w:t>
      </w:r>
    </w:p>
    <w:p>
      <w:pPr>
        <w:numPr>
          <w:ilvl w:val="0"/>
          <w:numId w:val="1001"/>
        </w:numPr>
        <w:pStyle w:val="Compact"/>
      </w:pPr>
      <w:r>
        <w:rPr>
          <w:bCs/>
          <w:b/>
        </w:rPr>
        <w:t xml:space="preserve">포트폴리오 리스크 관리</w:t>
      </w:r>
      <w:r>
        <w:t xml:space="preserve">: 자산 간 VRP의 동적 변화를 예측함으로써 포트폴리오 위험 노출(risk exposure)의 사전적 조정이 가능하다.</w:t>
      </w:r>
    </w:p>
    <w:p>
      <w:pPr>
        <w:numPr>
          <w:ilvl w:val="0"/>
          <w:numId w:val="1001"/>
        </w:numPr>
        <w:pStyle w:val="Compact"/>
      </w:pPr>
      <w:r>
        <w:rPr>
          <w:bCs/>
          <w:b/>
        </w:rPr>
        <w:t xml:space="preserve">수익률 예측</w:t>
      </w:r>
      <w:r>
        <w:t xml:space="preserve">: Bekaert and Hoerova (2014)는 VRP가 미래 주가 수익률에 대한 유의한 예측력을 가진다는 것을 실증적으로 보였으며, 이는 VRP 기반 투자 전략의 이론적 근거를 제공한다.</w:t>
      </w:r>
    </w:p>
    <w:p>
      <w:pPr>
        <w:numPr>
          <w:ilvl w:val="0"/>
          <w:numId w:val="1001"/>
        </w:numPr>
        <w:pStyle w:val="Compact"/>
      </w:pPr>
      <w:r>
        <w:rPr>
          <w:bCs/>
          <w:b/>
        </w:rPr>
        <w:t xml:space="preserve">매크로 프루덴셜 정책</w:t>
      </w:r>
      <w:r>
        <w:t xml:space="preserve">: 금융 시스템의 스트레스 수준을 선행적으로 파악하는 지표로 활용될 수 있다.</w:t>
      </w:r>
    </w:p>
    <w:bookmarkEnd w:id="20"/>
    <w:bookmarkStart w:id="21" w:name="기존-연구의-한계"/>
    <w:p>
      <w:pPr>
        <w:pStyle w:val="Heading3"/>
      </w:pPr>
      <w:r>
        <w:t xml:space="preserve">1.2 기존 연구의 한계</w:t>
      </w:r>
    </w:p>
    <w:p>
      <w:pPr>
        <w:pStyle w:val="FirstParagraph"/>
      </w:pPr>
      <w:r>
        <w:t xml:space="preserve">VRP 연구 분야에서 세 가지 근본적 한계가 존재한다:</w:t>
      </w:r>
    </w:p>
    <w:p>
      <w:pPr>
        <w:pStyle w:val="BodyText"/>
      </w:pPr>
      <w:r>
        <w:rPr>
          <w:bCs/>
          <w:b/>
        </w:rPr>
        <w:t xml:space="preserve">첫째, 단일 자산 편중.</w:t>
      </w:r>
      <w:r>
        <w:t xml:space="preserve"> </w:t>
      </w:r>
      <w:r>
        <w:t xml:space="preserve">VRP 측정 및 예측 연구의 대부분은 S&amp;P 500(또는 VIX)에 집중되어 있다. Carr and Wu (2009), Hansen et al. (2021), Roszyk and Slepaczuk (2024) 등의 주요 연구 모두 미국 주식시장에 한정되어 있으며, 채권, 원자재, 신흥시장 등 다른 자산 클래스로의 확장은 매우 제한적이다. Heston et al. (2023)의 cross-asset VRP 연구는 예외적이나, 20개 선물에 걸친 분석에서 자산별 고유 옵션 데이터(GVZ, OVX 등)의 사용을 전제로 하여 실무적 활용이 제한된다.</w:t>
      </w:r>
    </w:p>
    <w:p>
      <w:pPr>
        <w:pStyle w:val="BodyText"/>
      </w:pPr>
      <w:r>
        <w:rPr>
          <w:bCs/>
          <w:b/>
        </w:rPr>
        <w:t xml:space="preserve">둘째, 고가 옵션 데이터에의 의존.</w:t>
      </w:r>
      <w:r>
        <w:t xml:space="preserve"> </w:t>
      </w:r>
      <w:r>
        <w:t xml:space="preserve">Carr et al. (2019)의 ML 기반 VRP 예측은 79개 옵션 데이터 포인트를 입력으로 요구하며, Christensen et al. (2022)의 고빈도 변동성 예측은 intraday tick 데이터를 필요로 한다. 이러한 고가/고빈도 데이터 의존성은 학술 연구자와 소규모 기관의 VRP 예측 접근성을 저해한다.</w:t>
      </w:r>
    </w:p>
    <w:p>
      <w:pPr>
        <w:pStyle w:val="BodyText"/>
      </w:pPr>
      <w:r>
        <w:rPr>
          <w:bCs/>
          <w:b/>
        </w:rPr>
        <w:t xml:space="preserve">셋째, 예측 지평에 대한 단일 모델 적용.</w:t>
      </w:r>
      <w:r>
        <w:t xml:space="preserve"> </w:t>
      </w:r>
      <w:r>
        <w:t xml:space="preserve">대부분의 기존 연구는 단일 예측 지평(주로 1일 또는 22일)에 대해 하나의 모델 아키텍처를 평가하며, 예측 지평에 따른 최적 아키텍처의 체계적 비교는 매우 드물다. 단기와 장기 예측에서 근본적으로 다른 모델 특성이 요구될 가능성에 대한 실증적 분석이 부족하다.</w:t>
      </w:r>
    </w:p>
    <w:p>
      <w:r>
        <w:pict>
          <v:rect style="width:0;height:1.5pt" o:hralign="center" o:hrstd="t" o:hr="t"/>
        </w:pict>
      </w:r>
    </w:p>
    <w:bookmarkEnd w:id="21"/>
    <w:bookmarkEnd w:id="22"/>
    <w:bookmarkStart w:id="23" w:name="X8d17070d8afc63e705c8a63fdf3f9e9c0c6db4c"/>
    <w:p>
      <w:pPr>
        <w:pStyle w:val="Heading2"/>
      </w:pPr>
      <w:r>
        <w:t xml:space="preserve">2. 연구 목적 및 질문 (Research Objectives and Questions)</w:t>
      </w:r>
    </w:p>
    <w:p>
      <w:pPr>
        <w:pStyle w:val="FirstParagraph"/>
      </w:pPr>
      <w:r>
        <w:t xml:space="preserve">본 연구는 위의 세 가지 한계를 동시에 해결하는 통합 프레임워크를 제안한다. 구체적인 연구 질문은 다음과 같다:</w:t>
      </w:r>
    </w:p>
    <w:p>
      <w:pPr>
        <w:pStyle w:val="BlockText"/>
      </w:pPr>
      <w:r>
        <w:rPr>
          <w:bCs/>
          <w:b/>
        </w:rPr>
        <w:t xml:space="preserve">RQ1</w:t>
      </w:r>
      <w:r>
        <w:t xml:space="preserve">: Global VIX와 Cross-Asset Realized Volatility라는 공개적으로 접근 가능한(publicly available) 저비용 데이터만으로, 다수 자산군(주식, 채권, 원자재)의 VRP를 효과적으로 예측할 수 있는가?</w:t>
      </w:r>
    </w:p>
    <w:p>
      <w:pPr>
        <w:pStyle w:val="BlockText"/>
      </w:pPr>
      <w:r>
        <w:rPr>
          <w:bCs/>
          <w:b/>
        </w:rPr>
        <w:t xml:space="preserve">RQ2</w:t>
      </w:r>
      <w:r>
        <w:t xml:space="preserve">: 예측 지평(단기 1일 vs 장기 22일)에 따라 최적의 모델 아키텍처가 체계적으로 분화되는가? 그렇다면, 각 지평에서의 최적 아키텍처는 무엇이며, 그 분화의 경제적 근거는 무엇인가?</w:t>
      </w:r>
    </w:p>
    <w:p>
      <w:pPr>
        <w:pStyle w:val="BlockText"/>
      </w:pPr>
      <w:r>
        <w:rPr>
          <w:bCs/>
          <w:b/>
        </w:rPr>
        <w:t xml:space="preserve">RQ3</w:t>
      </w:r>
      <w:r>
        <w:t xml:space="preserve">: 딥러닝 모델(특히 Attention Mechanism)이 변동성 예측에서 블랙박스를 넘어 경제학적으로 해석 가능한(interpretable) 통찰을 제공할 수 있는가?</w:t>
      </w:r>
    </w:p>
    <w:p>
      <w:r>
        <w:pict>
          <v:rect style="width:0;height:1.5pt" o:hralign="center" o:hrstd="t" o:hr="t"/>
        </w:pict>
      </w:r>
    </w:p>
    <w:bookmarkEnd w:id="23"/>
    <w:bookmarkStart w:id="27" w:name="연구-접근법-research-approach"/>
    <w:p>
      <w:pPr>
        <w:pStyle w:val="Heading2"/>
      </w:pPr>
      <w:r>
        <w:t xml:space="preserve">3. 연구 접근법 (Research Approach)</w:t>
      </w:r>
    </w:p>
    <w:bookmarkStart w:id="24" w:name="cross-asset-vrp-프레임워크"/>
    <w:p>
      <w:pPr>
        <w:pStyle w:val="Heading3"/>
      </w:pPr>
      <w:r>
        <w:t xml:space="preserve">3.1 Cross-Asset VRP 프레임워크</w:t>
      </w:r>
    </w:p>
    <w:p>
      <w:pPr>
        <w:pStyle w:val="FirstParagraph"/>
      </w:pPr>
      <w:r>
        <w:t xml:space="preserve">본 연구는 VRP를 다음과 같이 간소화하여 정의한다:</w:t>
      </w:r>
    </w:p>
    <w:p>
      <w:pPr>
        <w:pStyle w:val="BodyText"/>
      </w:pPr>
      <m:oMathPara>
        <m:oMathParaPr>
          <m:jc m:val="center"/>
        </m:oMathParaPr>
        <m:oMath>
          <m:sSub>
            <m:e>
              <m:r>
                <m:rPr>
                  <m:nor/>
                  <m:sty m:val="p"/>
                </m:rPr>
                <m:t>VRP</m:t>
              </m:r>
            </m:e>
            <m:sub>
              <m:r>
                <m:t>t</m:t>
              </m:r>
            </m:sub>
          </m:sSub>
          <m:r>
            <m:rPr>
              <m:sty m:val="p"/>
            </m:rPr>
            <m:t>≈</m:t>
          </m:r>
          <m:sSub>
            <m:e>
              <m:r>
                <m:rPr>
                  <m:nor/>
                  <m:sty m:val="p"/>
                </m:rPr>
                <m:t>VIX</m:t>
              </m:r>
            </m:e>
            <m:sub>
              <m:r>
                <m:t>t</m:t>
              </m:r>
            </m:sub>
          </m:sSub>
          <m:r>
            <m:rPr>
              <m:sty m:val="p"/>
            </m:rPr>
            <m:t>−</m:t>
          </m:r>
          <m:sSub>
            <m:e>
              <m:r>
                <m:rPr>
                  <m:nor/>
                  <m:sty m:val="p"/>
                </m:rPr>
                <m:t>RV</m:t>
              </m:r>
            </m:e>
            <m:sub>
              <m:r>
                <m:t>t</m:t>
              </m:r>
            </m:sub>
          </m:sSub>
        </m:oMath>
      </m:oMathPara>
    </w:p>
    <w:p>
      <w:pPr>
        <w:pStyle w:val="FirstParagraph"/>
      </w:pPr>
      <w:r>
        <w:t xml:space="preserve">여기서 VIX는 위험중립 기대 변동성의 대용치(proxy), RV는 실현 변동성이다. 이 정의의 핵심 혁신은</w:t>
      </w:r>
      <w:r>
        <w:t xml:space="preserve"> </w:t>
      </w:r>
      <w:r>
        <w:rPr>
          <w:bCs/>
          <w:b/>
        </w:rPr>
        <w:t xml:space="preserve">자산별 고유 옵션 가격 대신 Global VIX를 활용</w:t>
      </w:r>
      <w:r>
        <w:t xml:space="preserve">한다는 점이다. 이는 Ornelas et al. (2018)이 발견한 VIX의 cross-asset spillover 효과 — VIX가 금, 원유 등 타 자산의 VRP를 예측하는 현상 — 에 이론적 근거를 둔다.</w:t>
      </w:r>
    </w:p>
    <w:bookmarkEnd w:id="24"/>
    <w:bookmarkStart w:id="25" w:name="이중-모델-전략-dual-model-strategy"/>
    <w:p>
      <w:pPr>
        <w:pStyle w:val="Heading3"/>
      </w:pPr>
      <w:r>
        <w:t xml:space="preserve">3.2 이중 모델 전략 (Dual-Model Strategy)</w:t>
      </w:r>
    </w:p>
    <w:p>
      <w:pPr>
        <w:pStyle w:val="FirstParagraph"/>
      </w:pPr>
      <w:r>
        <w:t xml:space="preserve">50회 이상의 체계적 실험(V1~V50)을 통해, 예측 지평에 따른 최적 모델 아키텍처를 탐색하였다:</w:t>
      </w:r>
    </w:p>
    <w:p>
      <w:pPr>
        <w:numPr>
          <w:ilvl w:val="0"/>
          <w:numId w:val="1002"/>
        </w:numPr>
        <w:pStyle w:val="Compact"/>
      </w:pPr>
      <w:r>
        <w:rPr>
          <w:bCs/>
          <w:b/>
        </w:rPr>
        <w:t xml:space="preserve">단기(1일) 예측</w:t>
      </w:r>
      <w:r>
        <w:t xml:space="preserve">: 비선형 패턴 포착을 위한</w:t>
      </w:r>
      <w:r>
        <w:t xml:space="preserve"> </w:t>
      </w:r>
      <w:r>
        <w:rPr>
          <w:bCs/>
          <w:b/>
        </w:rPr>
        <w:t xml:space="preserve">V50 Temporal-Attention Bi-LSTM</w:t>
      </w:r>
    </w:p>
    <w:p>
      <w:pPr>
        <w:numPr>
          <w:ilvl w:val="1"/>
          <w:numId w:val="1003"/>
        </w:numPr>
        <w:pStyle w:val="Compact"/>
      </w:pPr>
      <w:r>
        <w:t xml:space="preserve">Temporal Attention으로 예측에 관련된 과거 시점을 동적으로 선별</w:t>
      </w:r>
    </w:p>
    <w:p>
      <w:pPr>
        <w:numPr>
          <w:ilvl w:val="1"/>
          <w:numId w:val="1003"/>
        </w:numPr>
        <w:pStyle w:val="Compact"/>
      </w:pPr>
      <w:r>
        <w:t xml:space="preserve">양방향(Bi-directional) 처리로 변동성 이벤트의 전후 맥락 포착</w:t>
      </w:r>
    </w:p>
    <w:p>
      <w:pPr>
        <w:numPr>
          <w:ilvl w:val="0"/>
          <w:numId w:val="1002"/>
        </w:numPr>
        <w:pStyle w:val="Compact"/>
      </w:pPr>
      <w:r>
        <w:rPr>
          <w:bCs/>
          <w:b/>
        </w:rPr>
        <w:t xml:space="preserve">장기(22일) 예측</w:t>
      </w:r>
      <w:r>
        <w:t xml:space="preserve">: 노이즈 억제를 위한</w:t>
      </w:r>
      <w:r>
        <w:t xml:space="preserve"> </w:t>
      </w:r>
      <w:r>
        <w:rPr>
          <w:bCs/>
          <w:b/>
        </w:rPr>
        <w:t xml:space="preserve">V36 Asset-Adaptive Ridge</w:t>
      </w:r>
    </w:p>
    <w:p>
      <w:pPr>
        <w:numPr>
          <w:ilvl w:val="1"/>
          <w:numId w:val="1004"/>
        </w:numPr>
        <w:pStyle w:val="Compact"/>
      </w:pPr>
      <w:r>
        <w:t xml:space="preserve">자산 클래스별(Equity/Bond/Commodity) 독립 모델</w:t>
      </w:r>
    </w:p>
    <w:p>
      <w:pPr>
        <w:numPr>
          <w:ilvl w:val="1"/>
          <w:numId w:val="1004"/>
        </w:numPr>
        <w:pStyle w:val="Compact"/>
      </w:pPr>
      <w:r>
        <w:t xml:space="preserve">자산군간 신호 대 잡음비의 이질성을 반영한 적응적 정규화</w:t>
      </w:r>
    </w:p>
    <w:bookmarkEnd w:id="25"/>
    <w:bookmarkStart w:id="26" w:name="피처-엔지니어링"/>
    <w:p>
      <w:pPr>
        <w:pStyle w:val="Heading3"/>
      </w:pPr>
      <w:r>
        <w:t xml:space="preserve">3.3 피처 엔지니어링</w:t>
      </w:r>
    </w:p>
    <w:p>
      <w:pPr>
        <w:pStyle w:val="FirstParagraph"/>
      </w:pPr>
      <w:r>
        <w:t xml:space="preserve">Corsi (2009)의 HAR(Heterogeneous Autoregressive) 구조를 기반으로, 세 시간 스케일(1일, 5일, 22일)의 실현 변동성과 일별 수익률을 핵심 피처로 구성하였다. 이질적 시장 가설(Heterogeneous Market Hypothesis)에 기반한 이 설계는 서로 다른 투자 지평을 가진 시장 참여자의 행동을 반영한다.</w:t>
      </w:r>
    </w:p>
    <w:p>
      <w:r>
        <w:pict>
          <v:rect style="width:0;height:1.5pt" o:hralign="center" o:hrstd="t" o:hr="t"/>
        </w:pict>
      </w:r>
    </w:p>
    <w:bookmarkEnd w:id="26"/>
    <w:bookmarkEnd w:id="27"/>
    <w:bookmarkStart w:id="32" w:name="주요-기여-main-contributions"/>
    <w:p>
      <w:pPr>
        <w:pStyle w:val="Heading2"/>
      </w:pPr>
      <w:r>
        <w:t xml:space="preserve">4. 주요 기여 (Main Contributions)</w:t>
      </w:r>
    </w:p>
    <w:p>
      <w:pPr>
        <w:pStyle w:val="FirstParagraph"/>
      </w:pPr>
      <w:r>
        <w:t xml:space="preserve">본 연구의 학술적 기여를 다음과 같이 요약한다:</w:t>
      </w:r>
    </w:p>
    <w:bookmarkStart w:id="28" w:name="기여-1-cross-asset-vrp-예측-프레임워크"/>
    <w:p>
      <w:pPr>
        <w:pStyle w:val="Heading3"/>
      </w:pPr>
      <w:r>
        <w:t xml:space="preserve">기여 1: Cross-Asset VRP 예측 프레임워크</w:t>
      </w:r>
    </w:p>
    <w:p>
      <w:pPr>
        <w:pStyle w:val="FirstParagraph"/>
      </w:pPr>
      <w:r>
        <w:t xml:space="preserve">자산별 고유 옵션 데이터 없이 Global VIX 기반으로 다수 자산군의 VRP를 통합 예측하는 경제적(parsimonious) 프레임워크를 최초로 제안한다. 이는 Heston et al. (2023)의 자산별 옵션 기반 접근 대비 실무적 활용성이 현저하게 높다.</w:t>
      </w:r>
    </w:p>
    <w:bookmarkEnd w:id="28"/>
    <w:bookmarkStart w:id="29" w:name="기여-2-예측-지평별-최적-아키텍처-분화의-실증적-발견"/>
    <w:p>
      <w:pPr>
        <w:pStyle w:val="Heading3"/>
      </w:pPr>
      <w:r>
        <w:t xml:space="preserve">기여 2: 예측 지평별 최적 아키텍처 분화의 실증적 발견</w:t>
      </w:r>
    </w:p>
    <w:p>
      <w:pPr>
        <w:pStyle w:val="FirstParagraph"/>
      </w:pPr>
      <w:r>
        <w:t xml:space="preserve">단기 예측에서는 딥러닝(V50, R² = 0.503)이, 장기 예측에서는 정규화 선형 모형(V36, R² = 0.755)이 최적이라는 체계적 분화 현상을 발견하고, 이를 신호 대 잡음비의 지평별 차이로 설명한다. 이 발견은</w:t>
      </w:r>
      <w:r>
        <w:t xml:space="preserve"> </w:t>
      </w:r>
      <w:r>
        <w:t xml:space="preserve">“</w:t>
      </w:r>
      <w:r>
        <w:t xml:space="preserve">one-size-fits-all</w:t>
      </w:r>
      <w:r>
        <w:t xml:space="preserve">”</w:t>
      </w:r>
      <w:r>
        <w:t xml:space="preserve"> </w:t>
      </w:r>
      <w:r>
        <w:t xml:space="preserve">모델에 대한 경고와 함께, 예측 문제의 특성에 맞는 아키텍처 선정의 중요성을 시사한다.</w:t>
      </w:r>
    </w:p>
    <w:bookmarkEnd w:id="29"/>
    <w:bookmarkStart w:id="30" w:name="기여-3-attention-기반의-내재적-해석-가능성"/>
    <w:p>
      <w:pPr>
        <w:pStyle w:val="Heading3"/>
      </w:pPr>
      <w:r>
        <w:t xml:space="preserve">기여 3: Attention 기반의 내재적 해석 가능성</w:t>
      </w:r>
    </w:p>
    <w:p>
      <w:pPr>
        <w:pStyle w:val="FirstParagraph"/>
      </w:pPr>
      <w:r>
        <w:t xml:space="preserve">V50 모델의 Temporal Attention 가중치가 변동성 예측에 가장 영향력 있는 과거 시점을 동적으로 식별하는 것을 보이며, 이는 HAR 모델의 고정 래그 구조를 동적으로 일반화한</w:t>
      </w:r>
      <w:r>
        <w:t xml:space="preserve"> </w:t>
      </w:r>
      <w:r>
        <w:t xml:space="preserve">“</w:t>
      </w:r>
      <w:r>
        <w:t xml:space="preserve">Dynamic HAR</w:t>
      </w:r>
      <w:r>
        <w:t xml:space="preserve">”</w:t>
      </w:r>
      <w:r>
        <w:t xml:space="preserve">로 해석한다. 기존의 사후적 해석(post-hoc SHAP/LIME) 대비, 모델 아키텍처 자체에 해석 가능성이 내재되어 있다.</w:t>
      </w:r>
    </w:p>
    <w:bookmarkEnd w:id="30"/>
    <w:bookmarkStart w:id="31" w:name="기여-4-자산-클래스별-적응적-정규화"/>
    <w:p>
      <w:pPr>
        <w:pStyle w:val="Heading3"/>
      </w:pPr>
      <w:r>
        <w:t xml:space="preserve">기여 4: 자산 클래스별 적응적 정규화</w:t>
      </w:r>
    </w:p>
    <w:p>
      <w:pPr>
        <w:pStyle w:val="FirstParagraph"/>
      </w:pPr>
      <w:r>
        <w:t xml:space="preserve">자산군 간 변동성 역학의 이질성 — 주식은 높은 노이즈(alpha=100), 채권은 명확한 추세(alpha=10) — 을 반영한 적응적 정규화 전략을 제안하고, 이를 통해 단일 모델 대비 유의한 성능 향상(+3.4%)을 달성한다.</w:t>
      </w:r>
    </w:p>
    <w:p>
      <w:r>
        <w:pict>
          <v:rect style="width:0;height:1.5pt" o:hralign="center" o:hrstd="t" o:hr="t"/>
        </w:pict>
      </w:r>
    </w:p>
    <w:bookmarkEnd w:id="31"/>
    <w:bookmarkEnd w:id="32"/>
    <w:bookmarkStart w:id="33" w:name="논문-구성-paper-organization"/>
    <w:p>
      <w:pPr>
        <w:pStyle w:val="Heading2"/>
      </w:pPr>
      <w:r>
        <w:t xml:space="preserve">5. 논문 구성 (Paper Organization)</w:t>
      </w:r>
    </w:p>
    <w:p>
      <w:pPr>
        <w:pStyle w:val="FirstParagraph"/>
      </w:pPr>
      <w:r>
        <w:t xml:space="preserve">본 논문의 나머지 부분은 다음과 같이 구성된다:</w:t>
      </w:r>
    </w:p>
    <w:p>
      <w:pPr>
        <w:numPr>
          <w:ilvl w:val="0"/>
          <w:numId w:val="1005"/>
        </w:numPr>
        <w:pStyle w:val="Compact"/>
      </w:pPr>
      <w:r>
        <w:rPr>
          <w:bCs/>
          <w:b/>
        </w:rPr>
        <w:t xml:space="preserve">Section 2 (Related Work)</w:t>
      </w:r>
      <w:r>
        <w:t xml:space="preserve">: VRP 이론, Cross-Asset 변동성 연구, ML/DL 변동성 예측, Attention 금융 응용의 기존 문헌을 체계적으로 검토한다.</w:t>
      </w:r>
    </w:p>
    <w:p>
      <w:pPr>
        <w:numPr>
          <w:ilvl w:val="0"/>
          <w:numId w:val="1005"/>
        </w:numPr>
        <w:pStyle w:val="Compact"/>
      </w:pPr>
      <w:r>
        <w:rPr>
          <w:bCs/>
          <w:b/>
        </w:rPr>
        <w:t xml:space="preserve">Section 3 (Methodology)</w:t>
      </w:r>
      <w:r>
        <w:t xml:space="preserve">: 데이터, 피처 엔지니어링, V50 및 V36 모델 아키텍처, 학습 절차, 평가 지표를 상세히 기술한다.</w:t>
      </w:r>
    </w:p>
    <w:p>
      <w:pPr>
        <w:numPr>
          <w:ilvl w:val="0"/>
          <w:numId w:val="1005"/>
        </w:numPr>
        <w:pStyle w:val="Compact"/>
      </w:pPr>
      <w:r>
        <w:rPr>
          <w:bCs/>
          <w:b/>
        </w:rPr>
        <w:t xml:space="preserve">Section 4 (Experimental Results)</w:t>
      </w:r>
      <w:r>
        <w:t xml:space="preserve">: 실험 결과를 제시하고, 베이스라인 대비 성능 향상, Ablation Study, Attention 가중치 분석을 수행한다.</w:t>
      </w:r>
    </w:p>
    <w:p>
      <w:pPr>
        <w:numPr>
          <w:ilvl w:val="0"/>
          <w:numId w:val="1005"/>
        </w:numPr>
        <w:pStyle w:val="Compact"/>
      </w:pPr>
      <w:r>
        <w:rPr>
          <w:bCs/>
          <w:b/>
        </w:rPr>
        <w:t xml:space="preserve">Section 5 (Discussion)</w:t>
      </w:r>
      <w:r>
        <w:t xml:space="preserve">: 결과의 경제적 해석, 한계점, 실무적 함의를 논의한다.</w:t>
      </w:r>
    </w:p>
    <w:p>
      <w:pPr>
        <w:numPr>
          <w:ilvl w:val="0"/>
          <w:numId w:val="1005"/>
        </w:numPr>
        <w:pStyle w:val="Compact"/>
      </w:pPr>
      <w:r>
        <w:rPr>
          <w:bCs/>
          <w:b/>
        </w:rPr>
        <w:t xml:space="preserve">Section 6 (Conclusion)</w:t>
      </w:r>
      <w:r>
        <w:t xml:space="preserve">: 핵심 발견을 요약하고 향후 연구 방향을 제시한다.</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2026-02-15T16:00:26Z</dcterms:created>
  <dcterms:modified xsi:type="dcterms:W3CDTF">2026-02-15T16:00:26Z</dcterms:modified>
</cp:coreProperties>
</file>

<file path=docProps/custom.xml><?xml version="1.0" encoding="utf-8"?>
<Properties xmlns="http://schemas.openxmlformats.org/officeDocument/2006/custom-properties" xmlns:vt="http://schemas.openxmlformats.org/officeDocument/2006/docPropsVTypes"/>
</file>