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experimental-results-실험-결과"/>
    <w:p>
      <w:pPr>
        <w:pStyle w:val="Heading1"/>
      </w:pPr>
      <w:r>
        <w:t xml:space="preserve">Experimental Results (실험 결과)</w:t>
      </w:r>
    </w:p>
    <w:p>
      <w:r>
        <w:pict>
          <v:rect style="width:0;height:1.5pt" o:hralign="center" o:hrstd="t" o:hr="t"/>
        </w:pict>
      </w:r>
    </w:p>
    <w:bookmarkStart w:id="20" w:name="실험-구성"/>
    <w:p>
      <w:pPr>
        <w:pStyle w:val="Heading2"/>
      </w:pPr>
      <w:r>
        <w:t xml:space="preserve">1. 실험 구성</w:t>
      </w:r>
    </w:p>
    <w:p>
      <w:pPr>
        <w:pStyle w:val="FirstParagraph"/>
      </w:pPr>
      <w:r>
        <w:t xml:space="preserve">70회 이상의 점진적 실험(V1~V71)을 5단계로 수행하였다: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실험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V1~V29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HAR, GARCH, Ridge 조합 탐색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V30~V50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 모델(Transformer, LSTM, Attention) 도입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V50, V36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 지평별 최적 모델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V66~V69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피처 확장(Vol-of-Vol, Momentum, Cross-Asset)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V70~V71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고급 피처(HF Proxy, IV Surface, Alt Data) + SCI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주요-결과"/>
    <w:p>
      <w:pPr>
        <w:pStyle w:val="Heading2"/>
      </w:pPr>
      <w:r>
        <w:t xml:space="preserve">2. 주요 결과</w:t>
      </w:r>
    </w:p>
    <w:bookmarkStart w:id="21" w:name="일-예측-성능-비교"/>
    <w:p>
      <w:pPr>
        <w:pStyle w:val="Heading3"/>
      </w:pPr>
      <w:r>
        <w:t xml:space="preserve">2.1 1일 예측 성능 비교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7"/>
        <w:gridCol w:w="1131"/>
        <w:gridCol w:w="2489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대비 향상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문헌 참고값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GARCH(1,1)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문헌 참고값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HAR-RV (Corsi)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v14 실험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V29 (HAR+GARCH 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v35 실험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V43 (Transformer)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v43 실험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V50 (Temporal-Attn LSTM)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~9K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v50 실험 결과</w:t>
            </w:r>
          </w:p>
        </w:tc>
      </w:tr>
    </w:tbl>
    <w:bookmarkEnd w:id="21"/>
    <w:bookmarkStart w:id="22" w:name="일-예측-성능-비교-1"/>
    <w:p>
      <w:pPr>
        <w:pStyle w:val="Heading3"/>
      </w:pPr>
      <w:r>
        <w:t xml:space="preserve">2.2 22일 예측 성능 비교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1070"/>
        <w:gridCol w:w="1284"/>
        <w:gridCol w:w="1070"/>
        <w:gridCol w:w="1498"/>
        <w:gridCol w:w="1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피처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GARCH(1,1)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HAR-RV (Corsi)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GARCH-MIDAS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V29 (HAR+GARCH 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V36 (Asset-Adaptive 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V43 (Transformer)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V68 (Enhanced 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 Ridge (All features)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V71 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V71은 4개 메트릭(R², RMSE, MAE, QLIKE) 모두에서 최고 성능</w:t>
      </w:r>
    </w:p>
    <w:p>
      <w:pPr>
        <w:numPr>
          <w:ilvl w:val="0"/>
          <w:numId w:val="1001"/>
        </w:numPr>
        <w:pStyle w:val="Compact"/>
      </w:pPr>
      <w:r>
        <w:t xml:space="preserve">37개 피처 = Base(14) + HF Proxy(7) + IV Surface(10) + Alt Data(6)</w:t>
      </w:r>
    </w:p>
    <w:bookmarkEnd w:id="22"/>
    <w:bookmarkStart w:id="23" w:name="통계적-유의성-diebold-mariano-test"/>
    <w:p>
      <w:pPr>
        <w:pStyle w:val="Heading3"/>
      </w:pPr>
      <w:r>
        <w:t xml:space="preserve">2.3 통계적 유의성 (Diebold-Mariano Test)</w:t>
      </w:r>
    </w:p>
    <w:p>
      <w:pPr>
        <w:pStyle w:val="FirstParagraph"/>
      </w:pPr>
      <w:r>
        <w:t xml:space="preserve">22일 overlapping horizon에서의 직렬 상관을 고려하여 Newey-West HAC(bandwidth=22)를 적용한 DM 검정을 수행하였다.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통계량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유의수준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 Ensemble vs V36 (HAR-3)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 Ensemble vs V68 (Base-14)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 Ridge vs V36 (HAR-3)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 Ridge vs V68 (Base-14)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</w:tbl>
    <w:p>
      <w:pPr>
        <w:pStyle w:val="BodyText"/>
      </w:pPr>
      <w:r>
        <w:t xml:space="preserve">모든 비교에서 V71의 성능 우위가 1% 수준에서 통계적으로 강하게 유의하다.</w:t>
      </w:r>
    </w:p>
    <w:bookmarkEnd w:id="23"/>
    <w:bookmarkStart w:id="24" w:name="동일-피처-세트-공정-비교"/>
    <w:p>
      <w:pPr>
        <w:pStyle w:val="Heading3"/>
      </w:pPr>
      <w:r>
        <w:t xml:space="preserve">2.4 동일 피처 세트 공정 비교</w:t>
      </w:r>
    </w:p>
    <w:p>
      <w:pPr>
        <w:pStyle w:val="FirstParagraph"/>
      </w:pPr>
      <w:r>
        <w:t xml:space="preserve">모델 간 비교의 공정성을 확보하기 위해, 동일한 피처 세트에서 Ridge, XGBoost, MLP를 비교하였다.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 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(14 features)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(37 features)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0.750</w:t>
            </w:r>
          </w:p>
        </w:tc>
      </w:tr>
    </w:tbl>
    <w:p>
      <w:pPr>
        <w:pStyle w:val="BodyText"/>
      </w:pPr>
      <w:r>
        <w:t xml:space="preserve">37개 피처 조건에서도 Ridge가 비선형 모델(XGBoost, MLP)을 일관적으로 압도하여, 22일 예측에서의 선형 모델 우위를 재확인한다.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blation-study-피처-그룹별-기여도"/>
    <w:p>
      <w:pPr>
        <w:pStyle w:val="Heading2"/>
      </w:pPr>
      <w:r>
        <w:t xml:space="preserve">3. Ablation Study (피처 그룹별 기여도)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피처 조합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피처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기여도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+ HF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+ IV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+ Alt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+ HF +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Features (Ridge)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Weighted 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+0.044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IV Surface가 최대 개별 기여(+0.026): 옵션 시장의 내재변동성이 실현변동성 예측에 추가 정보 제공</w:t>
      </w:r>
    </w:p>
    <w:p>
      <w:pPr>
        <w:numPr>
          <w:ilvl w:val="0"/>
          <w:numId w:val="1002"/>
        </w:numPr>
        <w:pStyle w:val="Compact"/>
      </w:pPr>
      <w:r>
        <w:t xml:space="preserve">HF Proxy가 두 번째 기여(+0.021): OHLC 기반 범위 추정량이 종가 기반 모델의 한계 보완</w:t>
      </w:r>
    </w:p>
    <w:p>
      <w:pPr>
        <w:numPr>
          <w:ilvl w:val="0"/>
          <w:numId w:val="1002"/>
        </w:numPr>
        <w:pStyle w:val="Compact"/>
      </w:pPr>
      <w:r>
        <w:t xml:space="preserve">HF+IV 결합 시 시너지(+0.037): 두 소스가 보완적 정보 제공</w:t>
      </w:r>
    </w:p>
    <w:p>
      <w:pPr>
        <w:numPr>
          <w:ilvl w:val="0"/>
          <w:numId w:val="1002"/>
        </w:numPr>
        <w:pStyle w:val="Compact"/>
      </w:pPr>
      <w:r>
        <w:t xml:space="preserve">Alt Data 기여는 제한적(+0.007): 거래량 기반 피처는 다른 피처와 중복 정보</w:t>
      </w:r>
    </w:p>
    <w:p>
      <w:r>
        <w:pict>
          <v:rect style="width:0;height:1.5pt" o:hralign="center" o:hrstd="t" o:hr="t"/>
        </w:pict>
      </w:r>
    </w:p>
    <w:bookmarkEnd w:id="26"/>
    <w:bookmarkStart w:id="29" w:name="자산-클래스별-성능-분석"/>
    <w:p>
      <w:pPr>
        <w:pStyle w:val="Heading2"/>
      </w:pPr>
      <w:r>
        <w:t xml:space="preserve">4. 자산 클래스별 성능 분석</w:t>
      </w:r>
    </w:p>
    <w:bookmarkStart w:id="27" w:name="자산별-r²-v36-vs-v71"/>
    <w:p>
      <w:pPr>
        <w:pStyle w:val="Heading3"/>
      </w:pPr>
      <w:r>
        <w:t xml:space="preserve">4.1 자산별 R² (V36 vs V71)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V36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V71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-0.196</w:t>
            </w:r>
          </w:p>
        </w:tc>
      </w:tr>
    </w:tbl>
    <w:bookmarkEnd w:id="27"/>
    <w:bookmarkStart w:id="28" w:name="클래스별-평균"/>
    <w:p>
      <w:pPr>
        <w:pStyle w:val="Heading3"/>
      </w:pPr>
      <w:r>
        <w:t xml:space="preserve">4.2 클래스별 평균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V36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V71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+0.953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-0.055</w:t>
            </w:r>
          </w:p>
        </w:tc>
      </w:tr>
    </w:tbl>
    <w:p>
      <w:pPr>
        <w:pStyle w:val="BodyText"/>
      </w:pPr>
      <w:r>
        <w:t xml:space="preserve">Equity와 Bond에서 V71이 대폭 개선. Commodity(특히 SLV)에서 소폭 하락은, IV Surface 피처가 주로 S&amp;P 500 기반 VIX를 사용하기 때문이다.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레짐별-안정성"/>
    <w:p>
      <w:pPr>
        <w:pStyle w:val="Heading2"/>
      </w:pPr>
      <w:r>
        <w:t xml:space="preserve">5. 레짐별 안정성</w:t>
      </w:r>
    </w:p>
    <w:bookmarkStart w:id="30" w:name="기간-서브샘플-각-구간-내-7030-split"/>
    <w:p>
      <w:pPr>
        <w:pStyle w:val="Heading3"/>
      </w:pPr>
      <w:r>
        <w:t xml:space="preserve">5.1 기간 서브샘플 (각 구간 내 70/30 split)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V36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V71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2010-2014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2015-2019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-0.189</w:t>
            </w:r>
          </w:p>
        </w:tc>
      </w:tr>
    </w:tbl>
    <w:p>
      <w:pPr>
        <w:pStyle w:val="BodyText"/>
      </w:pPr>
      <w:r>
        <w:t xml:space="preserve">2020-24 구간에서의 V71 하락은, 구간 내 제한적 학습 데이터(70/30 split)와 COVID-19 이후 시장 구조 변화에 기인한다. 전체 데이터(80/20)에서는 V71이 일관적으로 우수하다.</w:t>
      </w:r>
    </w:p>
    <w:bookmarkEnd w:id="30"/>
    <w:bookmarkStart w:id="31" w:name="vix-quantile-레짐"/>
    <w:p>
      <w:pPr>
        <w:pStyle w:val="Heading3"/>
      </w:pPr>
      <w:r>
        <w:t xml:space="preserve">5.2 VIX Quantile 레짐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698"/>
        <w:gridCol w:w="1863"/>
        <w:gridCol w:w="1863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V36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V71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VIX (0-50%)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 VIX (50-90%)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VIX (90-100%)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+0.163</w:t>
            </w:r>
          </w:p>
        </w:tc>
      </w:tr>
    </w:tbl>
    <w:p>
      <w:pPr>
        <w:pStyle w:val="BodyText"/>
      </w:pPr>
      <w:r>
        <w:t xml:space="preserve">V71은</w:t>
      </w:r>
      <w:r>
        <w:t xml:space="preserve"> </w:t>
      </w:r>
      <w:r>
        <w:rPr>
          <w:bCs/>
          <w:b/>
        </w:rPr>
        <w:t xml:space="preserve">고변동성 국면(High VIX)에서 V36 대비 가장 큰 개선(+0.163)</w:t>
      </w:r>
      <w:r>
        <w:t xml:space="preserve">을 보인다. IV Surface와 HF Proxy 피처가 극단적 시장 상황에서 추가 정보를 제공하는 증거이다.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강건성-검증-요약"/>
    <w:p>
      <w:pPr>
        <w:pStyle w:val="Heading2"/>
      </w:pPr>
      <w:r>
        <w:t xml:space="preserve">6. 강건성 검증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검증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다중 Split 안정성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 = 0.793 ± 0.010 (5개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 민감도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 0.788~0.802 (alpha 0.001~5000)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5-Fold 시계열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 = 0.765 ± 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누출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셔플 R² = -0.002, 시점 체크 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Permutation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Rogers-Satchell 1위 (0.731)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 Test (Newey-West)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비교 p &lt; 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결론"/>
    <w:p>
      <w:pPr>
        <w:pStyle w:val="Heading2"/>
      </w:pPr>
      <w:r>
        <w:t xml:space="preserve">7. 결론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22일 예측</w:t>
      </w:r>
      <w:r>
        <w:t xml:space="preserve">: V71 모델(R² = 0.803)은 OHLC 기반 HF Proxy, IV Surface, 자산 클래스별 정규화를 통해 V36(0.755) 대비 6.3% 개선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핵심 발견</w:t>
      </w:r>
      <w:r>
        <w:t xml:space="preserve">: 피처 엔지니어링(37개 피처)이 모델 복잡도(DL)보다 변동성 예측에 결정적 역할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통계적 유의성</w:t>
      </w:r>
      <w:r>
        <w:t xml:space="preserve">: 모든 벤치마크 대비 DM test p &lt; 0.001 (Newey-West HAC 적용)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레짐 강건성</w:t>
      </w:r>
      <w:r>
        <w:t xml:space="preserve">: 고변동성 국면에서 V71의 우수성이 가장 두드러짐 (+0.163)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2026-02-15T16:00:26Z</dcterms:created>
  <dcterms:modified xsi:type="dcterms:W3CDTF">2026-02-15T16:00:26Z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