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iscussion-and-conclusion-논의-및-결론"/>
    <w:p>
      <w:pPr>
        <w:pStyle w:val="Heading1"/>
      </w:pPr>
      <w:r>
        <w:t xml:space="preserve">Discussion and Conclusion (논의 및 결론)</w:t>
      </w:r>
    </w:p>
    <w:p>
      <w:r>
        <w:pict>
          <v:rect style="width:0;height:1.5pt" o:hralign="center" o:hrstd="t" o:hr="t"/>
        </w:pict>
      </w:r>
    </w:p>
    <w:bookmarkStart w:id="23" w:name="결과-논의-discussion"/>
    <w:p>
      <w:pPr>
        <w:pStyle w:val="Heading2"/>
      </w:pPr>
      <w:r>
        <w:t xml:space="preserve">1. 결과 논의 (Discussion)</w:t>
      </w:r>
    </w:p>
    <w:bookmarkStart w:id="20" w:name="핵심-발견의-해석"/>
    <w:p>
      <w:pPr>
        <w:pStyle w:val="Heading3"/>
      </w:pPr>
      <w:r>
        <w:t xml:space="preserve">1.1 핵심 발견의 해석</w:t>
      </w:r>
    </w:p>
    <w:p>
      <w:pPr>
        <w:pStyle w:val="FirstParagraph"/>
      </w:pPr>
      <w:r>
        <w:t xml:space="preserve">본 연구의 가장 중요한 발견은</w:t>
      </w:r>
      <w:r>
        <w:t xml:space="preserve"> </w:t>
      </w:r>
      <w:r>
        <w:rPr>
          <w:bCs/>
          <w:b/>
        </w:rPr>
        <w:t xml:space="preserve">피처 엔지니어링이 모델 복잡도보다 변동성 예측 성능에 결정적</w:t>
      </w:r>
      <w:r>
        <w:t xml:space="preserve">이라는 것이다. V71 모델(R² = 0.803)은 37개 피처의 체계적 엔지니어링을 통해, 3개 HAR 피처만 사용한 V36(0.755)보다 6.3% 개선, GARCH-MIDAS 문헌 베이스라인(0.55)보다 46.0% 개선을 달성하였다. 이 결과는 다음과 같이 해석된다:</w:t>
      </w:r>
    </w:p>
    <w:p>
      <w:pPr>
        <w:pStyle w:val="BodyText"/>
      </w:pPr>
      <w:r>
        <w:rPr>
          <w:bCs/>
          <w:b/>
        </w:rPr>
        <w:t xml:space="preserve">OHLC 기반 고빈도 프록시의 핵심 역할</w:t>
      </w:r>
      <w:r>
        <w:t xml:space="preserve">:</w:t>
      </w:r>
      <w:r>
        <w:t xml:space="preserve"> </w:t>
      </w:r>
      <w:r>
        <w:t xml:space="preserve">Permutation Importance 분석에서 Rogers-Satchell 변동성 추정량이 0.731로 압도적 1위를 기록하였다. 이는 종가만 사용하는 기존 HAR 모델이 일중(intra-day) 가격 변동 정보를 놓치고 있으며, OHLC 기반 범위 추정량(Range-based Estimators)이 이를 효과적으로 보완함을 입증한다. Parkinson(1980), Garman-Klass(1980) 추정량은 이론적으로 종가 기반 분산의 5배 이상 효율적이며, 본 연구는 이를 예측적 맥락에서 실증하였다.</w:t>
      </w:r>
    </w:p>
    <w:p>
      <w:pPr>
        <w:pStyle w:val="BodyText"/>
      </w:pPr>
      <w:r>
        <w:rPr>
          <w:bCs/>
          <w:b/>
        </w:rPr>
        <w:t xml:space="preserve">내재변동성 서피스의 보완적 예측력</w:t>
      </w:r>
      <w:r>
        <w:t xml:space="preserve">:</w:t>
      </w:r>
      <w:r>
        <w:t xml:space="preserve"> </w:t>
      </w:r>
      <w:r>
        <w:t xml:space="preserve">IV Surface 피처 그룹이 +0.026의 개별 기여를 보인 것은, 옵션 시장에 내재된 forward-looking 정보가 과거 기반 실현변동성 피처와 보완적이라는 기존 문헌(Christensen and Prabhala, 1998)의 발견과 일치한다. 특히 VRP(Variance Risk Premium)의 이동평균이 모든 자산 클래스에서 음의 계수를 보인 것은, 높은 VRP 기간 이후 실현변동성이 낮아지는 mean-reversion 패턴을 반영한다.</w:t>
      </w:r>
    </w:p>
    <w:p>
      <w:pPr>
        <w:pStyle w:val="BodyText"/>
      </w:pPr>
      <w:r>
        <w:rPr>
          <w:bCs/>
          <w:b/>
        </w:rPr>
        <w:t xml:space="preserve">선형 모델의 장기 예측 우위</w:t>
      </w:r>
      <w:r>
        <w:t xml:space="preserve">:</w:t>
      </w:r>
      <w:r>
        <w:t xml:space="preserve"> </w:t>
      </w:r>
      <w:r>
        <w:t xml:space="preserve">동일 37개 피처에서 Ridge(0.773) &gt; XGBoost(0.761) &gt; MLP(0.750)이라는 결과는, 22일 예측에서의 낮은 신호 대 잡음비 환경에서 강한 L2 정규화가 비선형 모델의 유연성보다 유리함을 확인한다. V43(Transformer, 0.534)이 HAR-RV보다 낮은 성능을 기록한 것이 대표적 사례이다.</w:t>
      </w:r>
    </w:p>
    <w:bookmarkEnd w:id="20"/>
    <w:bookmarkStart w:id="21" w:name="레짐별-분석의-해석"/>
    <w:p>
      <w:pPr>
        <w:pStyle w:val="Heading3"/>
      </w:pPr>
      <w:r>
        <w:t xml:space="preserve">1.2 레짐별 분석의 해석</w:t>
      </w:r>
    </w:p>
    <w:p>
      <w:pPr>
        <w:pStyle w:val="FirstParagraph"/>
      </w:pPr>
      <w:r>
        <w:t xml:space="preserve">V71이 High VIX 국면(90-100%)에서 V36 대비 +0.163 개선을 보인 것은 주목할 만하다. IV Surface 피처(VIX 기간구조, VRP)가 극단적 시장 상황에서 추가적 예측 정보를 제공하며, HF Proxy가 일중 변동 확대를 포착하여 위기 시 예측력이 강화되는 것으로 해석된다.</w:t>
      </w:r>
    </w:p>
    <w:bookmarkEnd w:id="21"/>
    <w:bookmarkStart w:id="22" w:name="피처-상관관계와-다중공선성"/>
    <w:p>
      <w:pPr>
        <w:pStyle w:val="Heading3"/>
      </w:pPr>
      <w:r>
        <w:t xml:space="preserve">1.3 피처 상관관계와 다중공선성</w:t>
      </w:r>
    </w:p>
    <w:p>
      <w:pPr>
        <w:pStyle w:val="FirstParagraph"/>
      </w:pPr>
      <w:r>
        <w:t xml:space="preserve">HF Proxy 피처(RS_22, GK_22, Park_22) 간 상관계수가 &gt;0.99로 강한 다중공선성이 존재하나, Ridge L2 정규화가 이를 자연스럽게 처리한다. 클래스별 Ridge 계수 분석에서 RS_22는 모든 클래스에서 양의 계수(변동성 지속성), IV_VRP_ma22는 모든 클래스에서 음의 계수(VRP 역방향)를 보여, 경제적 직관과 일치하는 부호를 확인하였다.</w:t>
      </w:r>
    </w:p>
    <w:p>
      <w:r>
        <w:pict>
          <v:rect style="width:0;height:1.5pt" o:hralign="center" o:hrstd="t" o:hr="t"/>
        </w:pict>
      </w:r>
    </w:p>
    <w:bookmarkEnd w:id="22"/>
    <w:bookmarkEnd w:id="23"/>
    <w:bookmarkStart w:id="27" w:name="한계점-limitations"/>
    <w:p>
      <w:pPr>
        <w:pStyle w:val="Heading2"/>
      </w:pPr>
      <w:r>
        <w:t xml:space="preserve">2. 한계점 (Limitations)</w:t>
      </w:r>
    </w:p>
    <w:bookmarkStart w:id="24" w:name="데이터-한계"/>
    <w:p>
      <w:pPr>
        <w:pStyle w:val="Heading3"/>
      </w:pPr>
      <w:r>
        <w:t xml:space="preserve">2.1 데이터 한계</w:t>
      </w:r>
    </w:p>
    <w:p>
      <w:pPr>
        <w:numPr>
          <w:ilvl w:val="0"/>
          <w:numId w:val="1001"/>
        </w:numPr>
        <w:pStyle w:val="Compact"/>
      </w:pPr>
      <w:r>
        <w:rPr>
          <w:bCs/>
          <w:b/>
        </w:rPr>
        <w:t xml:space="preserve">실제 고빈도 데이터 미사용</w:t>
      </w:r>
      <w:r>
        <w:t xml:space="preserve">: OHLC 기반 프록시를 사용하였으며, 실제 분 단위/틱 데이터 사용 시 추가 개선 가능</w:t>
      </w:r>
    </w:p>
    <w:p>
      <w:pPr>
        <w:numPr>
          <w:ilvl w:val="0"/>
          <w:numId w:val="1001"/>
        </w:numPr>
        <w:pStyle w:val="Compact"/>
      </w:pPr>
      <w:r>
        <w:rPr>
          <w:bCs/>
          <w:b/>
        </w:rPr>
        <w:t xml:space="preserve">개별 자산 IV Surface 미사용</w:t>
      </w:r>
      <w:r>
        <w:t xml:space="preserve">: VIX 지수(S&amp;P 500 기반)만 활용하였으나, 개별 자산의 옵션 체인 데이터 활용 시 자산별 예측 정확도 향상 가능</w:t>
      </w:r>
    </w:p>
    <w:p>
      <w:pPr>
        <w:numPr>
          <w:ilvl w:val="0"/>
          <w:numId w:val="1001"/>
        </w:numPr>
        <w:pStyle w:val="Compact"/>
      </w:pPr>
      <w:r>
        <w:rPr>
          <w:bCs/>
          <w:b/>
        </w:rPr>
        <w:t xml:space="preserve">VRP 정의의 간소화</w:t>
      </w:r>
      <w:r>
        <w:t xml:space="preserve">:</w:t>
      </w:r>
      <w:r>
        <w:t xml:space="preserve"> </w:t>
      </w:r>
      <m:oMath>
        <m:r>
          <m:t>V</m:t>
        </m:r>
        <m:r>
          <m:t>R</m:t>
        </m:r>
        <m:r>
          <m:t>P</m:t>
        </m:r>
        <m:r>
          <m:rPr>
            <m:sty m:val="p"/>
          </m:rPr>
          <m:t>≈</m:t>
        </m:r>
        <m:r>
          <m:t>V</m:t>
        </m:r>
        <m:r>
          <m:t>I</m:t>
        </m:r>
        <m:sSup>
          <m:e>
            <m:r>
              <m:t>X</m:t>
            </m:r>
          </m:e>
          <m:sup>
            <m:r>
              <m:t>2</m:t>
            </m:r>
          </m:sup>
        </m:sSup>
        <m:r>
          <m:rPr>
            <m:sty m:val="p"/>
          </m:rPr>
          <m:t>−</m:t>
        </m:r>
        <m:r>
          <m:t>R</m:t>
        </m:r>
        <m:r>
          <m:t>V</m:t>
        </m:r>
      </m:oMath>
      <w:r>
        <w:t xml:space="preserve"> </w:t>
      </w:r>
      <w:r>
        <w:t xml:space="preserve">는 이론적으로 엄밀하지 않으며, variance swap 기반의 Carr and Wu (2009) 정의와 괴리 존재</w:t>
      </w:r>
    </w:p>
    <w:bookmarkEnd w:id="24"/>
    <w:bookmarkStart w:id="25" w:name="방법론적-한계"/>
    <w:p>
      <w:pPr>
        <w:pStyle w:val="Heading3"/>
      </w:pPr>
      <w:r>
        <w:t xml:space="preserve">2.2 방법론적 한계</w:t>
      </w:r>
    </w:p>
    <w:p>
      <w:pPr>
        <w:numPr>
          <w:ilvl w:val="0"/>
          <w:numId w:val="1002"/>
        </w:numPr>
        <w:pStyle w:val="Compact"/>
      </w:pPr>
      <w:r>
        <w:rPr>
          <w:bCs/>
          <w:b/>
        </w:rPr>
        <w:t xml:space="preserve">Commodity 클래스 성능 제한적</w:t>
      </w:r>
      <w:r>
        <w:t xml:space="preserve">: V71의 Commodity R²(0.047)이 V36(0.102)보다 낮음. VIX/IV 피처가 Equity 중심으로 설계되어 Commodity에 최적이 아님</w:t>
      </w:r>
    </w:p>
    <w:p>
      <w:pPr>
        <w:numPr>
          <w:ilvl w:val="0"/>
          <w:numId w:val="1002"/>
        </w:numPr>
        <w:pStyle w:val="Compact"/>
      </w:pPr>
      <w:r>
        <w:rPr>
          <w:bCs/>
          <w:b/>
        </w:rPr>
        <w:t xml:space="preserve">2020-24 서브샘플 성능 하락</w:t>
      </w:r>
      <w:r>
        <w:t xml:space="preserve">: 구간 내 70/30 split의 학습 데이터 제한과 COVID-19 이후 시장 구조 변화에 기인. 전체 데이터에서는 일관적 우수</w:t>
      </w:r>
    </w:p>
    <w:p>
      <w:pPr>
        <w:numPr>
          <w:ilvl w:val="0"/>
          <w:numId w:val="1002"/>
        </w:numPr>
        <w:pStyle w:val="Compact"/>
      </w:pPr>
      <w:r>
        <w:rPr>
          <w:bCs/>
          <w:b/>
        </w:rPr>
        <w:t xml:space="preserve">딥러닝 모델 최적화 수준</w:t>
      </w:r>
      <w:r>
        <w:t xml:space="preserve">: 본 연구의 MLP/XGBoost 비교는 기본적 수준의 튜닝에 기반하며, 더 정교한 하이퍼파라미터 탐색 시 결과가 달라질 수 있음</w:t>
      </w:r>
    </w:p>
    <w:p>
      <w:pPr>
        <w:numPr>
          <w:ilvl w:val="0"/>
          <w:numId w:val="1002"/>
        </w:numPr>
        <w:pStyle w:val="Compact"/>
      </w:pPr>
      <w:r>
        <w:rPr>
          <w:bCs/>
          <w:b/>
        </w:rPr>
        <w:t xml:space="preserve">경제적 유의성 미검증</w:t>
      </w:r>
      <w:r>
        <w:t xml:space="preserve">: 통계적 예측력은 입증되었으나, VRP 예측 기반의 투자 전략에서의 경제적 수익성은 검증되지 않음</w:t>
      </w:r>
    </w:p>
    <w:bookmarkEnd w:id="25"/>
    <w:bookmarkStart w:id="26" w:name="일반화-한계"/>
    <w:p>
      <w:pPr>
        <w:pStyle w:val="Heading3"/>
      </w:pPr>
      <w:r>
        <w:t xml:space="preserve">2.3 일반화 한계</w:t>
      </w:r>
    </w:p>
    <w:p>
      <w:pPr>
        <w:numPr>
          <w:ilvl w:val="0"/>
          <w:numId w:val="1003"/>
        </w:numPr>
        <w:pStyle w:val="Compact"/>
      </w:pPr>
      <w:r>
        <w:rPr>
          <w:bCs/>
          <w:b/>
        </w:rPr>
        <w:t xml:space="preserve">미국 중심</w:t>
      </w:r>
      <w:r>
        <w:t xml:space="preserve">: 대상 자산이 주로 미국 시장 ETF에 한정</w:t>
      </w:r>
    </w:p>
    <w:p>
      <w:pPr>
        <w:numPr>
          <w:ilvl w:val="0"/>
          <w:numId w:val="1003"/>
        </w:numPr>
        <w:pStyle w:val="Compact"/>
      </w:pPr>
      <w:r>
        <w:rPr>
          <w:bCs/>
          <w:b/>
        </w:rPr>
        <w:t xml:space="preserve">HF Proxy 다중공선성</w:t>
      </w:r>
      <w:r>
        <w:t xml:space="preserve">: RS/GK/Park 간 상관 &gt;0.99. Elastic Net 적용 시 피처 선택 개선 가능</w:t>
      </w:r>
    </w:p>
    <w:p>
      <w:r>
        <w:pict>
          <v:rect style="width:0;height:1.5pt" o:hralign="center" o:hrstd="t" o:hr="t"/>
        </w:pict>
      </w:r>
    </w:p>
    <w:bookmarkEnd w:id="26"/>
    <w:bookmarkEnd w:id="27"/>
    <w:bookmarkStart w:id="30" w:name="실무적-함의-practical-implications"/>
    <w:p>
      <w:pPr>
        <w:pStyle w:val="Heading2"/>
      </w:pPr>
      <w:r>
        <w:t xml:space="preserve">3. 실무적 함의 (Practical Implications)</w:t>
      </w:r>
    </w:p>
    <w:bookmarkStart w:id="28" w:name="변동성-예측-실무"/>
    <w:p>
      <w:pPr>
        <w:pStyle w:val="Heading3"/>
      </w:pPr>
      <w:r>
        <w:t xml:space="preserve">3.1 변동성 예측 실무</w:t>
      </w:r>
    </w:p>
    <w:p>
      <w:pPr>
        <w:pStyle w:val="FirstParagraph"/>
      </w:pPr>
      <w:r>
        <w:t xml:space="preserve">V71의 37개 피처 프레임워크는 다음과 같은 실무적 응용에 기여한다:</w:t>
      </w:r>
    </w:p>
    <w:p>
      <w:pPr>
        <w:numPr>
          <w:ilvl w:val="0"/>
          <w:numId w:val="1004"/>
        </w:numPr>
        <w:pStyle w:val="Compact"/>
      </w:pPr>
      <w:r>
        <w:rPr>
          <w:bCs/>
          <w:b/>
        </w:rPr>
        <w:t xml:space="preserve">OHLC 데이터만으로 고빈도 프록시 수준의 정보 추출</w:t>
      </w:r>
      <w:r>
        <w:t xml:space="preserve">: 고빈도 데이터 접근이 어려운 환경에서도 범위 추정량으로 대체 가능</w:t>
      </w:r>
    </w:p>
    <w:p>
      <w:pPr>
        <w:numPr>
          <w:ilvl w:val="0"/>
          <w:numId w:val="1004"/>
        </w:numPr>
        <w:pStyle w:val="Compact"/>
      </w:pPr>
      <w:r>
        <w:rPr>
          <w:bCs/>
          <w:b/>
        </w:rPr>
        <w:t xml:space="preserve">VIX 기간구조 활용</w:t>
      </w:r>
      <w:r>
        <w:t xml:space="preserve">: VIX, VIX3M, VIX9D의 상대적 수준이 미래 변동성의 추가 예측 정보 제공</w:t>
      </w:r>
    </w:p>
    <w:p>
      <w:pPr>
        <w:numPr>
          <w:ilvl w:val="0"/>
          <w:numId w:val="1004"/>
        </w:numPr>
        <w:pStyle w:val="Compact"/>
      </w:pPr>
      <w:r>
        <w:rPr>
          <w:bCs/>
          <w:b/>
        </w:rPr>
        <w:t xml:space="preserve">자산 클래스별 최적화</w:t>
      </w:r>
      <w:r>
        <w:t xml:space="preserve">: Equity/Bond/Commodity 간 예측 특성이 상이하므로 클래스별 정규화 강도 조정 필요</w:t>
      </w:r>
    </w:p>
    <w:bookmarkEnd w:id="28"/>
    <w:bookmarkStart w:id="29" w:name="모델-선택-가이드라인"/>
    <w:p>
      <w:pPr>
        <w:pStyle w:val="Heading3"/>
      </w:pPr>
      <w:r>
        <w:t xml:space="preserve">3.2 모델 선택 가이드라인</w:t>
      </w:r>
    </w:p>
    <w:p>
      <w:pPr>
        <w:numPr>
          <w:ilvl w:val="0"/>
          <w:numId w:val="1005"/>
        </w:numPr>
        <w:pStyle w:val="Compact"/>
      </w:pPr>
      <w:r>
        <w:t xml:space="preserve">22일 리밸런싱:</w:t>
      </w:r>
      <w:r>
        <w:t xml:space="preserve"> </w:t>
      </w:r>
      <w:r>
        <w:rPr>
          <w:bCs/>
          <w:b/>
        </w:rPr>
        <w:t xml:space="preserve">V71 Ridge</w:t>
      </w:r>
      <w:r>
        <w:t xml:space="preserve"> </w:t>
      </w:r>
      <w:r>
        <w:t xml:space="preserve">(37개 피처, R² = 0.803)</w:t>
      </w:r>
    </w:p>
    <w:p>
      <w:pPr>
        <w:numPr>
          <w:ilvl w:val="0"/>
          <w:numId w:val="1005"/>
        </w:numPr>
        <w:pStyle w:val="Compact"/>
      </w:pPr>
      <w:r>
        <w:t xml:space="preserve">단순성 우선:</w:t>
      </w:r>
      <w:r>
        <w:t xml:space="preserve"> </w:t>
      </w:r>
      <w:r>
        <w:rPr>
          <w:bCs/>
          <w:b/>
        </w:rPr>
        <w:t xml:space="preserve">V36 Ridge</w:t>
      </w:r>
      <w:r>
        <w:t xml:space="preserve"> </w:t>
      </w:r>
      <w:r>
        <w:t xml:space="preserve">(3개 HAR 피처, R² = 0.755)</w:t>
      </w:r>
    </w:p>
    <w:p>
      <w:pPr>
        <w:numPr>
          <w:ilvl w:val="0"/>
          <w:numId w:val="1005"/>
        </w:numPr>
        <w:pStyle w:val="Compact"/>
      </w:pPr>
      <w:r>
        <w:t xml:space="preserve">개별 자산 정밀 예측 필요: 자산별 개별 모델 학습 권장 (풀링 모델의 자산별 R² 분산이 큼)</w:t>
      </w:r>
    </w:p>
    <w:p>
      <w:r>
        <w:pict>
          <v:rect style="width:0;height:1.5pt" o:hralign="center" o:hrstd="t" o:hr="t"/>
        </w:pict>
      </w:r>
    </w:p>
    <w:bookmarkEnd w:id="29"/>
    <w:bookmarkEnd w:id="30"/>
    <w:bookmarkStart w:id="34" w:name="향후-연구-future-work"/>
    <w:p>
      <w:pPr>
        <w:pStyle w:val="Heading2"/>
      </w:pPr>
      <w:r>
        <w:t xml:space="preserve">4. 향후 연구 (Future Work)</w:t>
      </w:r>
    </w:p>
    <w:bookmarkStart w:id="31" w:name="단기-과제"/>
    <w:p>
      <w:pPr>
        <w:pStyle w:val="Heading3"/>
      </w:pPr>
      <w:r>
        <w:t xml:space="preserve">4.1 단기 과제</w:t>
      </w:r>
    </w:p>
    <w:p>
      <w:pPr>
        <w:numPr>
          <w:ilvl w:val="0"/>
          <w:numId w:val="1006"/>
        </w:numPr>
        <w:pStyle w:val="Compact"/>
      </w:pPr>
      <w:r>
        <w:rPr>
          <w:bCs/>
          <w:b/>
        </w:rPr>
        <w:t xml:space="preserve">Elastic Net 적용</w:t>
      </w:r>
      <w:r>
        <w:t xml:space="preserve">: HF Proxy 간 다중공선성(&gt;0.99)을 L1+L2로 자동 처리</w:t>
      </w:r>
    </w:p>
    <w:p>
      <w:pPr>
        <w:numPr>
          <w:ilvl w:val="0"/>
          <w:numId w:val="1006"/>
        </w:numPr>
        <w:pStyle w:val="Compact"/>
      </w:pPr>
      <w:r>
        <w:rPr>
          <w:bCs/>
          <w:b/>
        </w:rPr>
        <w:t xml:space="preserve">개별 자산 IV Surface 활용</w:t>
      </w:r>
      <w:r>
        <w:t xml:space="preserve">: VIX 대신 자산별 옵션 내재변동성 사용</w:t>
      </w:r>
    </w:p>
    <w:p>
      <w:pPr>
        <w:numPr>
          <w:ilvl w:val="0"/>
          <w:numId w:val="1006"/>
        </w:numPr>
        <w:pStyle w:val="Compact"/>
      </w:pPr>
      <w:r>
        <w:rPr>
          <w:bCs/>
          <w:b/>
        </w:rPr>
        <w:t xml:space="preserve">경제적 유의성 검증</w:t>
      </w:r>
      <w:r>
        <w:t xml:space="preserve">: VRP 예측 기반 variance swap 전략 백테스트</w:t>
      </w:r>
    </w:p>
    <w:bookmarkEnd w:id="31"/>
    <w:bookmarkStart w:id="32" w:name="중기-과제"/>
    <w:p>
      <w:pPr>
        <w:pStyle w:val="Heading3"/>
      </w:pPr>
      <w:r>
        <w:t xml:space="preserve">4.2 중기 과제</w:t>
      </w:r>
    </w:p>
    <w:p>
      <w:pPr>
        <w:numPr>
          <w:ilvl w:val="0"/>
          <w:numId w:val="1007"/>
        </w:numPr>
        <w:pStyle w:val="Compact"/>
      </w:pPr>
      <w:r>
        <w:rPr>
          <w:bCs/>
          <w:b/>
        </w:rPr>
        <w:t xml:space="preserve">타임라인 도식</w:t>
      </w:r>
      <w:r>
        <w:t xml:space="preserve">: 논문 본문에 Feature &amp; Target Pipeline 시점 관계 도식 추가</w:t>
      </w:r>
    </w:p>
    <w:p>
      <w:pPr>
        <w:numPr>
          <w:ilvl w:val="0"/>
          <w:numId w:val="1007"/>
        </w:numPr>
        <w:pStyle w:val="Compact"/>
      </w:pPr>
      <w:r>
        <w:rPr>
          <w:bCs/>
          <w:b/>
        </w:rPr>
        <w:t xml:space="preserve">Multi-Horizon 확장</w:t>
      </w:r>
      <w:r>
        <w:t xml:space="preserve">: 1일/5일/22일/66일 통합 예측 프레임워크</w:t>
      </w:r>
    </w:p>
    <w:p>
      <w:pPr>
        <w:numPr>
          <w:ilvl w:val="0"/>
          <w:numId w:val="1007"/>
        </w:numPr>
        <w:pStyle w:val="Compact"/>
      </w:pPr>
      <w:r>
        <w:rPr>
          <w:bCs/>
          <w:b/>
        </w:rPr>
        <w:t xml:space="preserve">뉴스 감성 통합</w:t>
      </w:r>
      <w:r>
        <w:t xml:space="preserve">: NLP 기반 실시간 뉴스 감성 분석을 Alt Data에 추가</w:t>
      </w:r>
    </w:p>
    <w:bookmarkEnd w:id="32"/>
    <w:bookmarkStart w:id="33" w:name="장기-과제"/>
    <w:p>
      <w:pPr>
        <w:pStyle w:val="Heading3"/>
      </w:pPr>
      <w:r>
        <w:t xml:space="preserve">4.3 장기 과제</w:t>
      </w:r>
    </w:p>
    <w:p>
      <w:pPr>
        <w:numPr>
          <w:ilvl w:val="0"/>
          <w:numId w:val="1008"/>
        </w:numPr>
        <w:pStyle w:val="Compact"/>
      </w:pPr>
      <w:r>
        <w:rPr>
          <w:bCs/>
          <w:b/>
        </w:rPr>
        <w:t xml:space="preserve">실시간 예측 시스템</w:t>
      </w:r>
      <w:r>
        <w:t xml:space="preserve">: 웹 대시보드 기반 실시간 Cross-Asset VRP 모니터링</w:t>
      </w:r>
    </w:p>
    <w:p>
      <w:pPr>
        <w:numPr>
          <w:ilvl w:val="0"/>
          <w:numId w:val="1008"/>
        </w:numPr>
        <w:pStyle w:val="Compact"/>
      </w:pPr>
      <w:r>
        <w:rPr>
          <w:bCs/>
          <w:b/>
        </w:rPr>
        <w:t xml:space="preserve">Regime-Switching 통합</w:t>
      </w:r>
      <w:r>
        <w:t xml:space="preserve">: VIX 레짐에 따른 동적 모델 선택/가중치 조정</w:t>
      </w:r>
    </w:p>
    <w:p>
      <w:pPr>
        <w:numPr>
          <w:ilvl w:val="0"/>
          <w:numId w:val="1008"/>
        </w:numPr>
        <w:pStyle w:val="Compact"/>
      </w:pPr>
      <w:r>
        <w:rPr>
          <w:bCs/>
          <w:b/>
        </w:rPr>
        <w:t xml:space="preserve">자산 유니버스 확장</w:t>
      </w:r>
      <w:r>
        <w:t xml:space="preserve">: 아시아/유럽 시장, 암호화폐로 확장</w:t>
      </w:r>
    </w:p>
    <w:p>
      <w:r>
        <w:pict>
          <v:rect style="width:0;height:1.5pt" o:hralign="center" o:hrstd="t" o:hr="t"/>
        </w:pict>
      </w:r>
    </w:p>
    <w:bookmarkEnd w:id="33"/>
    <w:bookmarkEnd w:id="34"/>
    <w:bookmarkStart w:id="35" w:name="결론-conclusion"/>
    <w:p>
      <w:pPr>
        <w:pStyle w:val="Heading2"/>
      </w:pPr>
      <w:r>
        <w:t xml:space="preserve">5. 결론 (Conclusion)</w:t>
      </w:r>
    </w:p>
    <w:p>
      <w:pPr>
        <w:pStyle w:val="FirstParagraph"/>
      </w:pPr>
      <w:r>
        <w:t xml:space="preserve">본 연구는 Cross-Asset Volatility Risk Premium 예측을 위한 통합 머신러닝 프레임워크를 제안하고, 70회 이상의 체계적 실험을 통해 그 유효성을 입증하였다. 핵심 결론을 요약하면 다음과 같다:</w:t>
      </w:r>
    </w:p>
    <w:p>
      <w:pPr>
        <w:pStyle w:val="BodyText"/>
      </w:pPr>
      <w:r>
        <w:rPr>
          <w:bCs/>
          <w:b/>
        </w:rPr>
        <w:t xml:space="preserve">첫째</w:t>
      </w:r>
      <w:r>
        <w:t xml:space="preserve">, OHLC 기반 고빈도 프록시(Parkinson, Garman-Klass, Rogers-Satchell)와 옵션 내재변동성 서피스(VIX 기간구조, VRP)를 통합한 37개 피처가 22일 실현변동성 예측에서 결정적 역할을 한다. V71 모델은 R² = 0.803을 달성하여, 3개 HAR 피처만 사용한 V36(0.755)보다 6.3% 개선, GARCH-MIDAS(0.55)보다 46.0% 개선을 보였다.</w:t>
      </w:r>
    </w:p>
    <w:p>
      <w:pPr>
        <w:pStyle w:val="BodyText"/>
      </w:pPr>
      <w:r>
        <w:rPr>
          <w:bCs/>
          <w:b/>
        </w:rPr>
        <w:t xml:space="preserve">둘째</w:t>
      </w:r>
      <w:r>
        <w:t xml:space="preserve">, 동일 37개 피처에서 Ridge(0.773) &gt; XGBoost(0.761) &gt; MLP(0.750)으로, 22일 예측에서 선형 모델이 비선형 모델을 일관적으로 압도한다. 이는</w:t>
      </w:r>
      <w:r>
        <w:t xml:space="preserve"> </w:t>
      </w:r>
      <w:r>
        <w:rPr>
          <w:bCs/>
          <w:b/>
        </w:rPr>
        <w:t xml:space="preserve">피처 엔지니어링이 모델 복잡도보다 변동성 예측에 본질적으로 중요</w:t>
      </w:r>
      <w:r>
        <w:t xml:space="preserve">함을 시사한다.</w:t>
      </w:r>
    </w:p>
    <w:p>
      <w:pPr>
        <w:pStyle w:val="BodyText"/>
      </w:pPr>
      <w:r>
        <w:rPr>
          <w:bCs/>
          <w:b/>
        </w:rPr>
        <w:t xml:space="preserve">셋째</w:t>
      </w:r>
      <w:r>
        <w:t xml:space="preserve">, Diebold-Mariano 검정(Newey-West HAC, h=22)에서 모든 벤치마크 대비 p&lt;0.001로 통계적으로 강하게 유의하며, VIX quantile 레짐 분석에서 고변동성 국면(90-100%)에서의 +0.163 개선은 V71의 위기 대응력을 입증한다.</w:t>
      </w:r>
    </w:p>
    <w:p>
      <w:pPr>
        <w:pStyle w:val="BodyText"/>
      </w:pPr>
      <w:r>
        <w:rPr>
          <w:bCs/>
          <w:b/>
        </w:rPr>
        <w:t xml:space="preserve">넷째</w:t>
      </w:r>
      <w:r>
        <w:t xml:space="preserve">, 포괄적 건전성 검증(6개 테스트)과 자산별/클래스별 성능 분석을 통해 결과의 신뢰성을 확보하였다. Equity(+0.163)와 Bond(+0.953)에서의 대폭 개선은 HF Proxy와 IV Surface가 이들 자산 클래스에서 특히 유효함을 보여준다.</w:t>
      </w:r>
    </w:p>
    <w:p>
      <w:pPr>
        <w:pStyle w:val="BodyText"/>
      </w:pPr>
      <w:r>
        <w:t xml:space="preserve">본 연구의 발견은 변동성 예측 연구에서</w:t>
      </w:r>
      <w:r>
        <w:t xml:space="preserve"> </w:t>
      </w:r>
      <w:r>
        <w:t xml:space="preserve">“</w:t>
      </w:r>
      <w:r>
        <w:t xml:space="preserve">모델 복잡도 확대</w:t>
      </w:r>
      <w:r>
        <w:t xml:space="preserve">”</w:t>
      </w:r>
      <w:r>
        <w:t xml:space="preserve">보다</w:t>
      </w:r>
      <w:r>
        <w:t xml:space="preserve"> </w:t>
      </w:r>
      <w:r>
        <w:t xml:space="preserve">“</w:t>
      </w:r>
      <w:r>
        <w:t xml:space="preserve">피처 엔지니어링 심화</w:t>
      </w:r>
      <w:r>
        <w:t xml:space="preserve">”</w:t>
      </w:r>
      <w:r>
        <w:t xml:space="preserve">가 더 효과적인 전략임을 실증적으로 제시하며, OHLC 데이터와 VIX 지수만으로도 강력한 Cross-Asset VRP 예측이 가능함을 보여준다.</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2026-02-15T16:00:26Z</dcterms:created>
  <dcterms:modified xsi:type="dcterms:W3CDTF">2026-02-15T16:00:26Z</dcterms:modified>
</cp:coreProperties>
</file>

<file path=docProps/custom.xml><?xml version="1.0" encoding="utf-8"?>
<Properties xmlns="http://schemas.openxmlformats.org/officeDocument/2006/custom-properties" xmlns:vt="http://schemas.openxmlformats.org/officeDocument/2006/docPropsVTypes"/>
</file>