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DFD Dictionary</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mc:AlternateContent>
          <mc:Choice Requires="wpg">
            <w:drawing>
              <wp:inline distB="114300" distT="114300" distL="114300" distR="114300">
                <wp:extent cx="360045" cy="214313"/>
                <wp:effectExtent b="0" l="0" r="0" t="0"/>
                <wp:docPr id="2" name=""/>
                <a:graphic>
                  <a:graphicData uri="http://schemas.microsoft.com/office/word/2010/wordprocessingShape">
                    <wps:wsp>
                      <wps:cNvSpPr/>
                      <wps:cNvPr id="3" name="Shape 3"/>
                      <wps:spPr>
                        <a:xfrm>
                          <a:off x="2609850" y="628650"/>
                          <a:ext cx="1085700" cy="6192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360045" cy="214313"/>
                <wp:effectExtent b="0" l="0" r="0" t="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360045" cy="214313"/>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tl w:val="0"/>
        </w:rPr>
        <w:t xml:space="preserve">Processes</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mc:AlternateContent>
          <mc:Choice Requires="wpg">
            <w:drawing>
              <wp:inline distB="114300" distT="114300" distL="114300" distR="114300">
                <wp:extent cx="357188" cy="223242"/>
                <wp:effectExtent b="0" l="0" r="0" t="0"/>
                <wp:docPr id="1" name=""/>
                <a:graphic>
                  <a:graphicData uri="http://schemas.microsoft.com/office/word/2010/wordprocessingShape">
                    <wps:wsp>
                      <wps:cNvSpPr/>
                      <wps:cNvPr id="2" name="Shape 2"/>
                      <wps:spPr>
                        <a:xfrm>
                          <a:off x="3390900" y="1047750"/>
                          <a:ext cx="924000" cy="552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357188" cy="223242"/>
                <wp:effectExtent b="0" l="0" r="0" t="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357188" cy="223242"/>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tl w:val="0"/>
        </w:rPr>
        <w:t xml:space="preserve">Entities</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mc:AlternateContent>
          <mc:Choice Requires="wpg">
            <w:drawing>
              <wp:inline distB="114300" distT="114300" distL="114300" distR="114300">
                <wp:extent cx="376238" cy="190500"/>
                <wp:effectExtent b="0" l="0" r="0" t="0"/>
                <wp:docPr id="4" name=""/>
                <a:graphic>
                  <a:graphicData uri="http://schemas.microsoft.com/office/word/2010/wordprocessingShape">
                    <wps:wsp>
                      <wps:cNvCnPr/>
                      <wps:spPr>
                        <a:xfrm>
                          <a:off x="1981200" y="647700"/>
                          <a:ext cx="1438200" cy="0"/>
                        </a:xfrm>
                        <a:prstGeom prst="straightConnector1">
                          <a:avLst/>
                        </a:prstGeom>
                        <a:noFill/>
                        <a:ln cap="flat" cmpd="sng" w="38100">
                          <a:solidFill>
                            <a:srgbClr val="4A86E8"/>
                          </a:solidFill>
                          <a:prstDash val="solid"/>
                          <a:round/>
                          <a:headEnd len="lg" w="lg" type="none"/>
                          <a:tailEnd len="lg" w="lg" type="triangle"/>
                        </a:ln>
                      </wps:spPr>
                      <wps:bodyPr anchorCtr="0" anchor="ctr" bIns="91425" lIns="91425" rIns="91425" tIns="91425"/>
                    </wps:wsp>
                  </a:graphicData>
                </a:graphic>
              </wp:inline>
            </w:drawing>
          </mc:Choice>
          <mc:Fallback>
            <w:drawing>
              <wp:inline distB="114300" distT="114300" distL="114300" distR="114300">
                <wp:extent cx="376238" cy="190500"/>
                <wp:effectExtent b="0" l="0" r="0" t="0"/>
                <wp:docPr id="4" name="image07.png"/>
                <a:graphic>
                  <a:graphicData uri="http://schemas.openxmlformats.org/drawingml/2006/picture">
                    <pic:pic>
                      <pic:nvPicPr>
                        <pic:cNvPr id="0" name="image07.png"/>
                        <pic:cNvPicPr preferRelativeResize="0"/>
                      </pic:nvPicPr>
                      <pic:blipFill>
                        <a:blip r:embed="rId7"/>
                        <a:srcRect/>
                        <a:stretch>
                          <a:fillRect/>
                        </a:stretch>
                      </pic:blipFill>
                      <pic:spPr>
                        <a:xfrm>
                          <a:off x="0" y="0"/>
                          <a:ext cx="376238" cy="190500"/>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tl w:val="0"/>
        </w:rPr>
        <w:t xml:space="preserve">Data Flows</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mc:AlternateContent>
          <mc:Choice Requires="wpg">
            <w:drawing>
              <wp:inline distB="114300" distT="114300" distL="114300" distR="114300">
                <wp:extent cx="452438" cy="219075"/>
                <wp:effectExtent b="0" l="0" r="0" t="0"/>
                <wp:docPr id="3" name=""/>
                <a:graphic>
                  <a:graphicData uri="http://schemas.microsoft.com/office/word/2010/wordprocessingGroup">
                    <wpg:wgp>
                      <wpg:cNvGrpSpPr/>
                      <wpg:grpSpPr>
                        <a:xfrm>
                          <a:off x="2505112" y="619149"/>
                          <a:ext cx="452438" cy="219075"/>
                          <a:chOff x="2505112" y="619149"/>
                          <a:chExt cx="923859" cy="238096"/>
                        </a:xfrm>
                      </wpg:grpSpPr>
                      <wpg:grpSp>
                        <wpg:cNvGrpSpPr/>
                        <wpg:grpSpPr>
                          <a:xfrm>
                            <a:off x="2505112" y="619149"/>
                            <a:ext cx="923859" cy="238096"/>
                            <a:chOff x="2505075" y="523875"/>
                            <a:chExt cx="2009700" cy="333375"/>
                          </a:xfrm>
                        </wpg:grpSpPr>
                        <wps:wsp>
                          <wps:cNvCnPr/>
                          <wps:spPr>
                            <a:xfrm>
                              <a:off x="2505075" y="523875"/>
                              <a:ext cx="2009700" cy="9600"/>
                            </a:xfrm>
                            <a:prstGeom prst="straightConnector1">
                              <a:avLst/>
                            </a:prstGeom>
                            <a:noFill/>
                            <a:ln cap="flat" cmpd="sng" w="38100">
                              <a:solidFill>
                                <a:srgbClr val="4A86E8"/>
                              </a:solidFill>
                              <a:prstDash val="solid"/>
                              <a:round/>
                              <a:headEnd len="lg" w="lg" type="none"/>
                              <a:tailEnd len="lg" w="lg" type="none"/>
                            </a:ln>
                          </wps:spPr>
                          <wps:bodyPr anchorCtr="0" anchor="ctr" bIns="91425" lIns="91425" rIns="91425" tIns="91425"/>
                        </wps:wsp>
                        <wps:wsp>
                          <wps:cNvCnPr/>
                          <wps:spPr>
                            <a:xfrm>
                              <a:off x="2505075" y="857250"/>
                              <a:ext cx="2000400" cy="0"/>
                            </a:xfrm>
                            <a:prstGeom prst="straightConnector1">
                              <a:avLst/>
                            </a:prstGeom>
                            <a:noFill/>
                            <a:ln cap="flat" cmpd="sng" w="38100">
                              <a:solidFill>
                                <a:srgbClr val="4A86E8"/>
                              </a:solidFill>
                              <a:prstDash val="solid"/>
                              <a:round/>
                              <a:headEnd len="lg" w="lg" type="none"/>
                              <a:tailEnd len="lg" w="lg" type="none"/>
                            </a:ln>
                          </wps:spPr>
                          <wps:bodyPr anchorCtr="0" anchor="ctr" bIns="91425" lIns="91425" rIns="91425" tIns="91425"/>
                        </wps:wsp>
                      </wpg:grpSp>
                    </wpg:wgp>
                  </a:graphicData>
                </a:graphic>
              </wp:inline>
            </w:drawing>
          </mc:Choice>
          <mc:Fallback>
            <w:drawing>
              <wp:inline distB="114300" distT="114300" distL="114300" distR="114300">
                <wp:extent cx="452438" cy="219075"/>
                <wp:effectExtent b="0" l="0" r="0" t="0"/>
                <wp:docPr id="3" name="image05.png"/>
                <a:graphic>
                  <a:graphicData uri="http://schemas.openxmlformats.org/drawingml/2006/picture">
                    <pic:pic>
                      <pic:nvPicPr>
                        <pic:cNvPr id="0" name="image05.png"/>
                        <pic:cNvPicPr preferRelativeResize="0"/>
                      </pic:nvPicPr>
                      <pic:blipFill>
                        <a:blip r:embed="rId8"/>
                        <a:srcRect/>
                        <a:stretch>
                          <a:fillRect/>
                        </a:stretch>
                      </pic:blipFill>
                      <pic:spPr>
                        <a:xfrm>
                          <a:off x="0" y="0"/>
                          <a:ext cx="452438" cy="219075"/>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tl w:val="0"/>
        </w:rPr>
        <w:t xml:space="preserve">Data Repositories</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Entities:</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Developer- </w:t>
      </w:r>
      <w:r w:rsidDel="00000000" w:rsidR="00000000" w:rsidRPr="00000000">
        <w:rPr>
          <w:rFonts w:ascii="Times New Roman" w:cs="Times New Roman" w:eastAsia="Times New Roman" w:hAnsi="Times New Roman"/>
          <w:sz w:val="24"/>
          <w:szCs w:val="24"/>
          <w:rtl w:val="0"/>
        </w:rPr>
        <w:t xml:space="preserve">create, edits, and reviews the software package for the company.  Submits package to be scanned for OSS licenses and vulnerabilities.  </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Manager- </w:t>
      </w:r>
      <w:r w:rsidDel="00000000" w:rsidR="00000000" w:rsidRPr="00000000">
        <w:rPr>
          <w:rFonts w:ascii="Times New Roman" w:cs="Times New Roman" w:eastAsia="Times New Roman" w:hAnsi="Times New Roman"/>
          <w:sz w:val="24"/>
          <w:szCs w:val="24"/>
          <w:rtl w:val="0"/>
        </w:rPr>
        <w:t xml:space="preserve">requests license and vulnerability results, creates and edits policy regarding OSS licenses and vulnerabilities.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Processes: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Manage the Discovery of OSS Risk-</w:t>
      </w:r>
      <w:r w:rsidDel="00000000" w:rsidR="00000000" w:rsidRPr="00000000">
        <w:rPr>
          <w:rFonts w:ascii="Times New Roman" w:cs="Times New Roman" w:eastAsia="Times New Roman" w:hAnsi="Times New Roman"/>
          <w:sz w:val="24"/>
          <w:szCs w:val="24"/>
          <w:rtl w:val="0"/>
        </w:rPr>
        <w:t xml:space="preserve"> the developer requests results from this process.  This process sends and receives data to and from the process “scan for OSS licenses” and the repository “NIST Vulnerability DB”.  This data is then sent to the repository “Scanned Software DB”.  </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Scan for OSS licenses- </w:t>
      </w:r>
      <w:r w:rsidDel="00000000" w:rsidR="00000000" w:rsidRPr="00000000">
        <w:rPr>
          <w:rFonts w:ascii="Times New Roman" w:cs="Times New Roman" w:eastAsia="Times New Roman" w:hAnsi="Times New Roman"/>
          <w:sz w:val="24"/>
          <w:szCs w:val="24"/>
          <w:rtl w:val="0"/>
        </w:rPr>
        <w:t xml:space="preserve">the developer sends a software package to be scanned for licenses through this process.  Results are sent to the repository and back to the developer.  </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Create/edit policy-</w:t>
      </w:r>
      <w:r w:rsidDel="00000000" w:rsidR="00000000" w:rsidRPr="00000000">
        <w:rPr>
          <w:rFonts w:ascii="Times New Roman" w:cs="Times New Roman" w:eastAsia="Times New Roman" w:hAnsi="Times New Roman"/>
          <w:sz w:val="24"/>
          <w:szCs w:val="24"/>
          <w:rtl w:val="0"/>
        </w:rPr>
        <w:t xml:space="preserve"> The manager can create or edit policies regarding the license and vulnerability information.  </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Get license &amp; vulnerability info-</w:t>
      </w:r>
      <w:r w:rsidDel="00000000" w:rsidR="00000000" w:rsidRPr="00000000">
        <w:rPr>
          <w:rFonts w:ascii="Times New Roman" w:cs="Times New Roman" w:eastAsia="Times New Roman" w:hAnsi="Times New Roman"/>
          <w:sz w:val="24"/>
          <w:szCs w:val="24"/>
          <w:rtl w:val="0"/>
        </w:rPr>
        <w:t xml:space="preserve"> The manager requests the OSS license and vulnerability information from the Scanned Software Database, to assist with creating and editing policies regarding this information.  </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Apply policy- </w:t>
      </w:r>
      <w:r w:rsidDel="00000000" w:rsidR="00000000" w:rsidRPr="00000000">
        <w:rPr>
          <w:rFonts w:ascii="Times New Roman" w:cs="Times New Roman" w:eastAsia="Times New Roman" w:hAnsi="Times New Roman"/>
          <w:sz w:val="24"/>
          <w:szCs w:val="24"/>
          <w:rtl w:val="0"/>
        </w:rPr>
        <w:t xml:space="preserve">The manager can apply a new policy regarding the OSS license and vulnerability information, this policy is sent to the “Policy DB”.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Repositories:  </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NIST Vulnerability DB-</w:t>
      </w:r>
      <w:r w:rsidDel="00000000" w:rsidR="00000000" w:rsidRPr="00000000">
        <w:rPr>
          <w:rFonts w:ascii="Times New Roman" w:cs="Times New Roman" w:eastAsia="Times New Roman" w:hAnsi="Times New Roman"/>
          <w:sz w:val="24"/>
          <w:szCs w:val="24"/>
          <w:rtl w:val="0"/>
        </w:rPr>
        <w:t xml:space="preserve"> This database, for the National Institute of Standards and Technology, allows software packages to be scanned for vulnerabilities that are entered into this system.  </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Policy DB- </w:t>
      </w:r>
      <w:r w:rsidDel="00000000" w:rsidR="00000000" w:rsidRPr="00000000">
        <w:rPr>
          <w:rFonts w:ascii="Times New Roman" w:cs="Times New Roman" w:eastAsia="Times New Roman" w:hAnsi="Times New Roman"/>
          <w:sz w:val="24"/>
          <w:szCs w:val="24"/>
          <w:rtl w:val="0"/>
        </w:rPr>
        <w:t xml:space="preserve">This database holds all applied policies which the manager has created, regarding OSS licenses and vulnerabilities.  </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Scanned Software DB-</w:t>
      </w:r>
      <w:r w:rsidDel="00000000" w:rsidR="00000000" w:rsidRPr="00000000">
        <w:rPr>
          <w:rFonts w:ascii="Times New Roman" w:cs="Times New Roman" w:eastAsia="Times New Roman" w:hAnsi="Times New Roman"/>
          <w:sz w:val="24"/>
          <w:szCs w:val="24"/>
          <w:rtl w:val="0"/>
        </w:rPr>
        <w:t xml:space="preserve"> This database holds all results from software package scans with the NIST Vulnerability DB, and checks for OSS licenses.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Flows: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Software package-</w:t>
      </w:r>
      <w:r w:rsidDel="00000000" w:rsidR="00000000" w:rsidRPr="00000000">
        <w:rPr>
          <w:rFonts w:ascii="Times New Roman" w:cs="Times New Roman" w:eastAsia="Times New Roman" w:hAnsi="Times New Roman"/>
          <w:sz w:val="24"/>
          <w:szCs w:val="24"/>
          <w:rtl w:val="0"/>
        </w:rPr>
        <w:t xml:space="preserve"> The software package, created by the developer and submitted to check for license and vulnerability information.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Vulnerability Results- </w:t>
      </w:r>
      <w:r w:rsidDel="00000000" w:rsidR="00000000" w:rsidRPr="00000000">
        <w:rPr>
          <w:rFonts w:ascii="Times New Roman" w:cs="Times New Roman" w:eastAsia="Times New Roman" w:hAnsi="Times New Roman"/>
          <w:sz w:val="24"/>
          <w:szCs w:val="24"/>
          <w:rtl w:val="0"/>
        </w:rPr>
        <w:t xml:space="preserve">The scanned software results from the NIST Vulnerability DB.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License Results- </w:t>
      </w:r>
      <w:r w:rsidDel="00000000" w:rsidR="00000000" w:rsidRPr="00000000">
        <w:rPr>
          <w:rFonts w:ascii="Times New Roman" w:cs="Times New Roman" w:eastAsia="Times New Roman" w:hAnsi="Times New Roman"/>
          <w:sz w:val="24"/>
          <w:szCs w:val="24"/>
          <w:rtl w:val="0"/>
        </w:rPr>
        <w:t xml:space="preserve">The license results for the submitted software.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Scanned Software Results- </w:t>
      </w:r>
      <w:r w:rsidDel="00000000" w:rsidR="00000000" w:rsidRPr="00000000">
        <w:rPr>
          <w:rFonts w:ascii="Times New Roman" w:cs="Times New Roman" w:eastAsia="Times New Roman" w:hAnsi="Times New Roman"/>
          <w:sz w:val="24"/>
          <w:szCs w:val="24"/>
          <w:rtl w:val="0"/>
        </w:rPr>
        <w:t xml:space="preserve">The combination of both vulnerability and license results for the software package.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Package Policy- </w:t>
      </w:r>
      <w:r w:rsidDel="00000000" w:rsidR="00000000" w:rsidRPr="00000000">
        <w:rPr>
          <w:rFonts w:ascii="Times New Roman" w:cs="Times New Roman" w:eastAsia="Times New Roman" w:hAnsi="Times New Roman"/>
          <w:sz w:val="24"/>
          <w:szCs w:val="24"/>
          <w:rtl w:val="0"/>
        </w:rPr>
        <w:t xml:space="preserve">Created by the manager, the policy in regards to any license and vulnerability information for a software package.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image" Target="media/image07.png"/><Relationship Id="rId8" Type="http://schemas.openxmlformats.org/officeDocument/2006/relationships/image" Target="media/image05.png"/></Relationships>
</file>