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6F3C0B">
      <w:pPr>
        <w:ind w:firstLine="0" w:firstLineChars="0"/>
        <w:jc w:val="center"/>
        <w:rPr>
          <w:rFonts w:hint="eastAsia" w:ascii="黑体" w:hAnsi="黑体" w:eastAsia="黑体"/>
          <w:sz w:val="32"/>
          <w:szCs w:val="32"/>
          <w:lang w:val="en-US" w:eastAsia="zh-CN"/>
        </w:rPr>
      </w:pPr>
    </w:p>
    <w:p w14:paraId="0EBE2B2E">
      <w:pPr>
        <w:ind w:firstLine="0" w:firstLineChars="0"/>
        <w:jc w:val="center"/>
        <w:rPr>
          <w:rFonts w:hint="eastAsia" w:ascii="黑体" w:hAnsi="黑体" w:eastAsia="黑体"/>
          <w:sz w:val="32"/>
          <w:szCs w:val="32"/>
          <w:lang w:val="en-US" w:eastAsia="zh-CN"/>
        </w:rPr>
      </w:pPr>
    </w:p>
    <w:p w14:paraId="16D3BFFA">
      <w:pPr>
        <w:ind w:firstLine="0" w:firstLineChars="0"/>
        <w:jc w:val="center"/>
        <w:rPr>
          <w:rFonts w:hint="eastAsia" w:ascii="黑体" w:hAnsi="黑体" w:eastAsia="黑体"/>
          <w:sz w:val="32"/>
          <w:szCs w:val="32"/>
          <w:lang w:val="en-US" w:eastAsia="zh-CN"/>
        </w:rPr>
      </w:pPr>
    </w:p>
    <w:p w14:paraId="0E0C680F">
      <w:pPr>
        <w:ind w:firstLine="0" w:firstLineChars="0"/>
        <w:jc w:val="center"/>
        <w:rPr>
          <w:rFonts w:hint="eastAsia" w:ascii="黑体" w:hAnsi="黑体" w:eastAsia="黑体"/>
          <w:sz w:val="32"/>
          <w:szCs w:val="32"/>
          <w:lang w:val="en-US" w:eastAsia="zh-CN"/>
        </w:rPr>
      </w:pPr>
    </w:p>
    <w:p w14:paraId="0BDA72B4">
      <w:pPr>
        <w:bidi w:val="0"/>
        <w:ind w:left="0" w:leftChars="0" w:firstLine="0" w:firstLineChars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2026年第二届重庆市AI大模型创新应用大赛</w:t>
      </w:r>
    </w:p>
    <w:p w14:paraId="4B07FA75">
      <w:pPr>
        <w:bidi w:val="0"/>
        <w:ind w:left="0" w:leftChars="0" w:firstLine="0" w:firstLineChars="0"/>
        <w:jc w:val="center"/>
        <w:rPr>
          <w:rFonts w:hint="eastAsia" w:ascii="黑体" w:hAnsi="黑体" w:eastAsia="黑体" w:cs="黑体"/>
        </w:rPr>
      </w:pPr>
    </w:p>
    <w:p w14:paraId="5680A7A3">
      <w:pPr>
        <w:bidi w:val="0"/>
        <w:ind w:left="0" w:leftChars="0" w:firstLine="0" w:firstLineChars="0"/>
        <w:jc w:val="center"/>
        <w:rPr>
          <w:rFonts w:hint="eastAsia" w:ascii="黑体" w:hAnsi="黑体" w:eastAsia="黑体" w:cs="黑体"/>
          <w:lang w:val="en-US" w:eastAsia="zh-CN"/>
        </w:rPr>
      </w:pPr>
    </w:p>
    <w:p w14:paraId="7134CE88">
      <w:pPr>
        <w:ind w:firstLine="0" w:firstLineChars="0"/>
        <w:jc w:val="center"/>
        <w:rPr>
          <w:rFonts w:hint="default" w:ascii="黑体" w:hAnsi="黑体" w:eastAsia="黑体"/>
          <w:sz w:val="56"/>
          <w:szCs w:val="56"/>
          <w:lang w:val="en-US" w:eastAsia="zh-CN"/>
        </w:rPr>
      </w:pPr>
      <w:r>
        <w:rPr>
          <w:rFonts w:hint="eastAsia" w:ascii="黑体" w:hAnsi="黑体" w:eastAsia="黑体"/>
          <w:sz w:val="56"/>
          <w:szCs w:val="56"/>
          <w:lang w:val="en-US" w:eastAsia="zh-CN"/>
        </w:rPr>
        <w:t>成本智能分析系统</w:t>
      </w:r>
    </w:p>
    <w:p w14:paraId="42B27FB8">
      <w:pPr>
        <w:ind w:firstLine="0" w:firstLineChars="0"/>
        <w:jc w:val="center"/>
        <w:rPr>
          <w:rFonts w:hint="eastAsia" w:ascii="黑体" w:hAnsi="黑体" w:eastAsia="黑体"/>
          <w:sz w:val="28"/>
          <w:szCs w:val="24"/>
          <w:lang w:val="en-US" w:eastAsia="zh-CN"/>
        </w:rPr>
      </w:pPr>
    </w:p>
    <w:p w14:paraId="13007CFD">
      <w:pPr>
        <w:ind w:firstLine="0" w:firstLineChars="0"/>
        <w:jc w:val="center"/>
        <w:rPr>
          <w:rFonts w:hint="eastAsia" w:ascii="黑体" w:hAnsi="黑体" w:eastAsia="黑体"/>
          <w:sz w:val="40"/>
          <w:szCs w:val="36"/>
          <w:lang w:val="en-US" w:eastAsia="zh-CN"/>
        </w:rPr>
      </w:pPr>
      <w:r>
        <w:rPr>
          <w:rFonts w:hint="eastAsia" w:ascii="黑体" w:hAnsi="黑体" w:eastAsia="黑体"/>
          <w:sz w:val="40"/>
          <w:szCs w:val="36"/>
          <w:lang w:val="en-US" w:eastAsia="zh-CN"/>
        </w:rPr>
        <w:t>技术方案</w:t>
      </w:r>
    </w:p>
    <w:p w14:paraId="70AEAA4E">
      <w:pPr>
        <w:ind w:firstLine="0" w:firstLineChars="0"/>
        <w:jc w:val="center"/>
        <w:rPr>
          <w:rFonts w:hint="eastAsia" w:ascii="黑体" w:hAnsi="黑体" w:eastAsia="黑体"/>
          <w:sz w:val="40"/>
          <w:szCs w:val="36"/>
          <w:lang w:val="en-US" w:eastAsia="zh-CN"/>
        </w:rPr>
      </w:pPr>
    </w:p>
    <w:p w14:paraId="148D58D8">
      <w:pPr>
        <w:ind w:firstLine="0" w:firstLineChars="0"/>
        <w:jc w:val="center"/>
        <w:rPr>
          <w:rFonts w:hint="eastAsia" w:ascii="黑体" w:hAnsi="黑体" w:eastAsia="黑体"/>
          <w:sz w:val="40"/>
          <w:szCs w:val="36"/>
          <w:lang w:val="en-US" w:eastAsia="zh-CN"/>
        </w:rPr>
      </w:pPr>
    </w:p>
    <w:p w14:paraId="5F73CD04">
      <w:pPr>
        <w:ind w:firstLine="0" w:firstLineChars="0"/>
        <w:jc w:val="center"/>
        <w:rPr>
          <w:rFonts w:hint="eastAsia" w:ascii="黑体" w:hAnsi="黑体" w:eastAsia="黑体"/>
          <w:sz w:val="40"/>
          <w:szCs w:val="36"/>
          <w:lang w:val="en-US" w:eastAsia="zh-CN"/>
        </w:rPr>
      </w:pPr>
    </w:p>
    <w:p w14:paraId="03F47285">
      <w:pPr>
        <w:ind w:firstLine="0" w:firstLineChars="0"/>
        <w:jc w:val="center"/>
        <w:rPr>
          <w:rFonts w:hint="default" w:ascii="黑体" w:hAnsi="黑体" w:eastAsia="黑体"/>
          <w:sz w:val="40"/>
          <w:szCs w:val="36"/>
          <w:lang w:val="en-US" w:eastAsia="zh-CN"/>
        </w:rPr>
      </w:pPr>
    </w:p>
    <w:p w14:paraId="77D1E003">
      <w:pPr>
        <w:bidi w:val="0"/>
        <w:ind w:firstLine="897" w:firstLineChars="374"/>
        <w:rPr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适用范围：</w:t>
      </w:r>
      <w:r>
        <w:rPr>
          <w:sz w:val="24"/>
          <w:szCs w:val="24"/>
        </w:rPr>
        <w:t>企业赛题原型与评委本地验收</w:t>
      </w:r>
    </w:p>
    <w:p w14:paraId="53FB7C7B">
      <w:pPr>
        <w:bidi w:val="0"/>
        <w:rPr>
          <w:sz w:val="24"/>
          <w:szCs w:val="24"/>
        </w:rPr>
      </w:pPr>
    </w:p>
    <w:p w14:paraId="697427C8">
      <w:pPr>
        <w:bidi w:val="0"/>
        <w:ind w:firstLine="897" w:firstLineChars="374"/>
        <w:rPr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编制单位：</w:t>
      </w:r>
      <w:r>
        <w:rPr>
          <w:sz w:val="24"/>
          <w:szCs w:val="24"/>
        </w:rPr>
        <w:t>重庆创灵境数字技术有限公司</w:t>
      </w:r>
    </w:p>
    <w:p w14:paraId="1F5E01A4">
      <w:pPr>
        <w:bidi w:val="0"/>
        <w:rPr>
          <w:sz w:val="24"/>
          <w:szCs w:val="24"/>
        </w:rPr>
      </w:pPr>
    </w:p>
    <w:p w14:paraId="118652C3">
      <w:pPr>
        <w:bidi w:val="0"/>
        <w:ind w:firstLine="897" w:firstLineChars="374"/>
        <w:rPr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日期：</w:t>
      </w:r>
      <w:r>
        <w:rPr>
          <w:sz w:val="24"/>
          <w:szCs w:val="24"/>
        </w:rPr>
        <w:t>2026-09-01</w:t>
      </w:r>
    </w:p>
    <w:p w14:paraId="507341DB">
      <w:pPr>
        <w:widowControl/>
        <w:ind w:firstLine="0" w:firstLineChars="0"/>
        <w:jc w:val="left"/>
      </w:pPr>
    </w:p>
    <w:p w14:paraId="35DD700A">
      <w:pPr>
        <w:widowControl/>
        <w:ind w:firstLine="0" w:firstLineChars="0"/>
        <w:jc w:val="left"/>
      </w:pPr>
    </w:p>
    <w:p w14:paraId="2D2BC199">
      <w:pPr>
        <w:widowControl/>
        <w:ind w:firstLine="0" w:firstLineChars="0"/>
        <w:jc w:val="left"/>
      </w:pPr>
    </w:p>
    <w:p w14:paraId="3BF057A6">
      <w:pPr>
        <w:widowControl/>
        <w:ind w:firstLine="0" w:firstLineChars="0"/>
        <w:jc w:val="left"/>
      </w:pPr>
    </w:p>
    <w:p w14:paraId="36110ABF">
      <w:pPr>
        <w:widowControl/>
        <w:ind w:firstLine="0" w:firstLineChars="0"/>
        <w:jc w:val="left"/>
      </w:pPr>
    </w:p>
    <w:p w14:paraId="614069F8">
      <w:pPr>
        <w:widowControl/>
        <w:ind w:firstLine="0" w:firstLineChars="0"/>
        <w:jc w:val="left"/>
      </w:pPr>
    </w:p>
    <w:p w14:paraId="382F6770">
      <w:pPr>
        <w:widowControl/>
        <w:ind w:firstLine="0" w:firstLineChars="0"/>
        <w:jc w:val="left"/>
      </w:pPr>
    </w:p>
    <w:p w14:paraId="583657FD">
      <w:pPr>
        <w:widowControl/>
        <w:ind w:firstLine="0" w:firstLineChars="0"/>
        <w:jc w:val="left"/>
      </w:pPr>
    </w:p>
    <w:p w14:paraId="19EEEE02">
      <w:pPr>
        <w:widowControl/>
        <w:ind w:firstLine="0" w:firstLineChars="0"/>
        <w:jc w:val="left"/>
      </w:pPr>
    </w:p>
    <w:p w14:paraId="68CAEBB9">
      <w:pPr>
        <w:widowControl/>
        <w:ind w:firstLine="0" w:firstLineChars="0"/>
        <w:jc w:val="left"/>
      </w:pPr>
    </w:p>
    <w:p w14:paraId="2B09577C">
      <w:pPr>
        <w:widowControl/>
        <w:ind w:firstLine="0" w:firstLineChars="0"/>
        <w:jc w:val="left"/>
      </w:pPr>
    </w:p>
    <w:p w14:paraId="5AAA1F43">
      <w:pPr>
        <w:widowControl/>
        <w:ind w:firstLine="0" w:firstLineChars="0"/>
        <w:jc w:val="left"/>
      </w:pPr>
    </w:p>
    <w:p w14:paraId="1FF8DB8B">
      <w:pPr>
        <w:widowControl/>
        <w:ind w:firstLine="0" w:firstLineChars="0"/>
        <w:jc w:val="left"/>
      </w:pPr>
    </w:p>
    <w:p w14:paraId="2A42AC08">
      <w:pPr>
        <w:pStyle w:val="2"/>
        <w:ind w:left="240" w:right="240"/>
      </w:pPr>
      <w:r>
        <w:rPr>
          <w:rFonts w:hint="eastAsia"/>
          <w:lang w:val="en-US" w:eastAsia="zh-CN"/>
        </w:rPr>
        <w:t>建设目标</w:t>
      </w:r>
    </w:p>
    <w:p w14:paraId="6918548E">
      <w:pPr>
        <w:bidi w:val="0"/>
        <w:rPr>
          <w:color w:val="FF0000"/>
        </w:rPr>
      </w:pPr>
      <w:r>
        <w:t>系统面向制药企业成本分析，将结构化成本数据、行业行情、内部知识文档和报告模板组合为一条可审计、可回退的分析链路，输出交互式看板、</w:t>
      </w:r>
      <w:r>
        <w:rPr>
          <w:i/>
          <w:iCs/>
        </w:rPr>
        <w:t>Word</w:t>
      </w:r>
      <w:r>
        <w:rPr>
          <w:rFonts w:hint="eastAsia"/>
          <w:i/>
          <w:iCs/>
          <w:lang w:val="en-US" w:eastAsia="zh-CN"/>
        </w:rPr>
        <w:t>/</w:t>
      </w:r>
      <w:r>
        <w:rPr>
          <w:i/>
          <w:iCs/>
        </w:rPr>
        <w:t>PDF</w:t>
      </w:r>
      <w:r>
        <w:t>报告及经人工确认后才能提交的整改任务。当前</w:t>
      </w:r>
      <w:r>
        <w:rPr>
          <w:rFonts w:hint="eastAsia"/>
          <w:lang w:val="en-US" w:eastAsia="zh-CN"/>
        </w:rPr>
        <w:t>技术</w:t>
      </w:r>
      <w:r>
        <w:t>范围覆盖三个产品、2025年同期汇总、2026年1</w:t>
      </w:r>
      <w:r>
        <w:rPr>
          <w:rFonts w:hint="eastAsia"/>
          <w:lang w:val="en-US" w:eastAsia="zh-CN"/>
        </w:rPr>
        <w:t>~</w:t>
      </w:r>
      <w:r>
        <w:t>6月实际/预算/人工工时、两厂同期对标和本机模拟</w:t>
      </w:r>
      <w:r>
        <w:rPr>
          <w:i/>
          <w:iCs/>
        </w:rPr>
        <w:t>RPA</w:t>
      </w:r>
      <w:r>
        <w:t>，并支持月度、季度和专题分析。</w:t>
      </w:r>
    </w:p>
    <w:p w14:paraId="47B106FF">
      <w:pPr>
        <w:pStyle w:val="2"/>
      </w:pPr>
      <w:r>
        <w:rPr>
          <w:rFonts w:hint="eastAsia"/>
          <w:lang w:val="en-US" w:eastAsia="zh-CN"/>
        </w:rPr>
        <w:t>总体架构</w:t>
      </w:r>
    </w:p>
    <w:p w14:paraId="13ADE573">
      <w:pPr>
        <w:pStyle w:val="2"/>
        <w:numPr>
          <w:numId w:val="0"/>
        </w:numPr>
        <w:ind w:leftChars="0"/>
        <w:jc w:val="center"/>
      </w:pPr>
      <w:r>
        <w:object>
          <v:shape id="_x0000_i1025" o:spt="75" type="#_x0000_t75" style="height:193.3pt;width:442pt;" o:ole="t" filled="f" o:preferrelative="t" stroked="f" coordsize="21600,21600">
            <v:path/>
            <v:fill on="f" focussize="0,0"/>
            <v:stroke on="f"/>
            <v:imagedata r:id="rId13" o:title=""/>
            <o:lock v:ext="edit" aspectratio="f"/>
            <w10:wrap type="none"/>
            <w10:anchorlock/>
          </v:shape>
          <o:OLEObject Type="Embed" ProgID="Visio.Drawing.15" ShapeID="_x0000_i1025" DrawAspect="Content" ObjectID="_1468075725" r:id="rId12">
            <o:LockedField>false</o:LockedField>
          </o:OLEObject>
        </w:object>
      </w:r>
    </w:p>
    <w:p w14:paraId="50E7DF22">
      <w:pPr>
        <w:pStyle w:val="2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图1 系统总体架构</w:t>
      </w:r>
    </w:p>
    <w:p w14:paraId="61C742AF">
      <w:pPr>
        <w:bidi w:val="0"/>
      </w:pPr>
      <w:r>
        <w:t>所有数值、比较方向、贡献度和告警均由确定性引擎计算。</w:t>
      </w:r>
      <w:r>
        <w:rPr>
          <w:i/>
          <w:iCs/>
        </w:rPr>
        <w:t>RAG</w:t>
      </w:r>
      <w:r>
        <w:t>只提供可引用的业务背景；大模型只能在受控</w:t>
      </w:r>
      <w:r>
        <w:rPr>
          <w:i/>
          <w:iCs/>
        </w:rPr>
        <w:t>Schema</w:t>
      </w:r>
      <w:r>
        <w:t>内改写叙述与建议，不能改动成本事实、动态表格、引用、报告标识或审批状态。网页面向访客只提供</w:t>
      </w:r>
      <w:r>
        <w:rPr>
          <w:i/>
          <w:iCs/>
        </w:rPr>
        <w:t>Word</w:t>
      </w:r>
      <w:r>
        <w:t>和</w:t>
      </w:r>
      <w:r>
        <w:rPr>
          <w:i/>
          <w:iCs/>
        </w:rPr>
        <w:t>PDF</w:t>
      </w:r>
      <w:r>
        <w:t>预览/下载，</w:t>
      </w:r>
      <w:r>
        <w:rPr>
          <w:i/>
          <w:iCs/>
        </w:rPr>
        <w:t>Markdown</w:t>
      </w:r>
      <w:r>
        <w:t>和</w:t>
      </w:r>
      <w:r>
        <w:rPr>
          <w:i/>
          <w:iCs/>
        </w:rPr>
        <w:t>JSON</w:t>
      </w:r>
      <w:r>
        <w:t>保留为审计与自动测试制品。</w:t>
      </w:r>
    </w:p>
    <w:p w14:paraId="0A392F24">
      <w:pPr>
        <w:pStyle w:val="2"/>
        <w:bidi w:val="0"/>
      </w:pPr>
      <w:r>
        <w:rPr>
          <w:rFonts w:hint="eastAsia"/>
          <w:lang w:val="en-US" w:eastAsia="zh-CN"/>
        </w:rPr>
        <w:t>核心处理流程</w:t>
      </w:r>
    </w:p>
    <w:p w14:paraId="0AFB8C74">
      <w:pPr>
        <w:pStyle w:val="2"/>
        <w:numPr>
          <w:numId w:val="0"/>
        </w:numPr>
        <w:bidi w:val="0"/>
        <w:ind w:leftChars="0"/>
        <w:jc w:val="both"/>
      </w:pPr>
      <w:r>
        <w:drawing>
          <wp:inline distT="0" distB="0" distL="114300" distR="114300">
            <wp:extent cx="5928360" cy="3419475"/>
            <wp:effectExtent l="0" t="0" r="0" b="0"/>
            <wp:docPr id="1" name="Picture 2" descr="端到端受控生成与整改闭环时序图" title="端到端受控生成与整改闭环时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端到端受控生成与整改闭环时序图" title="端到端受控生成与整改闭环时序图"/>
                    <pic:cNvPicPr>
                      <a:picLocks noChangeAspect="1"/>
                    </pic:cNvPicPr>
                  </pic:nvPicPr>
                  <pic:blipFill>
                    <a:blip r:embed="rId14"/>
                    <a:srcRect l="1819" t="8386" r="9741" b="5073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2B4BA">
      <w:pPr>
        <w:pStyle w:val="23"/>
        <w:bidi w:val="0"/>
      </w:pPr>
      <w:r>
        <w:t>图2 端到端受控生成与整改闭环</w:t>
      </w:r>
    </w:p>
    <w:p w14:paraId="4F6545A2">
      <w:pPr>
        <w:bidi w:val="0"/>
      </w:pPr>
      <w:r>
        <w:t>大模型未启用、无密钥、超时、限流、拒答、</w:t>
      </w:r>
      <w:r>
        <w:rPr>
          <w:i/>
          <w:iCs/>
        </w:rPr>
        <w:t>Schema</w:t>
      </w:r>
      <w:r>
        <w:t>不符或后置护栏失败时，报告和任务候选均自动回退到确定性文本，分析流程不中断。</w:t>
      </w:r>
    </w:p>
    <w:p w14:paraId="4F7A98CA">
      <w:pPr>
        <w:pStyle w:val="2"/>
        <w:bidi w:val="0"/>
      </w:pPr>
      <w:r>
        <w:rPr>
          <w:rFonts w:hint="eastAsia"/>
          <w:lang w:val="en-US" w:eastAsia="zh-CN"/>
        </w:rPr>
        <w:t>模块设计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053"/>
        <w:gridCol w:w="6781"/>
      </w:tblGrid>
      <w:tr w14:paraId="465BE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5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30539618">
            <w:pPr>
              <w:bidi w:val="0"/>
              <w:ind w:left="0" w:leftChars="0" w:firstLine="0" w:firstLineChars="0"/>
              <w:jc w:val="center"/>
            </w:pPr>
            <w:r>
              <w:t>模块</w:t>
            </w:r>
          </w:p>
        </w:tc>
        <w:tc>
          <w:tcPr>
            <w:tcW w:w="678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1B8C872">
            <w:pPr>
              <w:bidi w:val="0"/>
              <w:ind w:left="0" w:leftChars="0" w:firstLine="0" w:firstLineChars="0"/>
              <w:jc w:val="center"/>
            </w:pPr>
            <w:r>
              <w:t>职责与控制点</w:t>
            </w:r>
          </w:p>
        </w:tc>
      </w:tr>
      <w:tr w14:paraId="00277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5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A4574A">
            <w:pPr>
              <w:bidi w:val="0"/>
              <w:ind w:left="0" w:leftChars="0" w:firstLine="0" w:firstLineChars="0"/>
              <w:jc w:val="center"/>
            </w:pPr>
            <w:r>
              <w:t>数据质量</w:t>
            </w:r>
          </w:p>
        </w:tc>
        <w:tc>
          <w:tcPr>
            <w:tcW w:w="678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EE0883">
            <w:pPr>
              <w:bidi w:val="0"/>
              <w:ind w:left="0" w:leftChars="0" w:firstLine="0" w:firstLineChars="0"/>
              <w:jc w:val="center"/>
            </w:pPr>
            <w:r>
              <w:rPr>
                <w:i/>
                <w:iCs/>
              </w:rPr>
              <w:t>BOM</w:t>
            </w:r>
            <w:r>
              <w:t>/编码、字段、类型、月份、主键、必填值及0.01元实际/预算/人工跨文件勾稽；阻断错误时停止分析</w:t>
            </w:r>
          </w:p>
        </w:tc>
      </w:tr>
      <w:tr w14:paraId="36ACD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259DB3">
            <w:pPr>
              <w:bidi w:val="0"/>
              <w:ind w:left="0" w:leftChars="0" w:firstLine="0" w:firstLineChars="0"/>
              <w:jc w:val="center"/>
            </w:pPr>
            <w:r>
              <w:t>成本分析</w:t>
            </w:r>
          </w:p>
        </w:tc>
        <w:tc>
          <w:tcPr>
            <w:tcW w:w="67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A3CA43">
            <w:pPr>
              <w:bidi w:val="0"/>
              <w:ind w:left="0" w:leftChars="0" w:firstLine="0" w:firstLineChars="0"/>
              <w:jc w:val="center"/>
            </w:pPr>
            <w:r>
              <w:t>月度/季度环比、同比、预算偏差、人工指标、结构占比、两类贡献口径、市场变动、总成本桥接及两厂对标；专题复用同一事实口径</w:t>
            </w:r>
          </w:p>
        </w:tc>
      </w:tr>
      <w:tr w14:paraId="51739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B21838">
            <w:pPr>
              <w:bidi w:val="0"/>
              <w:ind w:left="0" w:leftChars="0" w:firstLine="0" w:firstLineChars="0"/>
              <w:jc w:val="center"/>
            </w:pPr>
            <w:r>
              <w:t>知识索引</w:t>
            </w:r>
          </w:p>
        </w:tc>
        <w:tc>
          <w:tcPr>
            <w:tcW w:w="67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4E932E">
            <w:pPr>
              <w:bidi w:val="0"/>
              <w:ind w:left="0" w:leftChars="0" w:firstLine="0" w:firstLineChars="0"/>
              <w:jc w:val="center"/>
            </w:pPr>
            <w:r>
              <w:t>文档解析、版本与哈希治理、</w:t>
            </w:r>
            <w:r>
              <w:rPr>
                <w:i/>
                <w:iCs/>
              </w:rPr>
              <w:t>BM25</w:t>
            </w:r>
            <w:r>
              <w:t>和本地</w:t>
            </w:r>
            <w:r>
              <w:rPr>
                <w:i/>
                <w:iCs/>
              </w:rPr>
              <w:t>TF-IDF/LSI</w:t>
            </w:r>
            <w:r>
              <w:t>语义向量融合、来源定位；可选</w:t>
            </w:r>
            <w:r>
              <w:rPr>
                <w:i/>
                <w:iCs/>
              </w:rPr>
              <w:t>LlamaIndex</w:t>
            </w:r>
            <w:r>
              <w:t>适配不重新召回或重排</w:t>
            </w:r>
          </w:p>
        </w:tc>
      </w:tr>
      <w:tr w14:paraId="744A2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A018D5">
            <w:pPr>
              <w:bidi w:val="0"/>
              <w:ind w:left="0" w:leftChars="0" w:firstLine="0" w:firstLineChars="0"/>
              <w:jc w:val="center"/>
            </w:pPr>
            <w:r>
              <w:t>报告契约</w:t>
            </w:r>
          </w:p>
        </w:tc>
        <w:tc>
          <w:tcPr>
            <w:tcW w:w="67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15D17B">
            <w:pPr>
              <w:bidi w:val="0"/>
              <w:ind w:left="0" w:leftChars="0" w:firstLine="0" w:firstLineChars="0"/>
              <w:jc w:val="center"/>
            </w:pPr>
            <w:r>
              <w:t>汇总107个字段、补充字段、6张动态表、8类证据引用及生成状态</w:t>
            </w:r>
          </w:p>
        </w:tc>
      </w:tr>
      <w:tr w14:paraId="12582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ACC2BE">
            <w:pPr>
              <w:bidi w:val="0"/>
              <w:ind w:left="0" w:leftChars="0" w:firstLine="0" w:firstLineChars="0"/>
              <w:jc w:val="center"/>
            </w:pPr>
            <w:r>
              <w:t>报告图表</w:t>
            </w:r>
          </w:p>
        </w:tc>
        <w:tc>
          <w:tcPr>
            <w:tcW w:w="67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C77802">
            <w:pPr>
              <w:bidi w:val="0"/>
              <w:ind w:left="0" w:leftChars="0" w:firstLine="0" w:firstLineChars="0"/>
              <w:jc w:val="center"/>
            </w:pPr>
            <w:r>
              <w:t>生成趋势图、单位成本瀑布图和本月成本结构图，作为高清图片嵌入</w:t>
            </w:r>
            <w:r>
              <w:rPr>
                <w:i/>
                <w:iCs/>
              </w:rPr>
              <w:t>Word</w:t>
            </w:r>
            <w:r>
              <w:t>并随</w:t>
            </w:r>
            <w:r>
              <w:rPr>
                <w:i/>
                <w:iCs/>
              </w:rPr>
              <w:t>LibreOffice</w:t>
            </w:r>
            <w:r>
              <w:t>转换进入</w:t>
            </w:r>
            <w:r>
              <w:rPr>
                <w:i/>
                <w:iCs/>
              </w:rPr>
              <w:t>PDF</w:t>
            </w:r>
          </w:p>
        </w:tc>
      </w:tr>
      <w:tr w14:paraId="6EDE2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12BF0D">
            <w:pPr>
              <w:bidi w:val="0"/>
              <w:ind w:left="0" w:leftChars="0" w:firstLine="0" w:firstLineChars="0"/>
              <w:jc w:val="center"/>
            </w:pPr>
            <w:r>
              <w:t>报告渲染</w:t>
            </w:r>
          </w:p>
        </w:tc>
        <w:tc>
          <w:tcPr>
            <w:tcW w:w="67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FFAB24">
            <w:pPr>
              <w:bidi w:val="0"/>
              <w:ind w:left="0" w:leftChars="0" w:firstLine="0" w:firstLineChars="0"/>
              <w:jc w:val="center"/>
            </w:pPr>
            <w:r>
              <w:t>月度、季度、专题统一使用赛题</w:t>
            </w:r>
            <w:r>
              <w:rPr>
                <w:i/>
                <w:iCs/>
              </w:rPr>
              <w:t>Word</w:t>
            </w:r>
            <w:r>
              <w:t>模板；输出</w:t>
            </w:r>
            <w:r>
              <w:rPr>
                <w:i/>
                <w:iCs/>
              </w:rPr>
              <w:t>Word/PDF</w:t>
            </w:r>
            <w:r>
              <w:t>并保留</w:t>
            </w:r>
            <w:r>
              <w:rPr>
                <w:i/>
                <w:iCs/>
              </w:rPr>
              <w:t>Markdown/JSON</w:t>
            </w:r>
            <w:r>
              <w:t>审计制品</w:t>
            </w:r>
          </w:p>
        </w:tc>
      </w:tr>
      <w:tr w14:paraId="307D4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ACF268">
            <w:pPr>
              <w:bidi w:val="0"/>
              <w:ind w:left="0" w:leftChars="0" w:firstLine="0" w:firstLineChars="0"/>
              <w:jc w:val="center"/>
            </w:pPr>
            <w:r>
              <w:t>大模型控制</w:t>
            </w:r>
          </w:p>
        </w:tc>
        <w:tc>
          <w:tcPr>
            <w:tcW w:w="67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8306C4">
            <w:pPr>
              <w:bidi w:val="0"/>
              <w:ind w:left="0" w:leftChars="0" w:firstLine="0" w:firstLineChars="0"/>
              <w:jc w:val="center"/>
            </w:pPr>
            <w:r>
              <w:t>通义千问/</w:t>
            </w:r>
            <w:r>
              <w:rPr>
                <w:i/>
                <w:iCs/>
              </w:rPr>
              <w:t>OpenAI</w:t>
            </w:r>
            <w:r>
              <w:t>兼容调用、</w:t>
            </w:r>
            <w:r>
              <w:rPr>
                <w:i/>
                <w:iCs/>
              </w:rPr>
              <w:t>HTTPS</w:t>
            </w:r>
            <w:r>
              <w:t>、超时、有限重试、严格</w:t>
            </w:r>
            <w:r>
              <w:rPr>
                <w:i/>
                <w:iCs/>
              </w:rPr>
              <w:t>Schema</w:t>
            </w:r>
            <w:r>
              <w:t>、数字白名单、方向/因果/优先级护栏及确定性回退</w:t>
            </w:r>
          </w:p>
        </w:tc>
      </w:tr>
      <w:tr w14:paraId="76C1E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D0142D">
            <w:pPr>
              <w:bidi w:val="0"/>
              <w:ind w:left="0" w:leftChars="0" w:firstLine="0" w:firstLineChars="0"/>
              <w:jc w:val="center"/>
            </w:pPr>
            <w:r>
              <w:t>主</w:t>
            </w:r>
            <w:r>
              <w:rPr>
                <w:i/>
                <w:iCs/>
              </w:rPr>
              <w:t>Web</w:t>
            </w:r>
            <w:r>
              <w:t>系统</w:t>
            </w:r>
          </w:p>
        </w:tc>
        <w:tc>
          <w:tcPr>
            <w:tcW w:w="67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84CBB5">
            <w:pPr>
              <w:bidi w:val="0"/>
              <w:ind w:left="0" w:leftChars="0" w:firstLine="0" w:firstLineChars="0"/>
              <w:jc w:val="center"/>
            </w:pPr>
            <w:r>
              <w:t>单页面分析、当前阅读定位、</w:t>
            </w:r>
            <w:r>
              <w:rPr>
                <w:i/>
                <w:iCs/>
              </w:rPr>
              <w:t>ECharts</w:t>
            </w:r>
            <w:r>
              <w:t>趋势/瀑布/结构/热力图/成本驱动贡献图、人工分析、三步差异归因、报告生成进度、</w:t>
            </w:r>
            <w:r>
              <w:rPr>
                <w:i/>
                <w:iCs/>
              </w:rPr>
              <w:t>Word/PDF</w:t>
            </w:r>
            <w:r>
              <w:t>预览下载、整改审批和</w:t>
            </w:r>
            <w:r>
              <w:rPr>
                <w:i/>
                <w:iCs/>
              </w:rPr>
              <w:t>RPA</w:t>
            </w:r>
            <w:r>
              <w:t>回执</w:t>
            </w:r>
          </w:p>
        </w:tc>
      </w:tr>
      <w:tr w14:paraId="24395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B6B6AB">
            <w:pPr>
              <w:bidi w:val="0"/>
              <w:ind w:left="0" w:leftChars="0" w:firstLine="0" w:firstLineChars="0"/>
              <w:jc w:val="center"/>
            </w:pPr>
            <w:r>
              <w:rPr>
                <w:i/>
                <w:iCs/>
              </w:rPr>
              <w:t>RPA</w:t>
            </w:r>
            <w:r>
              <w:t>闭环</w:t>
            </w:r>
          </w:p>
        </w:tc>
        <w:tc>
          <w:tcPr>
            <w:tcW w:w="67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0C7B0C">
            <w:pPr>
              <w:bidi w:val="0"/>
              <w:ind w:left="0" w:leftChars="0" w:firstLine="0" w:firstLineChars="0"/>
              <w:jc w:val="center"/>
            </w:pPr>
            <w:r>
              <w:t>受控任务候选</w:t>
            </w:r>
            <w:r>
              <w:rPr>
                <w:i/>
                <w:iCs/>
              </w:rPr>
              <w:t>JSON</w:t>
            </w:r>
            <w:r>
              <w:t>、状态转换、人工审批、接口载荷、幂等账本、</w:t>
            </w:r>
            <w:r>
              <w:rPr>
                <w:i/>
                <w:iCs/>
              </w:rPr>
              <w:t>HTTP</w:t>
            </w:r>
            <w:r>
              <w:t>重试及结果建模</w:t>
            </w:r>
          </w:p>
        </w:tc>
      </w:tr>
      <w:tr w14:paraId="71906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2615F1">
            <w:pPr>
              <w:bidi w:val="0"/>
              <w:ind w:left="0" w:leftChars="0" w:firstLine="0" w:firstLineChars="0"/>
              <w:jc w:val="center"/>
            </w:pPr>
            <w:r>
              <w:t>批量与评测</w:t>
            </w:r>
          </w:p>
        </w:tc>
        <w:tc>
          <w:tcPr>
            <w:tcW w:w="67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014D0E">
            <w:pPr>
              <w:bidi w:val="0"/>
              <w:ind w:left="0" w:leftChars="0" w:firstLine="0" w:firstLineChars="0"/>
              <w:jc w:val="center"/>
            </w:pPr>
            <w:r>
              <w:t>18个产品月份批量运行、三个赛题场景确定性验收和真实大模型黄金门禁</w:t>
            </w:r>
          </w:p>
        </w:tc>
      </w:tr>
      <w:tr w14:paraId="1FA13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5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AF87868">
            <w:pPr>
              <w:bidi w:val="0"/>
              <w:ind w:left="0" w:leftChars="0" w:firstLine="0" w:firstLineChars="0"/>
              <w:jc w:val="center"/>
            </w:pPr>
            <w:r>
              <w:t>可选企业储备</w:t>
            </w:r>
          </w:p>
        </w:tc>
        <w:tc>
          <w:tcPr>
            <w:tcW w:w="678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C45A3B3">
            <w:pPr>
              <w:bidi w:val="0"/>
              <w:ind w:left="0" w:leftChars="0" w:firstLine="0" w:firstLineChars="0"/>
              <w:jc w:val="center"/>
            </w:pPr>
            <w:r>
              <w:t>身份适配、</w:t>
            </w:r>
            <w:r>
              <w:rPr>
                <w:i/>
                <w:iCs/>
              </w:rPr>
              <w:t>SQLite</w:t>
            </w:r>
            <w:r>
              <w:t>审核工作台、签名执行和备份恢复；不阻塞竞赛主流程</w:t>
            </w:r>
          </w:p>
        </w:tc>
      </w:tr>
    </w:tbl>
    <w:p w14:paraId="404C040B">
      <w:pPr>
        <w:pStyle w:val="3"/>
      </w:pPr>
      <w:r>
        <w:rPr>
          <w:rFonts w:hint="eastAsia"/>
        </w:rPr>
        <w:t>Web信息架构与导航</w:t>
      </w:r>
    </w:p>
    <w:p w14:paraId="6C808316">
      <w:pPr>
        <w:bidi w:val="0"/>
        <w:rPr>
          <w:rFonts w:hint="eastAsia" w:eastAsia="宋体"/>
          <w:lang w:eastAsia="zh-CN"/>
        </w:rPr>
      </w:pPr>
      <w:r>
        <w:t>主页面按照实际阅读路径固定为八个导航入口：成本分析、趋势图表、成本热力图、成本驱动、人工分析、差异归因、知识证据和整改闭环。滚动页面或点击导航时，左侧选中状态与右上角</w:t>
      </w:r>
      <w:r>
        <w:rPr>
          <w:rFonts w:hint="eastAsia"/>
          <w:lang w:eastAsia="zh-CN"/>
        </w:rPr>
        <w:t>“</w:t>
      </w:r>
      <w:r>
        <w:t>当前阅读</w:t>
      </w:r>
      <w:r>
        <w:rPr>
          <w:rFonts w:hint="eastAsia"/>
          <w:lang w:eastAsia="zh-CN"/>
        </w:rPr>
        <w:t>”</w:t>
      </w:r>
      <w:r>
        <w:t>提示使用同一导航目标同步更新。</w:t>
      </w:r>
    </w:p>
    <w:p w14:paraId="466E64DA">
      <w:pPr>
        <w:numPr>
          <w:ilvl w:val="0"/>
          <w:numId w:val="3"/>
        </w:numPr>
        <w:bidi w:val="0"/>
      </w:pPr>
      <w:r>
        <w:rPr>
          <w:rFonts w:hint="eastAsia"/>
          <w:b/>
          <w:bCs/>
          <w:lang w:eastAsia="zh-CN"/>
        </w:rPr>
        <w:t>“</w:t>
      </w:r>
      <w:r>
        <w:rPr>
          <w:b/>
          <w:bCs/>
        </w:rPr>
        <w:t>本月/本季度/专题分析摘要</w:t>
      </w:r>
      <w:r>
        <w:rPr>
          <w:rFonts w:hint="eastAsia"/>
          <w:b/>
          <w:bCs/>
          <w:lang w:eastAsia="zh-CN"/>
        </w:rPr>
        <w:t>”</w:t>
      </w:r>
      <w:r>
        <w:t>是分析结果的经营概览，不重复显示模块标签；</w:t>
      </w:r>
    </w:p>
    <w:p w14:paraId="3EBB1DAA">
      <w:pPr>
        <w:numPr>
          <w:ilvl w:val="0"/>
          <w:numId w:val="3"/>
        </w:numPr>
        <w:bidi w:val="0"/>
      </w:pPr>
      <w:r>
        <w:rPr>
          <w:rFonts w:hint="eastAsia"/>
          <w:b/>
          <w:bCs/>
          <w:lang w:eastAsia="zh-CN"/>
        </w:rPr>
        <w:t>“</w:t>
      </w:r>
      <w:r>
        <w:rPr>
          <w:b/>
          <w:bCs/>
        </w:rPr>
        <w:t>成本分析</w:t>
      </w:r>
      <w:r>
        <w:rPr>
          <w:rFonts w:hint="eastAsia"/>
          <w:b/>
          <w:bCs/>
          <w:lang w:eastAsia="zh-CN"/>
        </w:rPr>
        <w:t>”</w:t>
      </w:r>
      <w:r>
        <w:t>集中展示单位成本、产量、总成本及三项成本要素的环比、同比和预算偏差；</w:t>
      </w:r>
    </w:p>
    <w:p w14:paraId="6A1DDFDD">
      <w:pPr>
        <w:numPr>
          <w:ilvl w:val="0"/>
          <w:numId w:val="3"/>
        </w:numPr>
        <w:bidi w:val="0"/>
      </w:pPr>
      <w:r>
        <w:rPr>
          <w:rFonts w:hint="eastAsia"/>
          <w:b/>
          <w:bCs/>
          <w:lang w:eastAsia="zh-CN"/>
        </w:rPr>
        <w:t>“</w:t>
      </w:r>
      <w:r>
        <w:rPr>
          <w:b/>
          <w:bCs/>
        </w:rPr>
        <w:t>趋势图表</w:t>
      </w:r>
      <w:r>
        <w:rPr>
          <w:rFonts w:hint="eastAsia"/>
          <w:b/>
          <w:bCs/>
          <w:lang w:eastAsia="zh-CN"/>
        </w:rPr>
        <w:t>”</w:t>
      </w:r>
      <w:r>
        <w:t>使用统一浅色模块背景，容纳趋势、总成本变动贡献度、单位成本瀑布、总成本桥接和成本结构图；</w:t>
      </w:r>
    </w:p>
    <w:p w14:paraId="1D782815">
      <w:pPr>
        <w:numPr>
          <w:ilvl w:val="0"/>
          <w:numId w:val="3"/>
        </w:numPr>
        <w:bidi w:val="0"/>
      </w:pPr>
      <w:r>
        <w:rPr>
          <w:rFonts w:hint="eastAsia"/>
          <w:b/>
          <w:bCs/>
          <w:lang w:eastAsia="zh-CN"/>
        </w:rPr>
        <w:t>“</w:t>
      </w:r>
      <w:r>
        <w:rPr>
          <w:b/>
          <w:bCs/>
        </w:rPr>
        <w:t>成本驱动</w:t>
      </w:r>
      <w:r>
        <w:rPr>
          <w:rFonts w:hint="eastAsia"/>
          <w:b/>
          <w:bCs/>
          <w:lang w:eastAsia="zh-CN"/>
        </w:rPr>
        <w:t>”</w:t>
      </w:r>
      <w:r>
        <w:t>独立展示原材料或制造费用明细表、明细贡献度图和可验证证据边界；</w:t>
      </w:r>
    </w:p>
    <w:p w14:paraId="05DBAD2C">
      <w:pPr>
        <w:numPr>
          <w:ilvl w:val="0"/>
          <w:numId w:val="3"/>
        </w:numPr>
        <w:bidi w:val="0"/>
      </w:pPr>
      <w:r>
        <w:rPr>
          <w:rFonts w:hint="eastAsia"/>
          <w:b/>
          <w:bCs/>
          <w:lang w:eastAsia="zh-CN"/>
        </w:rPr>
        <w:t>“</w:t>
      </w:r>
      <w:r>
        <w:rPr>
          <w:b/>
          <w:bCs/>
        </w:rPr>
        <w:t>差异归因</w:t>
      </w:r>
      <w:r>
        <w:rPr>
          <w:rFonts w:hint="eastAsia"/>
          <w:b/>
          <w:bCs/>
          <w:lang w:eastAsia="zh-CN"/>
        </w:rPr>
        <w:t>”</w:t>
      </w:r>
      <w:r>
        <w:t>是同一模块内的连续三步：对标差异总览、成本差异结构树、归因分析与改进建议；三步共享分析产品、期间、对标方向和受控证据；</w:t>
      </w:r>
    </w:p>
    <w:p w14:paraId="73501919">
      <w:pPr>
        <w:numPr>
          <w:ilvl w:val="0"/>
          <w:numId w:val="3"/>
        </w:numPr>
        <w:bidi w:val="0"/>
      </w:pPr>
      <w:r>
        <w:t>页面不展示内部数据质量状态码、</w:t>
      </w:r>
      <w:r>
        <w:rPr>
          <w:i/>
          <w:iCs/>
        </w:rPr>
        <w:t>Markdown/JSON</w:t>
      </w:r>
      <w:r>
        <w:t>下载或内部规则文件名；数据校验、内部制品和边界规则仍在后台执行并保留审计记录。</w:t>
      </w:r>
    </w:p>
    <w:p w14:paraId="24C5CE1D">
      <w:pPr>
        <w:pStyle w:val="2"/>
      </w:pPr>
      <w:r>
        <w:rPr>
          <w:rFonts w:hint="eastAsia"/>
          <w:lang w:val="en-US" w:eastAsia="zh-CN"/>
        </w:rPr>
        <w:t>计算、检索与生成设计</w:t>
      </w:r>
    </w:p>
    <w:p w14:paraId="375B839F">
      <w:pPr>
        <w:pStyle w:val="3"/>
        <w:bidi w:val="0"/>
      </w:pPr>
      <w:r>
        <w:rPr>
          <w:rFonts w:hint="eastAsia"/>
          <w:lang w:val="en-US" w:eastAsia="zh-CN"/>
        </w:rPr>
        <w:t>确定性计算</w:t>
      </w:r>
    </w:p>
    <w:p w14:paraId="6DAE993B">
      <w:pPr>
        <w:numPr>
          <w:ilvl w:val="0"/>
          <w:numId w:val="4"/>
        </w:numPr>
        <w:bidi w:val="0"/>
      </w:pPr>
      <w:r>
        <w:t>单位成本＝总成本</w:t>
      </w:r>
      <w:r>
        <w:rPr>
          <w:rFonts w:hint="eastAsia"/>
          <w:lang w:val="en-US" w:eastAsia="zh-CN"/>
        </w:rPr>
        <w:t>÷</w:t>
      </w:r>
      <w:r>
        <w:t>产量。</w:t>
      </w:r>
    </w:p>
    <w:p w14:paraId="62D78604">
      <w:pPr>
        <w:numPr>
          <w:ilvl w:val="0"/>
          <w:numId w:val="4"/>
        </w:numPr>
        <w:bidi w:val="0"/>
      </w:pPr>
      <w:r>
        <w:t>环比变动率＝（本月－上月）</w:t>
      </w:r>
      <w:r>
        <w:rPr>
          <w:rFonts w:hint="eastAsia"/>
          <w:lang w:val="en-US" w:eastAsia="zh-CN"/>
        </w:rPr>
        <w:t>÷</w:t>
      </w:r>
      <w:r>
        <w:t>上月×100%。</w:t>
      </w:r>
    </w:p>
    <w:p w14:paraId="22384324">
      <w:pPr>
        <w:numPr>
          <w:ilvl w:val="0"/>
          <w:numId w:val="4"/>
        </w:numPr>
        <w:bidi w:val="0"/>
      </w:pPr>
      <w:r>
        <w:t>贡献度＝要素总成本变动额</w:t>
      </w:r>
      <w:r>
        <w:rPr>
          <w:rFonts w:hint="eastAsia"/>
          <w:lang w:val="en-US" w:eastAsia="zh-CN"/>
        </w:rPr>
        <w:t>÷</w:t>
      </w:r>
      <w:r>
        <w:t>总成本变动额×100%</w:t>
      </w:r>
      <w:r>
        <w:rPr>
          <w:rFonts w:hint="eastAsia"/>
          <w:lang w:eastAsia="zh-CN"/>
        </w:rPr>
        <w:t>。</w:t>
      </w:r>
    </w:p>
    <w:p w14:paraId="786FA7AD">
      <w:pPr>
        <w:numPr>
          <w:ilvl w:val="0"/>
          <w:numId w:val="4"/>
        </w:numPr>
        <w:bidi w:val="0"/>
      </w:pPr>
      <w:r>
        <w:t>要素总成本＝要素单位成本×当期产量</w:t>
      </w:r>
      <w:r>
        <w:rPr>
          <w:rFonts w:hint="eastAsia"/>
          <w:lang w:eastAsia="zh-CN"/>
        </w:rPr>
        <w:t>。</w:t>
      </w:r>
    </w:p>
    <w:p w14:paraId="6DB8CBB4">
      <w:pPr>
        <w:numPr>
          <w:ilvl w:val="0"/>
          <w:numId w:val="4"/>
        </w:numPr>
        <w:bidi w:val="0"/>
      </w:pPr>
      <w:r>
        <w:t>产量影响＝（本期产量－上期产量）×上期单位成本；单位成本影响＝本期产量×（本期单位成本－上期单位成本）。</w:t>
      </w:r>
    </w:p>
    <w:p w14:paraId="0046F29D">
      <w:pPr>
        <w:numPr>
          <w:ilvl w:val="0"/>
          <w:numId w:val="4"/>
        </w:numPr>
        <w:bidi w:val="0"/>
      </w:pPr>
      <w:r>
        <w:t>两厂差异＝一厂－二厂；差异率＝差异÷二厂×100%；成本越低越有利，产量高低不单独评价为经营优劣。</w:t>
      </w:r>
    </w:p>
    <w:p w14:paraId="0174A4AA">
      <w:pPr>
        <w:numPr>
          <w:ilvl w:val="0"/>
          <w:numId w:val="4"/>
        </w:numPr>
        <w:bidi w:val="0"/>
      </w:pPr>
      <w:r>
        <w:t>告警条件为 |环比变动率| &gt; 10%，恰好10%不触发。</w:t>
      </w:r>
    </w:p>
    <w:p w14:paraId="7E835D04">
      <w:pPr>
        <w:numPr>
          <w:ilvl w:val="0"/>
          <w:numId w:val="4"/>
        </w:numPr>
        <w:bidi w:val="0"/>
      </w:pPr>
      <w:r>
        <w:t>内部保留完整精度，金额显示2位、数量0位、百分比2位。</w:t>
      </w:r>
    </w:p>
    <w:p w14:paraId="41B175DD">
      <w:pPr>
        <w:numPr>
          <w:ilvl w:val="0"/>
          <w:numId w:val="4"/>
        </w:numPr>
        <w:bidi w:val="0"/>
      </w:pPr>
      <w:r>
        <w:t>同比使用2025同月/同季度，预算偏差使用2026预算，人工指标使用人工工时CSV。</w:t>
      </w:r>
    </w:p>
    <w:p w14:paraId="08DC3A14">
      <w:pPr>
        <w:numPr>
          <w:ilvl w:val="0"/>
          <w:numId w:val="4"/>
        </w:numPr>
        <w:bidi w:val="0"/>
      </w:pPr>
      <w:r>
        <w:t>实际采购量、实际采购价、标准工时、标准工资率、批次工艺收率及设备费用产品分摊没有完整输入时，价格差、用量差、标准效率差和设备事件成本影响一律不估算。</w:t>
      </w:r>
    </w:p>
    <w:p w14:paraId="0731FED6">
      <w:pPr>
        <w:pStyle w:val="3"/>
        <w:bidi w:val="0"/>
      </w:pPr>
      <w:r>
        <w:rPr>
          <w:rFonts w:hint="eastAsia"/>
          <w:lang w:val="en-US" w:eastAsia="zh-CN"/>
        </w:rPr>
        <w:t>混合RAG与知识治理</w:t>
      </w:r>
    </w:p>
    <w:p w14:paraId="4CF0508F">
      <w:pPr>
        <w:bidi w:val="0"/>
      </w:pPr>
      <w:r>
        <w:t>正式索引由</w:t>
      </w:r>
      <w:r>
        <w:rPr>
          <w:i/>
          <w:iCs/>
        </w:rPr>
        <w:t>manifest.json</w:t>
      </w:r>
      <w:r>
        <w:t>、</w:t>
      </w:r>
      <w:r>
        <w:rPr>
          <w:i/>
          <w:iCs/>
        </w:rPr>
        <w:t>pages.jsonl</w:t>
      </w:r>
      <w:r>
        <w:t>和</w:t>
      </w:r>
      <w:r>
        <w:rPr>
          <w:i/>
          <w:iCs/>
        </w:rPr>
        <w:t>vectors.npz</w:t>
      </w:r>
      <w:r>
        <w:t>构成，共9份文档、137个知识块。除产品配方、生产工艺、设备、</w:t>
      </w:r>
      <w:r>
        <w:rPr>
          <w:i/>
          <w:iCs/>
        </w:rPr>
        <w:t>GMP</w:t>
      </w:r>
      <w:r>
        <w:t>原文/摘要外，已加入两份派生知识：</w:t>
      </w:r>
    </w:p>
    <w:p w14:paraId="6CAD85B7">
      <w:pPr>
        <w:numPr>
          <w:ilvl w:val="0"/>
          <w:numId w:val="5"/>
        </w:numPr>
        <w:bidi w:val="0"/>
      </w:pPr>
      <w:r>
        <w:t>同集团工厂对标基线：由中药二厂2025年和2026年1—6月成本汇总</w:t>
      </w:r>
      <w:r>
        <w:rPr>
          <w:i/>
          <w:iCs/>
        </w:rPr>
        <w:t>CSV</w:t>
      </w:r>
      <w:r>
        <w:t>构建，保留上游文件哈希和对标口径；</w:t>
      </w:r>
    </w:p>
    <w:p w14:paraId="4436B66C">
      <w:pPr>
        <w:numPr>
          <w:ilvl w:val="0"/>
          <w:numId w:val="5"/>
        </w:numPr>
        <w:bidi w:val="0"/>
      </w:pPr>
      <w:r>
        <w:t>历史成本异常处理记录：由设备维修历史、工艺文件和</w:t>
      </w:r>
      <w:r>
        <w:rPr>
          <w:i/>
          <w:iCs/>
        </w:rPr>
        <w:t>GMP</w:t>
      </w:r>
      <w:r>
        <w:t>偏差/收率规则构建，明确“已发生事件”和“通用核查规则”不得混写为因果。</w:t>
      </w:r>
    </w:p>
    <w:p w14:paraId="40D2F8A5">
      <w:pPr>
        <w:bidi w:val="0"/>
      </w:pPr>
      <w:r>
        <w:t>正常模式使用</w:t>
      </w:r>
      <w:r>
        <w:rPr>
          <w:i/>
          <w:iCs/>
        </w:rPr>
        <w:t>BM25</w:t>
      </w:r>
      <w:r>
        <w:t>权重0.70、本地语义向量权重0.30；精确金额、设备号、工艺参数和法规条款由关键词覆盖率保护。检索结果携带文档名、版本、页/节、章节、内容哈希和权威级别。可选</w:t>
      </w:r>
      <w:r>
        <w:rPr>
          <w:i/>
          <w:iCs/>
        </w:rPr>
        <w:t>LlamaIndex BaseRetriever</w:t>
      </w:r>
      <w:r>
        <w:t>只把已验证命中转换为</w:t>
      </w:r>
      <w:r>
        <w:rPr>
          <w:i/>
          <w:iCs/>
        </w:rPr>
        <w:t>NodeWithScore</w:t>
      </w:r>
      <w:r>
        <w:t>，不改变原生召回与排序；异常时继续使用原生检索。</w:t>
      </w:r>
    </w:p>
    <w:p w14:paraId="77A7335A">
      <w:pPr>
        <w:bidi w:val="0"/>
      </w:pPr>
      <w:r>
        <w:t>文档切分采用可复现的来源分型策略。</w:t>
      </w:r>
      <w:r>
        <w:rPr>
          <w:i/>
          <w:iCs/>
        </w:rPr>
        <w:t>PDF</w:t>
      </w:r>
      <w:r>
        <w:t>按原始页形成知识块，页码直接作为引用定位；</w:t>
      </w:r>
      <w:r>
        <w:rPr>
          <w:i/>
          <w:iCs/>
        </w:rPr>
        <w:t>DOCX</w:t>
      </w:r>
      <w:r>
        <w:t>先读取标题样式并合并表格行，</w:t>
      </w:r>
      <w:r>
        <w:rPr>
          <w:i/>
          <w:iCs/>
        </w:rPr>
        <w:t>Markdown/TXT</w:t>
      </w:r>
      <w:r>
        <w:t>按标题层级切成章节。章节正文超过2400个字符时，优先在自然段边界切分；单个超长段落再按2400字符定长拆分，当前不设置重叠区（重叠长度为0），避免重复证据被重复计权。每个知识块均保存来源路径、源文件SHA-256、标题、文档类型、适用产品、版本、生效日期、页/节位置、密级、来源优先级、正文哈希和索引版本；索引发布前校验必需文档、可解析文本、知识块数量及</w:t>
      </w:r>
      <w:r>
        <w:rPr>
          <w:i/>
          <w:iCs/>
        </w:rPr>
        <w:t>pages.jsonl</w:t>
      </w:r>
      <w:r>
        <w:t>、</w:t>
      </w:r>
      <w:r>
        <w:rPr>
          <w:i/>
          <w:iCs/>
        </w:rPr>
        <w:t>vectors.npz</w:t>
      </w:r>
      <w:r>
        <w:t>哈希。</w:t>
      </w:r>
    </w:p>
    <w:p w14:paraId="3ED361F2">
      <w:pPr>
        <w:bidi w:val="0"/>
      </w:pPr>
      <w:r>
        <w:t>派生</w:t>
      </w:r>
      <w:r>
        <w:rPr>
          <w:i/>
          <w:iCs/>
        </w:rPr>
        <w:t>Markdown</w:t>
      </w:r>
      <w:r>
        <w:t>知识以章节标题作为引用位置，不把文档标题块计为</w:t>
      </w:r>
      <w:r>
        <w:rPr>
          <w:rFonts w:hint="eastAsia"/>
          <w:lang w:eastAsia="zh-CN"/>
        </w:rPr>
        <w:t>“</w:t>
      </w:r>
      <w:r>
        <w:t>第1节</w:t>
      </w:r>
      <w:r>
        <w:rPr>
          <w:rFonts w:hint="eastAsia"/>
          <w:lang w:eastAsia="zh-CN"/>
        </w:rPr>
        <w:t>”</w:t>
      </w:r>
      <w:r>
        <w:t>；同集团工厂对标基线优先命中当前产品与年份的数据章节。跨产品共页的工艺</w:t>
      </w:r>
      <w:r>
        <w:rPr>
          <w:i/>
          <w:iCs/>
        </w:rPr>
        <w:t>PDF</w:t>
      </w:r>
      <w:r>
        <w:t>在展示引用时按目标产品裁剪章节范围，避免把下一产品标题串入当前产品证据。市场价格与内部材料成本一侧或两侧持平时标记为</w:t>
      </w:r>
      <w:r>
        <w:rPr>
          <w:rFonts w:hint="eastAsia"/>
          <w:lang w:eastAsia="zh-CN"/>
        </w:rPr>
        <w:t>“</w:t>
      </w:r>
      <w:r>
        <w:t>未形成相反方向</w:t>
      </w:r>
      <w:r>
        <w:rPr>
          <w:rFonts w:hint="eastAsia"/>
          <w:lang w:eastAsia="zh-CN"/>
        </w:rPr>
        <w:t>”</w:t>
      </w:r>
      <w:r>
        <w:t>，不归入方向不一致。</w:t>
      </w:r>
    </w:p>
    <w:p w14:paraId="7C3C139F">
      <w:pPr>
        <w:pStyle w:val="3"/>
        <w:bidi w:val="0"/>
      </w:pPr>
      <w:r>
        <w:t>报告Prompt、Schema与护栏</w:t>
      </w:r>
    </w:p>
    <w:p w14:paraId="7C88693C">
      <w:pPr>
        <w:bidi w:val="0"/>
      </w:pPr>
      <w:r>
        <w:t>报告大模型请求只发送当前产品/期间的确定性结果、对标表、建议基线、Top知识证据和必要元数据。当前实际接入为阿里云百炼华北2，Base URL为 https://dashscope.aliyuncs.com/compatible-mode/v1，模型为 qwen3.8-max，使用OpenAI兼容Chat Completions和JSON Mode。</w:t>
      </w:r>
    </w:p>
    <w:p w14:paraId="5CB6991F">
      <w:pPr>
        <w:bidi w:val="0"/>
      </w:pPr>
      <w:r>
        <w:t>模型允许输出：</w:t>
      </w:r>
    </w:p>
    <w:p w14:paraId="7FFEF008">
      <w:pPr>
        <w:numPr>
          <w:ilvl w:val="0"/>
          <w:numId w:val="6"/>
        </w:numPr>
        <w:bidi w:val="0"/>
      </w:pPr>
      <w:r>
        <w:t>7个解释字段：波动告警描述、材料成本归因分析文本、成本异常排查分析、差异结构拆解分析、差异归因分析文本、本月亮点、需关注问题；</w:t>
      </w:r>
    </w:p>
    <w:p w14:paraId="4F299BF0">
      <w:pPr>
        <w:numPr>
          <w:ilvl w:val="0"/>
          <w:numId w:val="6"/>
        </w:numPr>
        <w:bidi w:val="0"/>
      </w:pPr>
      <w:r>
        <w:t>1—4条建议文案：序号、行动、责任部门、优先级、预期效果和“待业务审批”期限。</w:t>
      </w:r>
    </w:p>
    <w:p w14:paraId="5B68CDDF">
      <w:pPr>
        <w:bidi w:val="0"/>
      </w:pPr>
      <w:r>
        <w:t>模型不得改变其余100个报告字段、补充字段、动态表格的成本事实、报告编号、模板/索引版本和证据引用。系统后置校验包括：字段集合与类型、长度、批准数字白名单、环比/同比方向、预算评价、建议数量与顺序、责任部门白名单、优先级不得降级、禁止采购/设备无依据因果、禁止声称任务已执行或绕过人工审批。任一校验失败即记录</w:t>
      </w:r>
      <w:r>
        <w:rPr>
          <w:i/>
          <w:iCs/>
        </w:rPr>
        <w:t>generation.status=fallback</w:t>
      </w:r>
      <w:r>
        <w:t>及原因并回退。</w:t>
      </w:r>
    </w:p>
    <w:p w14:paraId="6CB0A598">
      <w:pPr>
        <w:bidi w:val="0"/>
      </w:pPr>
      <w:r>
        <w:rPr>
          <w:i/>
          <w:iCs/>
        </w:rPr>
        <w:t>Prompt</w:t>
      </w:r>
      <w:r>
        <w:t>由</w:t>
      </w:r>
      <w:r>
        <w:rPr>
          <w:rFonts w:hint="eastAsia"/>
          <w:lang w:eastAsia="zh-CN"/>
        </w:rPr>
        <w:t>“</w:t>
      </w:r>
      <w:r>
        <w:t>固定系统指令＋最小必要证据包＋</w:t>
      </w:r>
      <w:r>
        <w:rPr>
          <w:i/>
          <w:iCs/>
        </w:rPr>
        <w:t>Pydantic</w:t>
      </w:r>
      <w:r>
        <w:t>生成的</w:t>
      </w:r>
      <w:r>
        <w:rPr>
          <w:i/>
          <w:iCs/>
        </w:rPr>
        <w:t>JSON Schema</w:t>
      </w:r>
      <w:r>
        <w:rPr>
          <w:rFonts w:hint="eastAsia"/>
          <w:lang w:eastAsia="zh-CN"/>
        </w:rPr>
        <w:t>”</w:t>
      </w:r>
      <w:r>
        <w:t>三部分组成。系统指令限定模型仅作受控文字编辑；证据包只包含当前报告编号、确定性文字基线、受治理知识引用、对标差异结构、确定性建议候选、关键确定性字段以及方向和经营评价约束；通义千问请求使用</w:t>
      </w:r>
      <w:r>
        <w:rPr>
          <w:i/>
          <w:iCs/>
        </w:rPr>
        <w:t>JSON Mode</w:t>
      </w:r>
      <w:r>
        <w:t>，并把完整</w:t>
      </w:r>
      <w:r>
        <w:rPr>
          <w:i/>
          <w:iCs/>
        </w:rPr>
        <w:t>Schema</w:t>
      </w:r>
      <w:r>
        <w:t>附在用户消息末尾。七个叙述字段单字段最长1200字，建议限1—4条，建议行动和预期效果分别最长300字，未知字段由</w:t>
      </w:r>
      <w:r>
        <w:rPr>
          <w:i/>
          <w:iCs/>
        </w:rPr>
        <w:t>extra="forbid"</w:t>
      </w:r>
      <w:r>
        <w:t>拒绝。</w:t>
      </w:r>
    </w:p>
    <w:p w14:paraId="08287D2C">
      <w:pPr>
        <w:bidi w:val="0"/>
      </w:pPr>
      <w:r>
        <w:t>脱敏</w:t>
      </w:r>
      <w:r>
        <w:rPr>
          <w:i/>
          <w:iCs/>
        </w:rPr>
        <w:t>Prompt</w:t>
      </w:r>
      <w:r>
        <w:t>示例：</w:t>
      </w:r>
    </w:p>
    <w:p w14:paraId="04A1ACC0">
      <w:pPr>
        <w:numPr>
          <w:ilvl w:val="0"/>
          <w:numId w:val="7"/>
        </w:numPr>
        <w:bidi w:val="0"/>
      </w:pPr>
      <w:r>
        <w:t>系统指令：你是制药企业成本分析报告的受控文字编辑器，只能依据输入契约改写指定字段；不得重新计算、补造数字、改写引用或声称任务已执行；缺失数据保持</w:t>
      </w:r>
      <w:r>
        <w:rPr>
          <w:rFonts w:hint="eastAsia"/>
          <w:lang w:eastAsia="zh-CN"/>
        </w:rPr>
        <w:t>“</w:t>
      </w:r>
      <w:r>
        <w:t>暂无数据</w:t>
      </w:r>
      <w:r>
        <w:rPr>
          <w:rFonts w:hint="eastAsia"/>
          <w:lang w:eastAsia="zh-CN"/>
        </w:rPr>
        <w:t>”</w:t>
      </w:r>
      <w:r>
        <w:t>。</w:t>
      </w:r>
    </w:p>
    <w:p w14:paraId="46BB42F9">
      <w:pPr>
        <w:numPr>
          <w:ilvl w:val="0"/>
          <w:numId w:val="7"/>
        </w:numPr>
        <w:bidi w:val="0"/>
      </w:pPr>
      <w:r>
        <w:t>用户证据包：{"报告编号":"CA-YYYYMM-XX-001","确定性文字基线":{"材料成本归因分析文本":"&lt;已校验文本&gt;"},"受治理知识引用":["&lt;文档/版本/页节/哈希&gt;"],"关键确定性字段":{"本月单位成本":"&lt;批准数字&gt;"},"方向与经营评价约束":{"单位成本环比":"&lt;批准方向&gt;"}}。</w:t>
      </w:r>
    </w:p>
    <w:p w14:paraId="3C99456C">
      <w:pPr>
        <w:numPr>
          <w:ilvl w:val="0"/>
          <w:numId w:val="7"/>
        </w:numPr>
        <w:bidi w:val="0"/>
      </w:pPr>
      <w:r>
        <w:t>输出约束：只返回</w:t>
      </w:r>
      <w:r>
        <w:rPr>
          <w:i/>
          <w:iCs/>
        </w:rPr>
        <w:t>Schema</w:t>
      </w:r>
      <w:r>
        <w:t>要求的七个叙述字段和改进建议列表；建议数量、顺序、责任部门范围和优先级边界不得改变。</w:t>
      </w:r>
      <w:r>
        <w:rPr>
          <w:i/>
          <w:iCs/>
        </w:rPr>
        <w:t>API Key</w:t>
      </w:r>
      <w:r>
        <w:t>、完整原始文件、无关产品数据和本地绝对路径不进入</w:t>
      </w:r>
      <w:r>
        <w:rPr>
          <w:i/>
          <w:iCs/>
        </w:rPr>
        <w:t>Prompt</w:t>
      </w:r>
      <w:r>
        <w:t>。</w:t>
      </w:r>
    </w:p>
    <w:p w14:paraId="08DC64D6">
      <w:pPr>
        <w:pStyle w:val="3"/>
        <w:bidi w:val="0"/>
      </w:pPr>
      <w:r>
        <w:t>整改任务JSON控制</w:t>
      </w:r>
    </w:p>
    <w:p w14:paraId="3D32950A">
      <w:pPr>
        <w:bidi w:val="0"/>
      </w:pPr>
      <w:r>
        <w:t>报告生成后可创建</w:t>
      </w:r>
      <w:r>
        <w:rPr>
          <w:i/>
          <w:iCs/>
        </w:rPr>
        <w:t>TaskCandidateBundle</w:t>
      </w:r>
      <w:r>
        <w:t xml:space="preserve">。确定性代码保护任务ID、报告编号、契约哈希、产品、期间、来源字段、来源引用、事实发现、创建时间、状态和校验结果；大模型只可改写任务标题、整改建议、建议优先级和建议部门。候选始终从 </w:t>
      </w:r>
      <w:r>
        <w:rPr>
          <w:i/>
          <w:iCs/>
        </w:rPr>
        <w:t>pending_review</w:t>
      </w:r>
      <w:r>
        <w:t>开始，只有人工填写审核人、责任人、部门、期限、通知方式并输入确认语句后，系统才生成</w:t>
      </w:r>
      <w:r>
        <w:rPr>
          <w:i/>
          <w:iCs/>
        </w:rPr>
        <w:t>RpaTaskCreateRequest</w:t>
      </w:r>
      <w:r>
        <w:t>。提交目标被限制为本机 127.0.0.1/localhost 模拟RPA，并使用幂等键避免重复发送。</w:t>
      </w:r>
    </w:p>
    <w:p w14:paraId="2EEE1B33">
      <w:pPr>
        <w:bidi w:val="0"/>
      </w:pPr>
      <w:r>
        <w:t>整改闭环汇总只展示</w:t>
      </w:r>
      <w:r>
        <w:rPr>
          <w:rFonts w:hint="eastAsia"/>
          <w:lang w:eastAsia="zh-CN"/>
        </w:rPr>
        <w:t>“</w:t>
      </w:r>
      <w:r>
        <w:t>已形成候选、已人工确认、已模拟送达、发送失败</w:t>
      </w:r>
      <w:r>
        <w:rPr>
          <w:rFonts w:hint="eastAsia"/>
          <w:lang w:eastAsia="zh-CN"/>
        </w:rPr>
        <w:t>”</w:t>
      </w:r>
      <w:r>
        <w:t>四项。统计来源是各报告目录中的</w:t>
      </w:r>
      <w:r>
        <w:rPr>
          <w:i/>
          <w:iCs/>
        </w:rPr>
        <w:t>task_candidates.json</w:t>
      </w:r>
      <w:r>
        <w:rPr>
          <w:rFonts w:hint="eastAsia"/>
          <w:i/>
          <w:iCs/>
          <w:lang w:eastAsia="zh-CN"/>
        </w:rPr>
        <w:t>、</w:t>
      </w:r>
      <w:r>
        <w:rPr>
          <w:i/>
          <w:iCs/>
        </w:rPr>
        <w:t>reviewed_task.jso</w:t>
      </w:r>
      <w:r>
        <w:rPr>
          <w:rFonts w:hint="eastAsia"/>
          <w:i/>
          <w:iCs/>
          <w:lang w:val="en-US" w:eastAsia="zh-CN"/>
        </w:rPr>
        <w:t>n</w:t>
      </w:r>
      <w:r>
        <w:t xml:space="preserve">和 </w:t>
      </w:r>
      <w:r>
        <w:rPr>
          <w:i/>
          <w:iCs/>
        </w:rPr>
        <w:t>submission_result.json</w:t>
      </w:r>
      <w:r>
        <w:t>，不把</w:t>
      </w:r>
      <w:r>
        <w:rPr>
          <w:i/>
          <w:iCs/>
        </w:rPr>
        <w:t>Word/PDF</w:t>
      </w:r>
      <w:r>
        <w:t>报告数量混入流程统计。正式启用或正式演示前，测试流程文件移至 07_报告输出/测试流程归档/，报告制品保留，四项流程统计从零开始；后续每次形成候选、审核和发送后按落盘状态递增。</w:t>
      </w:r>
    </w:p>
    <w:p w14:paraId="1A6A4E6E">
      <w:pPr>
        <w:pStyle w:val="3"/>
        <w:bidi w:val="0"/>
      </w:pPr>
      <w:r>
        <w:t>模板、图表与期间边界</w:t>
      </w:r>
    </w:p>
    <w:p w14:paraId="30B7EA83">
      <w:pPr>
        <w:bidi w:val="0"/>
      </w:pPr>
      <w:r>
        <w:rPr>
          <w:i/>
          <w:iCs/>
        </w:rPr>
        <w:t>Markdown</w:t>
      </w:r>
      <w:r>
        <w:t>模板定义6章业务结构和107个占位符；</w:t>
      </w:r>
      <w:r>
        <w:rPr>
          <w:i/>
          <w:iCs/>
        </w:rPr>
        <w:t>Word</w:t>
      </w:r>
      <w:r>
        <w:t>模板定义封面、文档控制、阅读指南、目录、水印、正文、表格和字体版式。月度、季度和专题报告均映射到同一107字段契约和同一</w:t>
      </w:r>
      <w:r>
        <w:rPr>
          <w:i/>
          <w:iCs/>
        </w:rPr>
        <w:t>Word</w:t>
      </w:r>
      <w:r>
        <w:t>版式链路。</w:t>
      </w:r>
    </w:p>
    <w:p w14:paraId="786D4BF9">
      <w:pPr>
        <w:bidi w:val="0"/>
      </w:pPr>
      <w:r>
        <w:t>报告内嵌三类图表：单位成本趋势、单位成本变动瀑布和本月成本结构。图表先生成高清图片，再嵌入</w:t>
      </w:r>
      <w:r>
        <w:rPr>
          <w:i/>
          <w:iCs/>
        </w:rPr>
        <w:t>Word</w:t>
      </w:r>
      <w:r>
        <w:t>，并通过</w:t>
      </w:r>
      <w:r>
        <w:rPr>
          <w:i/>
          <w:iCs/>
        </w:rPr>
        <w:t>LibreOffice</w:t>
      </w:r>
      <w:r>
        <w:t>生成</w:t>
      </w:r>
      <w:r>
        <w:rPr>
          <w:i/>
          <w:iCs/>
        </w:rPr>
        <w:t>PDF</w:t>
      </w:r>
      <w:r>
        <w:t>。趋势标题严格跟随可得数据范围：只有完整6个月时显示</w:t>
      </w:r>
      <w:r>
        <w:rPr>
          <w:rFonts w:hint="eastAsia"/>
          <w:lang w:eastAsia="zh-CN"/>
        </w:rPr>
        <w:t>“</w:t>
      </w:r>
      <w:r>
        <w:t>近6个月</w:t>
      </w:r>
      <w:r>
        <w:rPr>
          <w:rFonts w:hint="eastAsia"/>
          <w:lang w:eastAsia="zh-CN"/>
        </w:rPr>
        <w:t>”</w:t>
      </w:r>
      <w:r>
        <w:t>；不足6个月时显示实际起止月份和点数，禁止补造缺失月份。</w:t>
      </w:r>
    </w:p>
    <w:p w14:paraId="5130183B">
      <w:pPr>
        <w:bidi w:val="0"/>
      </w:pPr>
      <w:r>
        <w:t>模板解析与渲染按以下顺序执行：</w:t>
      </w:r>
    </w:p>
    <w:p w14:paraId="35B0CCF3">
      <w:pPr>
        <w:numPr>
          <w:ilvl w:val="0"/>
          <w:numId w:val="8"/>
        </w:numPr>
        <w:bidi w:val="0"/>
      </w:pPr>
      <w:r>
        <w:rPr>
          <w:b/>
          <w:bCs/>
        </w:rPr>
        <w:t>契约校验：</w:t>
      </w:r>
      <w:r>
        <w:t>扫描</w:t>
      </w:r>
      <w:r>
        <w:rPr>
          <w:i/>
          <w:iCs/>
        </w:rPr>
        <w:t>Markdown</w:t>
      </w:r>
      <w:r>
        <w:t>模板中的{{字段名}}，与107字段报告契约做严格集合比对；缺少、额外或不可用字段被补值时，契约直接判定失败。动态表格作为受控结构单独保存，不交给大模型生成。</w:t>
      </w:r>
    </w:p>
    <w:p w14:paraId="206DBB7E">
      <w:pPr>
        <w:numPr>
          <w:ilvl w:val="0"/>
          <w:numId w:val="8"/>
        </w:numPr>
        <w:bidi w:val="0"/>
      </w:pPr>
      <w:r>
        <w:rPr>
          <w:b/>
          <w:bCs/>
        </w:rPr>
        <w:t>Word装配：</w:t>
      </w:r>
      <w:r>
        <w:t>复制受治理</w:t>
      </w:r>
      <w:r>
        <w:rPr>
          <w:i/>
          <w:iCs/>
        </w:rPr>
        <w:t>Word</w:t>
      </w:r>
      <w:r>
        <w:t>模板，在内存中定位正文、表格和页眉页脚的占位符；普通字段按契约替换，独占段落的动态表格占位符替换为真实表格，并插入趋势图、瀑布图、成本结构图和知识证据引用。</w:t>
      </w:r>
    </w:p>
    <w:p w14:paraId="3DEAA1E7">
      <w:pPr>
        <w:numPr>
          <w:ilvl w:val="0"/>
          <w:numId w:val="8"/>
        </w:numPr>
        <w:bidi w:val="0"/>
      </w:pPr>
      <w:r>
        <w:rPr>
          <w:b/>
          <w:bCs/>
        </w:rPr>
        <w:t>版式稳定：</w:t>
      </w:r>
      <w:r>
        <w:t>执行分析类型标签适配、同比指标补齐、表格与字体规范化、封面两行标题、前置页独占分页、正文分页稳定和页码字段刷新；最后扫描未替换占位符。任何占位符、关键章节或制品缺失均停止交付。</w:t>
      </w:r>
    </w:p>
    <w:p w14:paraId="7394D458">
      <w:pPr>
        <w:numPr>
          <w:ilvl w:val="0"/>
          <w:numId w:val="8"/>
        </w:numPr>
        <w:bidi w:val="0"/>
      </w:pPr>
      <w:r>
        <w:rPr>
          <w:b/>
          <w:bCs/>
        </w:rPr>
        <w:t>制品复核：</w:t>
      </w:r>
      <w:r>
        <w:rPr>
          <w:i/>
          <w:iCs/>
        </w:rPr>
        <w:t>PDF</w:t>
      </w:r>
      <w:r>
        <w:t>转换后重新打开文件，检查页数、封面编制单位、第二页文档控制、第三页阅读指南、产品名、总成本概览、知识证据引用和残留占位符；检查失败时报告生成整体失败，不发布半成品目录。</w:t>
      </w:r>
    </w:p>
    <w:p w14:paraId="42307E75">
      <w:pPr>
        <w:bidi w:val="0"/>
      </w:pPr>
      <w:r>
        <w:t>模板哈希、字段数量、缺失字段、未替换占位符、报告图表和PDF生成均纳入回归测试。</w:t>
      </w:r>
    </w:p>
    <w:p w14:paraId="4957AF64">
      <w:pPr>
        <w:pStyle w:val="2"/>
      </w:pPr>
      <w:r>
        <w:rPr>
          <w:rFonts w:hint="eastAsia"/>
          <w:lang w:val="en-US" w:eastAsia="zh-CN"/>
        </w:rPr>
        <w:t>主Web API合同</w:t>
      </w:r>
    </w:p>
    <w:p w14:paraId="0EB35ACE">
      <w:pPr>
        <w:bidi w:val="0"/>
      </w:pPr>
      <w:r>
        <w:t>所有请求模型使用</w:t>
      </w:r>
      <w:r>
        <w:rPr>
          <w:i/>
          <w:iCs/>
        </w:rPr>
        <w:t>extra="forbid"</w:t>
      </w:r>
      <w:r>
        <w:t>，出现未知字段、非法期间或缺少必选项时返回4</w:t>
      </w:r>
      <w:r>
        <w:rPr>
          <w:i/>
          <w:iCs/>
        </w:rPr>
        <w:t>xx</w:t>
      </w:r>
      <w:r>
        <w:t>，不静默忽略。</w:t>
      </w:r>
    </w:p>
    <w:p w14:paraId="57BABFFB">
      <w:pPr>
        <w:bidi w:val="0"/>
      </w:pPr>
      <w:r>
        <w:t>典型异常响应与恢复策略：</w:t>
      </w:r>
    </w:p>
    <w:p w14:paraId="70630117">
      <w:pPr>
        <w:numPr>
          <w:ilvl w:val="0"/>
          <w:numId w:val="9"/>
        </w:numPr>
        <w:bidi w:val="0"/>
      </w:pPr>
      <w:r>
        <w:t>请求缺少期间、存在未知字段或专题事实准入不满足时返回422，例如{"detail":"月度成本分析必须选择分析月份"}；前端保留当前选择并提示修正，不启动报告渲染。</w:t>
      </w:r>
    </w:p>
    <w:p w14:paraId="71D003F9">
      <w:pPr>
        <w:numPr>
          <w:ilvl w:val="0"/>
          <w:numId w:val="9"/>
        </w:numPr>
        <w:bidi w:val="0"/>
        <w:ind w:left="0" w:leftChars="0" w:firstLine="480" w:firstLineChars="200"/>
      </w:pPr>
      <w:r>
        <w:t>报告</w:t>
      </w:r>
      <w:r>
        <w:rPr>
          <w:i/>
          <w:iCs/>
        </w:rPr>
        <w:t>ID</w:t>
      </w:r>
      <w:r>
        <w:t>格式正确但制品不存在、下载清单不一致或目标文件缺失时返回404；路径越界在解析阶段阻断，不回显服务器绝对路径。</w:t>
      </w:r>
    </w:p>
    <w:p w14:paraId="7681B246">
      <w:pPr>
        <w:numPr>
          <w:ilvl w:val="0"/>
          <w:numId w:val="9"/>
        </w:numPr>
        <w:bidi w:val="0"/>
        <w:ind w:left="0" w:leftChars="0" w:firstLine="480" w:firstLineChars="200"/>
      </w:pPr>
      <w:r>
        <w:t>大模型出现超时、网络错误、408/409/429/5</w:t>
      </w:r>
      <w:r>
        <w:rPr>
          <w:i/>
          <w:iCs/>
        </w:rPr>
        <w:t>xx</w:t>
      </w:r>
      <w:r>
        <w:t>、非</w:t>
      </w:r>
      <w:r>
        <w:rPr>
          <w:i/>
          <w:iCs/>
        </w:rPr>
        <w:t>JSON</w:t>
      </w:r>
      <w:r>
        <w:t>、</w:t>
      </w:r>
      <w:r>
        <w:rPr>
          <w:i/>
          <w:iCs/>
        </w:rPr>
        <w:t>Schema</w:t>
      </w:r>
      <w:r>
        <w:t>不合格或护栏不通过时，最多按配置重试3次；仍失败则报告继续以确定性基线生成，并在</w:t>
      </w:r>
      <w:r>
        <w:rPr>
          <w:i/>
          <w:iCs/>
        </w:rPr>
        <w:t>generation.status=fallback</w:t>
      </w:r>
      <w:r>
        <w:t>和</w:t>
      </w:r>
      <w:r>
        <w:rPr>
          <w:i/>
          <w:iCs/>
        </w:rPr>
        <w:t>warnings</w:t>
      </w:r>
      <w:r>
        <w:t>中记录脱敏原因，不把外部错误堆栈暴露到网页</w:t>
      </w:r>
      <w:r>
        <w:rPr>
          <w:rFonts w:hint="eastAsia"/>
          <w:lang w:eastAsia="zh-CN"/>
        </w:rPr>
        <w:t>。</w:t>
      </w:r>
    </w:p>
    <w:p w14:paraId="2269E6B2">
      <w:pPr>
        <w:numPr>
          <w:ilvl w:val="0"/>
          <w:numId w:val="9"/>
        </w:numPr>
        <w:bidi w:val="0"/>
        <w:ind w:left="0" w:leftChars="0" w:firstLine="480" w:firstLineChars="200"/>
      </w:pPr>
      <w:r>
        <w:rPr>
          <w:i/>
          <w:iCs/>
        </w:rPr>
        <w:t>Word</w:t>
      </w:r>
      <w:r>
        <w:t>图表生成、模板替换或</w:t>
      </w:r>
      <w:r>
        <w:rPr>
          <w:i/>
          <w:iCs/>
        </w:rPr>
        <w:t>PDF</w:t>
      </w:r>
      <w:r>
        <w:t>关键内容校验失败时，临时目录不转为正式报告目录；接口返回受控错误，用户可在修复依赖或模板后重新生成，不会留下可下载的半成品。</w:t>
      </w:r>
    </w:p>
    <w:p w14:paraId="7D4BE242">
      <w:pPr>
        <w:bidi w:val="0"/>
      </w:pPr>
      <w:r>
        <w:rPr>
          <w:rFonts w:hint="eastAsia"/>
          <w:lang w:eastAsia="zh-CN"/>
        </w:rPr>
        <w:t>“</w:t>
      </w:r>
      <w:r>
        <w:t>原材料涨价专项</w:t>
      </w:r>
      <w:r>
        <w:rPr>
          <w:rFonts w:hint="eastAsia"/>
          <w:lang w:eastAsia="zh-CN"/>
        </w:rPr>
        <w:t>”</w:t>
      </w:r>
      <w:r>
        <w:t>设有事实准入：当前期间直接材料单位成本必须上升，且至少存在一项上升的材料明细或同名市场证据；不满足时返回4</w:t>
      </w:r>
      <w:r>
        <w:rPr>
          <w:i/>
          <w:iCs/>
        </w:rPr>
        <w:t>xx</w:t>
      </w:r>
      <w:r>
        <w:t>并提示改选材料上涨月份或</w:t>
      </w:r>
      <w:r>
        <w:rPr>
          <w:rFonts w:hint="eastAsia"/>
          <w:lang w:eastAsia="zh-CN"/>
        </w:rPr>
        <w:t>“</w:t>
      </w:r>
      <w:r>
        <w:t>工厂成本差异专项</w:t>
      </w:r>
      <w:r>
        <w:rPr>
          <w:rFonts w:hint="eastAsia"/>
          <w:lang w:eastAsia="zh-CN"/>
        </w:rPr>
        <w:t>”</w:t>
      </w:r>
      <w:r>
        <w:t>。整改任务表的主题与优先级继承首条受治理改进建议，责任人和截止时间仍保留到人工审批阶段填写。</w:t>
      </w:r>
      <w:bookmarkStart w:id="0" w:name="_GoBack"/>
      <w:bookmarkEnd w:id="0"/>
    </w:p>
    <w:p w14:paraId="1EE6AC34"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531" w:bottom="1440" w:left="1531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enlo">
    <w:altName w:val="Courier New"/>
    <w:panose1 w:val="020B0609030804020204"/>
    <w:charset w:val="00"/>
    <w:family w:val="modern"/>
    <w:pitch w:val="default"/>
    <w:sig w:usb0="00000000" w:usb1="00000000" w:usb2="02000028" w:usb3="00000000" w:csb0="000001D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A8D797">
    <w:pPr>
      <w:pStyle w:val="8"/>
      <w:ind w:firstLine="0" w:firstLineChars="0"/>
      <w:jc w:val="center"/>
      <w:rPr>
        <w:caps/>
        <w:color w:val="000000" w:themeColor="text1"/>
        <w:sz w:val="21"/>
        <w14:textFill>
          <w14:solidFill>
            <w14:schemeClr w14:val="tx1"/>
          </w14:solidFill>
        </w14:textFill>
      </w:rPr>
    </w:pPr>
    <w:r>
      <w:rPr>
        <w:caps/>
        <w:color w:val="000000" w:themeColor="text1"/>
        <w:sz w:val="21"/>
        <w14:textFill>
          <w14:solidFill>
            <w14:schemeClr w14:val="tx1"/>
          </w14:solidFill>
        </w14:textFill>
      </w:rPr>
      <w:fldChar w:fldCharType="begin"/>
    </w:r>
    <w:r>
      <w:rPr>
        <w:caps/>
        <w:color w:val="000000" w:themeColor="text1"/>
        <w:sz w:val="21"/>
        <w14:textFill>
          <w14:solidFill>
            <w14:schemeClr w14:val="tx1"/>
          </w14:solidFill>
        </w14:textFill>
      </w:rPr>
      <w:instrText xml:space="preserve">PAGE   \* MERGEFORMAT</w:instrText>
    </w:r>
    <w:r>
      <w:rPr>
        <w:caps/>
        <w:color w:val="000000" w:themeColor="text1"/>
        <w:sz w:val="21"/>
        <w14:textFill>
          <w14:solidFill>
            <w14:schemeClr w14:val="tx1"/>
          </w14:solidFill>
        </w14:textFill>
      </w:rPr>
      <w:fldChar w:fldCharType="separate"/>
    </w:r>
    <w:r>
      <w:rPr>
        <w:caps/>
        <w:color w:val="000000" w:themeColor="text1"/>
        <w:sz w:val="21"/>
        <w:lang w:val="zh-CN"/>
        <w14:textFill>
          <w14:solidFill>
            <w14:schemeClr w14:val="tx1"/>
          </w14:solidFill>
        </w14:textFill>
      </w:rPr>
      <w:t>7</w:t>
    </w:r>
    <w:r>
      <w:rPr>
        <w:caps/>
        <w:color w:val="000000" w:themeColor="text1"/>
        <w:sz w:val="21"/>
        <w14:textFill>
          <w14:solidFill>
            <w14:schemeClr w14:val="tx1"/>
          </w14:solidFill>
        </w14:textFill>
      </w:rPr>
      <w:fldChar w:fldCharType="end"/>
    </w:r>
  </w:p>
  <w:p w14:paraId="009DA9DC">
    <w:pPr>
      <w:pStyle w:val="8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E0295F">
    <w:pPr>
      <w:pStyle w:val="8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87A3B9">
    <w:pPr>
      <w:pStyle w:val="8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289BBD">
    <w:pPr>
      <w:ind w:left="480" w:firstLine="0" w:firstLineChars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28BF35">
    <w:pPr>
      <w:pStyle w:val="9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4DAE9C">
    <w:pPr>
      <w:pStyle w:val="9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A8C697"/>
    <w:multiLevelType w:val="singleLevel"/>
    <w:tmpl w:val="81A8C697"/>
    <w:lvl w:ilvl="0" w:tentative="0">
      <w:start w:val="1"/>
      <w:numFmt w:val="decimal"/>
      <w:suff w:val="nothing"/>
      <w:lvlText w:val="（%1）"/>
      <w:lvlJc w:val="left"/>
      <w:pPr/>
      <w:rPr>
        <w:rFonts w:hint="default"/>
        <w:b/>
        <w:bCs/>
      </w:rPr>
    </w:lvl>
  </w:abstractNum>
  <w:abstractNum w:abstractNumId="1">
    <w:nsid w:val="A1FD0A0B"/>
    <w:multiLevelType w:val="singleLevel"/>
    <w:tmpl w:val="A1FD0A0B"/>
    <w:lvl w:ilvl="0" w:tentative="0">
      <w:start w:val="1"/>
      <w:numFmt w:val="bullet"/>
      <w:pStyle w:val="5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2">
    <w:nsid w:val="B7D81D4B"/>
    <w:multiLevelType w:val="singleLevel"/>
    <w:tmpl w:val="B7D81D4B"/>
    <w:lvl w:ilvl="0" w:tentative="0">
      <w:start w:val="1"/>
      <w:numFmt w:val="decimal"/>
      <w:suff w:val="nothing"/>
      <w:lvlText w:val="（%1）"/>
      <w:lvlJc w:val="left"/>
      <w:pPr/>
      <w:rPr>
        <w:rFonts w:hint="default"/>
        <w:b/>
        <w:bCs/>
      </w:rPr>
    </w:lvl>
  </w:abstractNum>
  <w:abstractNum w:abstractNumId="3">
    <w:nsid w:val="E589398A"/>
    <w:multiLevelType w:val="singleLevel"/>
    <w:tmpl w:val="E589398A"/>
    <w:lvl w:ilvl="0" w:tentative="0">
      <w:start w:val="1"/>
      <w:numFmt w:val="decimal"/>
      <w:suff w:val="nothing"/>
      <w:lvlText w:val="（%1）"/>
      <w:lvlJc w:val="left"/>
      <w:pPr/>
      <w:rPr>
        <w:rFonts w:hint="default"/>
        <w:b/>
        <w:bCs/>
      </w:rPr>
    </w:lvl>
  </w:abstractNum>
  <w:abstractNum w:abstractNumId="4">
    <w:nsid w:val="FFF9E8FA"/>
    <w:multiLevelType w:val="singleLevel"/>
    <w:tmpl w:val="FFF9E8FA"/>
    <w:lvl w:ilvl="0" w:tentative="0">
      <w:start w:val="1"/>
      <w:numFmt w:val="decimal"/>
      <w:suff w:val="nothing"/>
      <w:lvlText w:val="（%1）"/>
      <w:lvlJc w:val="left"/>
      <w:pPr/>
      <w:rPr>
        <w:rFonts w:hint="default"/>
        <w:b/>
        <w:bCs/>
      </w:rPr>
    </w:lvl>
  </w:abstractNum>
  <w:abstractNum w:abstractNumId="5">
    <w:nsid w:val="06EE8363"/>
    <w:multiLevelType w:val="singleLevel"/>
    <w:tmpl w:val="06EE8363"/>
    <w:lvl w:ilvl="0" w:tentative="0">
      <w:start w:val="1"/>
      <w:numFmt w:val="decimal"/>
      <w:suff w:val="nothing"/>
      <w:lvlText w:val="（%1）"/>
      <w:lvlJc w:val="left"/>
      <w:pPr/>
      <w:rPr>
        <w:rFonts w:hint="default"/>
        <w:b/>
        <w:bCs/>
      </w:rPr>
    </w:lvl>
  </w:abstractNum>
  <w:abstractNum w:abstractNumId="6">
    <w:nsid w:val="42D8864F"/>
    <w:multiLevelType w:val="singleLevel"/>
    <w:tmpl w:val="42D8864F"/>
    <w:lvl w:ilvl="0" w:tentative="0">
      <w:start w:val="1"/>
      <w:numFmt w:val="decimal"/>
      <w:suff w:val="nothing"/>
      <w:lvlText w:val="（%1）"/>
      <w:lvlJc w:val="left"/>
      <w:pPr/>
      <w:rPr>
        <w:rFonts w:hint="default"/>
        <w:b/>
        <w:bCs/>
      </w:rPr>
    </w:lvl>
  </w:abstractNum>
  <w:abstractNum w:abstractNumId="7">
    <w:nsid w:val="620DA1BC"/>
    <w:multiLevelType w:val="singleLevel"/>
    <w:tmpl w:val="620DA1BC"/>
    <w:lvl w:ilvl="0" w:tentative="0">
      <w:start w:val="1"/>
      <w:numFmt w:val="decimal"/>
      <w:suff w:val="nothing"/>
      <w:lvlText w:val="（%1）"/>
      <w:lvlJc w:val="left"/>
      <w:pPr/>
      <w:rPr>
        <w:rFonts w:hint="default"/>
        <w:b/>
        <w:bCs/>
      </w:rPr>
    </w:lvl>
  </w:abstractNum>
  <w:abstractNum w:abstractNumId="8">
    <w:nsid w:val="73CD4293"/>
    <w:multiLevelType w:val="multilevel"/>
    <w:tmpl w:val="73CD4293"/>
    <w:lvl w:ilvl="0" w:tentative="0">
      <w:start w:val="1"/>
      <w:numFmt w:val="chineseCountingThousand"/>
      <w:pStyle w:val="2"/>
      <w:suff w:val="space"/>
      <w:lvlText w:val="%1、"/>
      <w:lvlJc w:val="left"/>
      <w:pPr>
        <w:ind w:left="425" w:hanging="425"/>
      </w:pPr>
      <w:rPr>
        <w:rFonts w:hint="eastAsia" w:ascii="黑体" w:hAnsi="黑体" w:eastAsia="黑体"/>
        <w:b w:val="0"/>
        <w:i w:val="0"/>
        <w:sz w:val="28"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ind w:left="992" w:hanging="567"/>
      </w:pPr>
      <w:rPr>
        <w:rFonts w:hint="eastAsia" w:ascii="黑体" w:hAnsi="黑体" w:eastAsia="黑体"/>
        <w:b w:val="0"/>
        <w:i w:val="0"/>
        <w:sz w:val="24"/>
      </w:r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ind w:left="1418" w:hanging="567"/>
      </w:pPr>
      <w:rPr>
        <w:rFonts w:hint="eastAsia" w:ascii="黑体" w:hAnsi="黑体" w:eastAsia="黑体"/>
        <w:b w:val="0"/>
        <w:i w:val="0"/>
        <w:sz w:val="24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8"/>
  </w:num>
  <w:num w:numId="2">
    <w:abstractNumId w:val="1"/>
  </w:num>
  <w:num w:numId="3">
    <w:abstractNumId w:val="0"/>
  </w:num>
  <w:num w:numId="4">
    <w:abstractNumId w:val="2"/>
  </w:num>
  <w:num w:numId="5">
    <w:abstractNumId w:val="7"/>
  </w:num>
  <w:num w:numId="6">
    <w:abstractNumId w:val="3"/>
  </w:num>
  <w:num w:numId="7">
    <w:abstractNumId w:val="5"/>
  </w:num>
  <w:num w:numId="8">
    <w:abstractNumId w:val="4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ZZ_MODIFIED_GEEBINF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zx2zwrze72tww8ev2215dvxnew5ttp0wraw9&quot;&gt;数学建模&lt;record-ids&gt;&lt;item&gt;5&lt;/item&gt;&lt;/record-ids&gt;&lt;/item&gt;&lt;/Libraries&gt;"/>
  </w:docVars>
  <w:rsids>
    <w:rsidRoot w:val="00144B2A"/>
    <w:rsid w:val="00000350"/>
    <w:rsid w:val="000111F2"/>
    <w:rsid w:val="000133BE"/>
    <w:rsid w:val="000331A6"/>
    <w:rsid w:val="000539F4"/>
    <w:rsid w:val="00060C36"/>
    <w:rsid w:val="00064A61"/>
    <w:rsid w:val="0008029E"/>
    <w:rsid w:val="000815BE"/>
    <w:rsid w:val="00087A05"/>
    <w:rsid w:val="00090D69"/>
    <w:rsid w:val="000A1C75"/>
    <w:rsid w:val="000B11C1"/>
    <w:rsid w:val="000B78CB"/>
    <w:rsid w:val="000D2E4E"/>
    <w:rsid w:val="000E03AA"/>
    <w:rsid w:val="00134651"/>
    <w:rsid w:val="001374D3"/>
    <w:rsid w:val="00144B2A"/>
    <w:rsid w:val="00161DA2"/>
    <w:rsid w:val="00171A48"/>
    <w:rsid w:val="00172B82"/>
    <w:rsid w:val="001873C2"/>
    <w:rsid w:val="001939A1"/>
    <w:rsid w:val="00195F45"/>
    <w:rsid w:val="0019771A"/>
    <w:rsid w:val="001A2F74"/>
    <w:rsid w:val="001A35B1"/>
    <w:rsid w:val="001C239C"/>
    <w:rsid w:val="001C7D65"/>
    <w:rsid w:val="001E1F3D"/>
    <w:rsid w:val="001F3C75"/>
    <w:rsid w:val="001F5C5A"/>
    <w:rsid w:val="00217314"/>
    <w:rsid w:val="00222A3C"/>
    <w:rsid w:val="00225389"/>
    <w:rsid w:val="0022698C"/>
    <w:rsid w:val="002319B3"/>
    <w:rsid w:val="00236AE3"/>
    <w:rsid w:val="00240B4E"/>
    <w:rsid w:val="00250F22"/>
    <w:rsid w:val="00254993"/>
    <w:rsid w:val="002633EC"/>
    <w:rsid w:val="002828E5"/>
    <w:rsid w:val="002A3EEA"/>
    <w:rsid w:val="002C0172"/>
    <w:rsid w:val="002C23D9"/>
    <w:rsid w:val="002C7F4D"/>
    <w:rsid w:val="002D209F"/>
    <w:rsid w:val="002E2E98"/>
    <w:rsid w:val="00300EB9"/>
    <w:rsid w:val="00307689"/>
    <w:rsid w:val="00320BF2"/>
    <w:rsid w:val="003331B8"/>
    <w:rsid w:val="003410E0"/>
    <w:rsid w:val="00343AFD"/>
    <w:rsid w:val="00351507"/>
    <w:rsid w:val="00354CD0"/>
    <w:rsid w:val="00362474"/>
    <w:rsid w:val="00371210"/>
    <w:rsid w:val="00377EC8"/>
    <w:rsid w:val="003912A3"/>
    <w:rsid w:val="0039499D"/>
    <w:rsid w:val="003A2C5A"/>
    <w:rsid w:val="003A4D87"/>
    <w:rsid w:val="003B7C68"/>
    <w:rsid w:val="003E348E"/>
    <w:rsid w:val="003E5411"/>
    <w:rsid w:val="0042468F"/>
    <w:rsid w:val="00432972"/>
    <w:rsid w:val="00443B9A"/>
    <w:rsid w:val="00476829"/>
    <w:rsid w:val="004873A8"/>
    <w:rsid w:val="004973A7"/>
    <w:rsid w:val="004A1340"/>
    <w:rsid w:val="004A5FEA"/>
    <w:rsid w:val="004B2EE5"/>
    <w:rsid w:val="004C26BA"/>
    <w:rsid w:val="004D563D"/>
    <w:rsid w:val="004E0603"/>
    <w:rsid w:val="004E4ED9"/>
    <w:rsid w:val="004E6053"/>
    <w:rsid w:val="004F1D30"/>
    <w:rsid w:val="004F4A07"/>
    <w:rsid w:val="00504110"/>
    <w:rsid w:val="0051597F"/>
    <w:rsid w:val="005175CE"/>
    <w:rsid w:val="00520A41"/>
    <w:rsid w:val="00520DBF"/>
    <w:rsid w:val="00527988"/>
    <w:rsid w:val="005673E5"/>
    <w:rsid w:val="005731F5"/>
    <w:rsid w:val="00574AC2"/>
    <w:rsid w:val="00575FCC"/>
    <w:rsid w:val="005A50CC"/>
    <w:rsid w:val="005A515F"/>
    <w:rsid w:val="005A670E"/>
    <w:rsid w:val="005B134D"/>
    <w:rsid w:val="005B2174"/>
    <w:rsid w:val="005B7C6A"/>
    <w:rsid w:val="005C20C3"/>
    <w:rsid w:val="005C4E2D"/>
    <w:rsid w:val="005D7036"/>
    <w:rsid w:val="005E45E8"/>
    <w:rsid w:val="005E79E1"/>
    <w:rsid w:val="005F53BA"/>
    <w:rsid w:val="005F5D59"/>
    <w:rsid w:val="00601733"/>
    <w:rsid w:val="0065334D"/>
    <w:rsid w:val="00665939"/>
    <w:rsid w:val="006744CD"/>
    <w:rsid w:val="00696B38"/>
    <w:rsid w:val="006C057D"/>
    <w:rsid w:val="006C5041"/>
    <w:rsid w:val="006D4342"/>
    <w:rsid w:val="006E78E6"/>
    <w:rsid w:val="006F3BF2"/>
    <w:rsid w:val="00710749"/>
    <w:rsid w:val="00746792"/>
    <w:rsid w:val="007514C2"/>
    <w:rsid w:val="00785F59"/>
    <w:rsid w:val="007A4988"/>
    <w:rsid w:val="007A5476"/>
    <w:rsid w:val="007B2C6C"/>
    <w:rsid w:val="007D57BE"/>
    <w:rsid w:val="007E40F5"/>
    <w:rsid w:val="007F5C03"/>
    <w:rsid w:val="00803316"/>
    <w:rsid w:val="00822022"/>
    <w:rsid w:val="00822932"/>
    <w:rsid w:val="00830348"/>
    <w:rsid w:val="00840028"/>
    <w:rsid w:val="00843CBC"/>
    <w:rsid w:val="00846D58"/>
    <w:rsid w:val="00852DFF"/>
    <w:rsid w:val="00884A05"/>
    <w:rsid w:val="00894C25"/>
    <w:rsid w:val="008A1A24"/>
    <w:rsid w:val="008A7A52"/>
    <w:rsid w:val="008D7A98"/>
    <w:rsid w:val="008F1324"/>
    <w:rsid w:val="008F7213"/>
    <w:rsid w:val="00903D2B"/>
    <w:rsid w:val="00907293"/>
    <w:rsid w:val="009111DF"/>
    <w:rsid w:val="009153AD"/>
    <w:rsid w:val="00917BFD"/>
    <w:rsid w:val="0093239C"/>
    <w:rsid w:val="00935461"/>
    <w:rsid w:val="0093758B"/>
    <w:rsid w:val="00942A54"/>
    <w:rsid w:val="00947C6E"/>
    <w:rsid w:val="0096636C"/>
    <w:rsid w:val="00985F7C"/>
    <w:rsid w:val="009B1874"/>
    <w:rsid w:val="009B443A"/>
    <w:rsid w:val="009B6062"/>
    <w:rsid w:val="009B6845"/>
    <w:rsid w:val="009E70B3"/>
    <w:rsid w:val="00A01CB8"/>
    <w:rsid w:val="00A10DAA"/>
    <w:rsid w:val="00A11EC7"/>
    <w:rsid w:val="00A154AB"/>
    <w:rsid w:val="00A249FA"/>
    <w:rsid w:val="00A41D3C"/>
    <w:rsid w:val="00A422BF"/>
    <w:rsid w:val="00A94FB5"/>
    <w:rsid w:val="00AA26EA"/>
    <w:rsid w:val="00AC0C64"/>
    <w:rsid w:val="00AC5569"/>
    <w:rsid w:val="00AD735E"/>
    <w:rsid w:val="00AE33B8"/>
    <w:rsid w:val="00B44C8B"/>
    <w:rsid w:val="00B734B3"/>
    <w:rsid w:val="00B9313C"/>
    <w:rsid w:val="00B9341E"/>
    <w:rsid w:val="00B94A1F"/>
    <w:rsid w:val="00BB222D"/>
    <w:rsid w:val="00BD4D76"/>
    <w:rsid w:val="00BD59DD"/>
    <w:rsid w:val="00BE5596"/>
    <w:rsid w:val="00C04E01"/>
    <w:rsid w:val="00C055B7"/>
    <w:rsid w:val="00C243A6"/>
    <w:rsid w:val="00C31742"/>
    <w:rsid w:val="00C34ECB"/>
    <w:rsid w:val="00C34FCA"/>
    <w:rsid w:val="00C3760F"/>
    <w:rsid w:val="00C62257"/>
    <w:rsid w:val="00C642CD"/>
    <w:rsid w:val="00C80518"/>
    <w:rsid w:val="00C83BAF"/>
    <w:rsid w:val="00C8788B"/>
    <w:rsid w:val="00C90E60"/>
    <w:rsid w:val="00CA6DEC"/>
    <w:rsid w:val="00CB1FA0"/>
    <w:rsid w:val="00CB5E86"/>
    <w:rsid w:val="00CC0AD5"/>
    <w:rsid w:val="00CD17F6"/>
    <w:rsid w:val="00CD79B1"/>
    <w:rsid w:val="00CF3D82"/>
    <w:rsid w:val="00CF5967"/>
    <w:rsid w:val="00CF73CB"/>
    <w:rsid w:val="00D0304F"/>
    <w:rsid w:val="00D07CA3"/>
    <w:rsid w:val="00D12186"/>
    <w:rsid w:val="00D25ACD"/>
    <w:rsid w:val="00D30C2F"/>
    <w:rsid w:val="00D37C10"/>
    <w:rsid w:val="00D40FD6"/>
    <w:rsid w:val="00D505F5"/>
    <w:rsid w:val="00D73511"/>
    <w:rsid w:val="00D77D75"/>
    <w:rsid w:val="00D829B4"/>
    <w:rsid w:val="00DA347F"/>
    <w:rsid w:val="00DB6E28"/>
    <w:rsid w:val="00DC2413"/>
    <w:rsid w:val="00DD0B07"/>
    <w:rsid w:val="00DF2DC0"/>
    <w:rsid w:val="00E20055"/>
    <w:rsid w:val="00E26A2F"/>
    <w:rsid w:val="00E46B1C"/>
    <w:rsid w:val="00E60E45"/>
    <w:rsid w:val="00E6321F"/>
    <w:rsid w:val="00E63F6D"/>
    <w:rsid w:val="00E647FE"/>
    <w:rsid w:val="00E73E33"/>
    <w:rsid w:val="00E821AC"/>
    <w:rsid w:val="00E97B25"/>
    <w:rsid w:val="00EA1041"/>
    <w:rsid w:val="00EA6245"/>
    <w:rsid w:val="00EB244D"/>
    <w:rsid w:val="00EC1596"/>
    <w:rsid w:val="00ED668A"/>
    <w:rsid w:val="00EE2107"/>
    <w:rsid w:val="00EF1CA6"/>
    <w:rsid w:val="00F03383"/>
    <w:rsid w:val="00F114B1"/>
    <w:rsid w:val="00F174EF"/>
    <w:rsid w:val="00F21999"/>
    <w:rsid w:val="00F51D42"/>
    <w:rsid w:val="00F63512"/>
    <w:rsid w:val="00F91D20"/>
    <w:rsid w:val="00F9561D"/>
    <w:rsid w:val="00FA2AA2"/>
    <w:rsid w:val="00FA4A26"/>
    <w:rsid w:val="00FB417A"/>
    <w:rsid w:val="00FB7BFE"/>
    <w:rsid w:val="00FF19BF"/>
    <w:rsid w:val="799D6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200" w:firstLineChars="200"/>
      <w:jc w:val="both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numPr>
        <w:ilvl w:val="0"/>
        <w:numId w:val="1"/>
      </w:numPr>
      <w:spacing w:before="120" w:after="120"/>
      <w:ind w:left="0" w:firstLine="0" w:firstLineChars="0"/>
      <w:jc w:val="center"/>
      <w:outlineLvl w:val="0"/>
    </w:pPr>
    <w:rPr>
      <w:rFonts w:ascii="黑体" w:hAnsi="黑体" w:eastAsia="黑体"/>
      <w:bCs/>
      <w:kern w:val="44"/>
      <w:sz w:val="28"/>
      <w:szCs w:val="44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numPr>
        <w:ilvl w:val="1"/>
        <w:numId w:val="1"/>
      </w:numPr>
      <w:spacing w:after="50" w:afterLines="50"/>
      <w:ind w:left="0" w:firstLine="0" w:firstLineChars="0"/>
      <w:jc w:val="left"/>
      <w:outlineLvl w:val="1"/>
    </w:pPr>
    <w:rPr>
      <w:rFonts w:ascii="黑体" w:hAnsi="黑体" w:eastAsia="黑体" w:cstheme="majorBidi"/>
      <w:bCs/>
      <w:szCs w:val="32"/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numPr>
        <w:ilvl w:val="2"/>
        <w:numId w:val="1"/>
      </w:numPr>
      <w:ind w:left="0" w:firstLine="0" w:firstLineChars="0"/>
      <w:jc w:val="left"/>
      <w:outlineLvl w:val="2"/>
    </w:pPr>
    <w:rPr>
      <w:rFonts w:ascii="黑体" w:hAnsi="黑体" w:eastAsia="黑体"/>
      <w:bCs/>
      <w:szCs w:val="32"/>
    </w:rPr>
  </w:style>
  <w:style w:type="character" w:default="1" w:styleId="15">
    <w:name w:val="Default Paragraph Font"/>
    <w:semiHidden/>
    <w:unhideWhenUsed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Bullet"/>
    <w:basedOn w:val="1"/>
    <w:semiHidden/>
    <w:unhideWhenUsed/>
    <w:uiPriority w:val="99"/>
    <w:pPr>
      <w:numPr>
        <w:ilvl w:val="0"/>
        <w:numId w:val="2"/>
      </w:numPr>
    </w:pPr>
  </w:style>
  <w:style w:type="paragraph" w:styleId="6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7">
    <w:name w:val="Balloon Text"/>
    <w:basedOn w:val="1"/>
    <w:link w:val="26"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autoRedefine/>
    <w:unhideWhenUsed/>
    <w:qFormat/>
    <w:uiPriority w:val="39"/>
  </w:style>
  <w:style w:type="paragraph" w:styleId="11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2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cs="宋体"/>
      <w:kern w:val="0"/>
      <w:szCs w:val="24"/>
    </w:rPr>
  </w:style>
  <w:style w:type="table" w:styleId="14">
    <w:name w:val="Table Grid"/>
    <w:basedOn w:val="1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Hyperlink"/>
    <w:basedOn w:val="1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7">
    <w:name w:val="页眉 字符"/>
    <w:basedOn w:val="15"/>
    <w:link w:val="9"/>
    <w:qFormat/>
    <w:uiPriority w:val="99"/>
    <w:rPr>
      <w:sz w:val="18"/>
      <w:szCs w:val="18"/>
    </w:rPr>
  </w:style>
  <w:style w:type="character" w:customStyle="1" w:styleId="18">
    <w:name w:val="页脚 字符"/>
    <w:basedOn w:val="15"/>
    <w:link w:val="8"/>
    <w:qFormat/>
    <w:uiPriority w:val="99"/>
    <w:rPr>
      <w:sz w:val="18"/>
      <w:szCs w:val="18"/>
    </w:rPr>
  </w:style>
  <w:style w:type="character" w:customStyle="1" w:styleId="19">
    <w:name w:val="标题 1 字符"/>
    <w:basedOn w:val="15"/>
    <w:link w:val="2"/>
    <w:qFormat/>
    <w:uiPriority w:val="9"/>
    <w:rPr>
      <w:rFonts w:ascii="黑体" w:hAnsi="黑体" w:eastAsia="黑体"/>
      <w:bCs/>
      <w:kern w:val="44"/>
      <w:sz w:val="28"/>
      <w:szCs w:val="44"/>
    </w:rPr>
  </w:style>
  <w:style w:type="character" w:customStyle="1" w:styleId="20">
    <w:name w:val="标题 2 字符"/>
    <w:basedOn w:val="15"/>
    <w:link w:val="3"/>
    <w:qFormat/>
    <w:uiPriority w:val="9"/>
    <w:rPr>
      <w:rFonts w:ascii="黑体" w:hAnsi="黑体" w:eastAsia="黑体" w:cstheme="majorBidi"/>
      <w:bCs/>
      <w:sz w:val="24"/>
      <w:szCs w:val="32"/>
    </w:rPr>
  </w:style>
  <w:style w:type="character" w:customStyle="1" w:styleId="21">
    <w:name w:val="标题 3 字符"/>
    <w:basedOn w:val="15"/>
    <w:link w:val="4"/>
    <w:qFormat/>
    <w:uiPriority w:val="9"/>
    <w:rPr>
      <w:rFonts w:ascii="黑体" w:hAnsi="黑体" w:eastAsia="黑体"/>
      <w:bCs/>
      <w:sz w:val="24"/>
      <w:szCs w:val="32"/>
    </w:rPr>
  </w:style>
  <w:style w:type="paragraph" w:styleId="22">
    <w:name w:val="List Paragraph"/>
    <w:basedOn w:val="1"/>
    <w:qFormat/>
    <w:uiPriority w:val="34"/>
    <w:pPr>
      <w:ind w:firstLine="420"/>
    </w:pPr>
  </w:style>
  <w:style w:type="paragraph" w:customStyle="1" w:styleId="23">
    <w:name w:val="图表标题"/>
    <w:basedOn w:val="1"/>
    <w:next w:val="1"/>
    <w:qFormat/>
    <w:uiPriority w:val="0"/>
    <w:pPr>
      <w:ind w:firstLine="0" w:firstLineChars="0"/>
      <w:jc w:val="center"/>
    </w:pPr>
    <w:rPr>
      <w:b/>
      <w:sz w:val="21"/>
      <w:szCs w:val="21"/>
    </w:rPr>
  </w:style>
  <w:style w:type="character" w:customStyle="1" w:styleId="24">
    <w:name w:val="未处理的提及1"/>
    <w:basedOn w:val="15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5">
    <w:name w:val="Bibliography"/>
    <w:basedOn w:val="1"/>
    <w:next w:val="1"/>
    <w:unhideWhenUsed/>
    <w:uiPriority w:val="37"/>
  </w:style>
  <w:style w:type="character" w:customStyle="1" w:styleId="26">
    <w:name w:val="批注框文本 字符"/>
    <w:basedOn w:val="15"/>
    <w:link w:val="7"/>
    <w:semiHidden/>
    <w:qFormat/>
    <w:uiPriority w:val="99"/>
    <w:rPr>
      <w:rFonts w:ascii="Times New Roman" w:hAnsi="Times New Roman" w:eastAsia="宋体"/>
      <w:sz w:val="18"/>
      <w:szCs w:val="18"/>
    </w:rPr>
  </w:style>
  <w:style w:type="table" w:customStyle="1" w:styleId="27">
    <w:name w:val="三线表"/>
    <w:basedOn w:val="13"/>
    <w:qFormat/>
    <w:uiPriority w:val="99"/>
    <w:pPr>
      <w:jc w:val="center"/>
    </w:pPr>
    <w:tblPr>
      <w:jc w:val="center"/>
      <w:tblBorders>
        <w:bottom w:val="single" w:color="auto" w:sz="12" w:space="0"/>
      </w:tblBorders>
    </w:tblPr>
    <w:trPr>
      <w:jc w:val="center"/>
    </w:trPr>
    <w:tcPr>
      <w:vAlign w:val="center"/>
    </w:tcPr>
    <w:tblStylePr w:type="firstRow">
      <w:tcPr>
        <w:tcBorders>
          <w:top w:val="single" w:color="auto" w:sz="12" w:space="0"/>
          <w:left w:val="nil"/>
          <w:bottom w:val="single" w:color="auto" w:sz="6" w:space="0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28">
    <w:name w:val="TOC Heading"/>
    <w:basedOn w:val="2"/>
    <w:next w:val="1"/>
    <w:unhideWhenUsed/>
    <w:qFormat/>
    <w:uiPriority w:val="39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/>
      <w:bCs w:val="0"/>
      <w:color w:val="2F5597" w:themeColor="accent1" w:themeShade="BF"/>
      <w:kern w:val="0"/>
      <w:sz w:val="32"/>
      <w:szCs w:val="32"/>
    </w:rPr>
  </w:style>
  <w:style w:type="character" w:styleId="29">
    <w:name w:val="Placeholder Text"/>
    <w:basedOn w:val="15"/>
    <w:semiHidden/>
    <w:qFormat/>
    <w:uiPriority w:val="99"/>
    <w:rPr>
      <w:color w:val="808080"/>
    </w:rPr>
  </w:style>
  <w:style w:type="character" w:customStyle="1" w:styleId="30">
    <w:name w:val="AMEquationSection"/>
    <w:basedOn w:val="15"/>
    <w:qFormat/>
    <w:uiPriority w:val="0"/>
    <w:rPr>
      <w:rFonts w:ascii="黑体" w:hAnsi="黑体" w:eastAsia="黑体"/>
      <w:color w:val="FF0000"/>
      <w:sz w:val="32"/>
      <w:szCs w:val="32"/>
    </w:rPr>
  </w:style>
  <w:style w:type="paragraph" w:customStyle="1" w:styleId="31">
    <w:name w:val="AMDisplayEquation"/>
    <w:basedOn w:val="2"/>
    <w:next w:val="1"/>
    <w:link w:val="32"/>
    <w:qFormat/>
    <w:uiPriority w:val="0"/>
    <w:pPr>
      <w:tabs>
        <w:tab w:val="center" w:pos="4420"/>
        <w:tab w:val="right" w:pos="8840"/>
      </w:tabs>
    </w:pPr>
    <w:rPr>
      <w:color w:val="FF0000"/>
    </w:rPr>
  </w:style>
  <w:style w:type="character" w:customStyle="1" w:styleId="32">
    <w:name w:val="AMDisplayEquation 字符"/>
    <w:basedOn w:val="15"/>
    <w:link w:val="31"/>
    <w:qFormat/>
    <w:uiPriority w:val="0"/>
    <w:rPr>
      <w:rFonts w:ascii="黑体" w:hAnsi="黑体" w:eastAsia="黑体"/>
      <w:bCs/>
      <w:color w:val="FF0000"/>
      <w:kern w:val="44"/>
      <w:sz w:val="28"/>
      <w:szCs w:val="44"/>
    </w:rPr>
  </w:style>
  <w:style w:type="paragraph" w:customStyle="1" w:styleId="33">
    <w:name w:val="EndNote Bibliography Title"/>
    <w:basedOn w:val="1"/>
    <w:link w:val="34"/>
    <w:qFormat/>
    <w:uiPriority w:val="0"/>
    <w:pPr>
      <w:jc w:val="center"/>
    </w:pPr>
    <w:rPr>
      <w:rFonts w:cs="Times New Roman"/>
    </w:rPr>
  </w:style>
  <w:style w:type="character" w:customStyle="1" w:styleId="34">
    <w:name w:val="EndNote Bibliography Title 字符"/>
    <w:basedOn w:val="15"/>
    <w:link w:val="33"/>
    <w:qFormat/>
    <w:uiPriority w:val="0"/>
    <w:rPr>
      <w:rFonts w:ascii="Times New Roman" w:hAnsi="Times New Roman" w:eastAsia="宋体" w:cs="Times New Roman"/>
      <w:sz w:val="24"/>
    </w:rPr>
  </w:style>
  <w:style w:type="paragraph" w:customStyle="1" w:styleId="35">
    <w:name w:val="EndNote Bibliography"/>
    <w:basedOn w:val="1"/>
    <w:link w:val="36"/>
    <w:qFormat/>
    <w:uiPriority w:val="0"/>
    <w:rPr>
      <w:rFonts w:cs="Times New Roman"/>
    </w:rPr>
  </w:style>
  <w:style w:type="character" w:customStyle="1" w:styleId="36">
    <w:name w:val="EndNote Bibliography 字符"/>
    <w:basedOn w:val="15"/>
    <w:link w:val="35"/>
    <w:qFormat/>
    <w:uiPriority w:val="0"/>
    <w:rPr>
      <w:rFonts w:ascii="Times New Roman" w:hAnsi="Times New Roman" w:eastAsia="宋体" w:cs="Times New Roman"/>
      <w:sz w:val="24"/>
    </w:rPr>
  </w:style>
  <w:style w:type="character" w:customStyle="1" w:styleId="37">
    <w:name w:val="Unresolved Mention"/>
    <w:basedOn w:val="1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8">
    <w:name w:val="tit"/>
    <w:basedOn w:val="1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2.png"/><Relationship Id="rId13" Type="http://schemas.openxmlformats.org/officeDocument/2006/relationships/image" Target="media/image1.emf"/><Relationship Id="rId12" Type="http://schemas.openxmlformats.org/officeDocument/2006/relationships/oleObject" Target="embeddings/oleObject1.bin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SIST02.XSL" StyleName="SIST02" Version="2003">
  <b:Source>
    <b:Tag>管丽萍09</b:Tag>
    <b:SourceType>ArticleInAPeriodical</b:SourceType>
    <b:Guid>{DDA54E9E-F012-42F0-815E-E48C904F754A}</b:Guid>
    <b:Title>交通事件管理系统研究现状综述</b:Title>
    <b:PeriodicalTitle>中外公路</b:PeriodicalTitle>
    <b:Year>2009</b:Year>
    <b:Pages>255-261</b:Pages>
    <b:Author>
      <b:Author>
        <b:Corporate>管丽萍, &amp; 尹湘源</b:Corporate>
      </b:Author>
    </b:Author>
    <b:LCID>zh-CN</b:LCID>
    <b:RefOrder>1</b:RefOrder>
  </b:Source>
  <b:Source>
    <b:Tag>朱茵，07</b:Tag>
    <b:SourceType>Book</b:SourceType>
    <b:Guid>{A513A0AC-5A39-4915-A407-E376A36553A2}</b:Guid>
    <b:Title>周彤梅.智能交通系统导论</b:Title>
    <b:Year>2007</b:Year>
    <b:Author>
      <b:Author>
        <b:Corporate>朱茵，王军利</b:Corporate>
      </b:Author>
    </b:Author>
    <b:City>北京</b:City>
    <b:Publisher>中国人民公安大学出版社</b:Publisher>
    <b:RefOrder>2</b:RefOrder>
  </b:Source>
  <b:Source>
    <b:Tag>叶奇明08</b:Tag>
    <b:SourceType>ArticleInAPeriodical</b:SourceType>
    <b:Guid>{09230154-A347-4F1E-9162-4C354F86325E}</b:Guid>
    <b:Title>Floyd算法的演示模型研究</b:Title>
    <b:Year>2008</b:Year>
    <b:Pages>47-50</b:Pages>
    <b:Author>
      <b:Author>
        <b:Corporate>叶奇明，石世光</b:Corporate>
      </b:Author>
    </b:Author>
    <b:PeriodicalTitle>海南大学学报自然科学版</b:PeriodicalTitle>
    <b:RefOrder>3</b:RefOrder>
  </b:Source>
</b:Sources>
</file>

<file path=customXml/itemProps1.xml><?xml version="1.0" encoding="utf-8"?>
<ds:datastoreItem xmlns:ds="http://schemas.openxmlformats.org/officeDocument/2006/customXml" ds:itemID="{B2F9EA66-7371-4671-8EA6-FCF3E2EADF0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3057</Words>
  <Characters>3222</Characters>
  <Lines>26</Lines>
  <Paragraphs>7</Paragraphs>
  <TotalTime>0</TotalTime>
  <ScaleCrop>false</ScaleCrop>
  <LinksUpToDate>false</LinksUpToDate>
  <CharactersWithSpaces>3249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2020-11-19T05:53:00Z</dcterms:created>
  <dc:creator>sxjm qf</dc:creator>
  <cp:lastModifiedBy>You are tremblina</cp:lastModifiedBy>
  <cp:lastPrinted>2020-11-30T03:40:00Z</cp:lastPrinted>
  <dcterms:modified xsi:type="dcterms:W3CDTF">2026-09-03T08:51:08Z</dcterms:modified>
  <cp:revision>180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  <property fmtid="{D5CDD505-2E9C-101B-9397-08002B2CF9AE}" pid="3" name="MTEquationNumber2">
    <vt:lpwstr>(#S1.#E1)</vt:lpwstr>
  </property>
  <property fmtid="{D5CDD505-2E9C-101B-9397-08002B2CF9AE}" pid="4" name="AMEquationSection">
    <vt:lpwstr>1</vt:lpwstr>
  </property>
  <property fmtid="{D5CDD505-2E9C-101B-9397-08002B2CF9AE}" pid="5" name="AMEquationNumber2">
    <vt:lpwstr>(#E1)</vt:lpwstr>
  </property>
  <property fmtid="{D5CDD505-2E9C-101B-9397-08002B2CF9AE}" pid="6" name="AMDeferFieldUpdate">
    <vt:lpwstr>1</vt:lpwstr>
  </property>
  <property fmtid="{D5CDD505-2E9C-101B-9397-08002B2CF9AE}" pid="7" name="KSOTemplateDocerSaveRecord">
    <vt:lpwstr>eyJoZGlkIjoiYzFiZjk0NGM4NjI1MTc3YTZjYWFmY2JiNjhmNGY4YmYiLCJ1c2VySWQiOiIyODE0MDM1NDUifQ==</vt:lpwstr>
  </property>
  <property fmtid="{D5CDD505-2E9C-101B-9397-08002B2CF9AE}" pid="8" name="KSOProductBuildVer">
    <vt:lpwstr>2052-12.1.0.28043</vt:lpwstr>
  </property>
  <property fmtid="{D5CDD505-2E9C-101B-9397-08002B2CF9AE}" pid="9" name="ICV">
    <vt:lpwstr>14175533224B452C88EF48DBCD8EB0B4_12</vt:lpwstr>
  </property>
</Properties>
</file>