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Ata de Reunião - 31/01/22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até às 22h15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Eugenio Sales, Gabriel Mendanha, Gustavo Nogueira, Luan Otoniel, Lucas Hideo, Wanderson Silva, Wellington Diego.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Definir escopo do projeto;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Definir backlog do produto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Definir a gerência e a alocação dos recursos humanos em suas respectivas área</w:t>
        <w:tab/>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Definir papel de cada engenharia no projeto e seus objetivos;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Refinar o problema que o produto pretende solucionar, levantando seus devidos requisitos;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Levantar os documentos necessários para entrega e definir os recursos necessários para a entrega dos mesmos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TAP</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EAP</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Cronograma de Atividades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Custos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Recursos humanos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Riscos</w:t>
      </w:r>
    </w:p>
    <w:p w:rsidR="00000000" w:rsidDel="00000000" w:rsidP="00000000" w:rsidRDefault="00000000" w:rsidRPr="00000000" w14:paraId="00000014">
      <w:pPr>
        <w:rPr/>
      </w:pPr>
      <w:r w:rsidDel="00000000" w:rsidR="00000000" w:rsidRPr="00000000">
        <w:rPr>
          <w:rtl w:val="0"/>
        </w:rPr>
        <w:tab/>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Características definidas para o projeto:</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Responsabilidades por Engenharia: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Eletrônica:</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Definição da Instrumentação do projeto</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Integração com os outros módulos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Integração com os demais subsistemas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Aeroespacial e Automotiva:</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Definição de dimensões, peso e material;</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Suportar componentes eletrônicos;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Desenhos das peças, simulações;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Energia:</w:t>
      </w: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Fonte de alimentação do sistema;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PONTOS DEFINIDOS NA REUNIÃO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rtl w:val="0"/>
        </w:rPr>
        <w:t xml:space="preserve">Foi acordado que Ernando Braga será o Coordenador Geral do Projeto. Adriana Aguiar será a diretora de qualidade. Julie Delchova será a diretora técnica que Eletrônica e Energia. Matheus Avila será o diretor técnico de Estrutura. E Gustavo Nogueira será o coordenador técnico de Software.</w:t>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Foi discutido algumas características importantes (descritas no documento ESCOPO) do produto.</w:t>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Foi definido que terá uma reunião geral fixa semanalmente nas segundas no período da noite. E será discutido o melhor horário via enquete no teams.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 metodologia escolhida para ser seguida é a metodologia ágil.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