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t>自动化专业产业发展与人才培养研究</w:t>
      </w:r>
    </w:p>
    <w:p>
      <w:pPr>
        <w:spacing w:after="320"/>
        <w:ind w:firstLine="0"/>
        <w:jc w:val="center"/>
      </w:pPr>
      <w:r>
        <w:rPr>
          <w:sz w:val="24"/>
        </w:rPr>
        <w:t>基于典型企业与秦皇岛产业的综合调研</w:t>
      </w:r>
    </w:p>
    <w:p>
      <w:pPr>
        <w:pStyle w:val="Heading1"/>
      </w:pPr>
      <w:r>
        <w:t>摘要</w:t>
      </w:r>
    </w:p>
    <w:p>
      <w:pPr>
        <w:jc w:val="both"/>
      </w:pPr>
      <w:r>
        <w:t>自动化专业连接控制理论、机电装备与生产组织，其人才培养需要与产业的实际任务相衔接。本文采用文献资料分析和多案例比较方法，围绕国内工控与机器人企业、智能硬件企业以及秦皇岛制造业案例，考察自动化技术应用、岗位分工、能力要求和职业发展之间的关系。研究发现，设备控制、整线协同和生产数据管理构成自动化应用的连续层次；企业需求既包括现场实施与运维，也包括装备研发、测试验证和工业软件开发。不同岗位共享控制、电气与编程基础，但对工艺理解、实时软件和系统集成能力的侧重不同。秦皇岛案例说明，区域产业结构决定自动化技术的具体落地场景，制造业规模不能直接等同于自动化岗位数量。针对工程实践不足、非标项目交付压力与技术更新等问题，本文提出以完整项目为载体、以可验证成果为评价依据、以岗位方向分层培养的建议，为自动化专业学习和就业选择提供参考。</w:t>
      </w:r>
    </w:p>
    <w:p>
      <w:pPr>
        <w:ind w:firstLine="0"/>
        <w:jc w:val="both"/>
      </w:pPr>
      <w:r>
        <w:t>关键词：自动化专业；智能制造；秦皇岛；岗位能力；工程实践</w:t>
      </w:r>
    </w:p>
    <w:p>
      <w:pPr>
        <w:pStyle w:val="Heading1"/>
      </w:pPr>
      <w:r>
        <w:t>1 引言</w:t>
      </w:r>
    </w:p>
    <w:p>
      <w:pPr>
        <w:jc w:val="both"/>
      </w:pPr>
      <w:r>
        <w:t>自动化的应用对象既包括电机、机械臂和生产设备，也包括由多工序、多设备组成的制造系统。随着企业推进数字化改造，工程人员需要将控制算法、电气设计、工业通信与生产工艺结合起来，使设备在质量、节拍和成本约束下稳定运行。因此，评价自动化专业的发展，不能只关注某一种编程工具或某一家企业的招聘条件，还应考察技术如何进入生产过程，以及岗位如何围绕这些任务分工。</w:t>
      </w:r>
    </w:p>
    <w:p>
      <w:pPr>
        <w:jc w:val="both"/>
      </w:pPr>
      <w:r>
        <w:t>三类调研资料从不同层面呈现了这一问题。《自动化企业资料》侧重汇川技术、埃斯顿和新松等企业的工程岗位与机器人应用；《调研报告（秦皇岛市）》聚焦区域产业、制造企业和本地就业；《工科之王-自动化》围绕大疆、拓竹、西门子、华为等企业整理专业知识与项目能力要求</w:t>
      </w:r>
      <w:r>
        <w:rPr>
          <w:sz w:val="18"/>
          <w:vertAlign w:val="superscript"/>
        </w:rPr>
        <w:t>[1-3]</w:t>
      </w:r>
      <w:r>
        <w:t>。 将三者相互对照，有助于把企业需求、区域场景与学生能力培养联系起来。</w:t>
      </w:r>
    </w:p>
    <w:p>
      <w:pPr>
        <w:jc w:val="both"/>
      </w:pPr>
      <w:r>
        <w:t>本文重点回答三个问题：自动化产业的主要应用场景有哪些，它们形成何种技术需求；不同企业与岗位对毕业生能力的要求有何共性和差异；高校课程、劳动实践和个人职业准备如何更有效地回应这些要求。本文采用资料型调研的论文形式，不将案例材料视为全国就业市场的抽样统计。</w:t>
      </w:r>
    </w:p>
    <w:p>
      <w:pPr>
        <w:pStyle w:val="Heading1"/>
      </w:pPr>
      <w:r>
        <w:t>2 研究资料与分析方法</w:t>
      </w:r>
    </w:p>
    <w:p>
      <w:pPr>
        <w:pStyle w:val="Heading2"/>
      </w:pPr>
      <w:r>
        <w:t>2 1 资料来源与研究范围</w:t>
      </w:r>
    </w:p>
    <w:p>
      <w:pPr>
        <w:jc w:val="both"/>
      </w:pPr>
      <w:r>
        <w:t>研究资料分为企业调研、区域调研和岗位能力梳理三类。企业案例覆盖工控产品、工业机器人、智能硬件及制造装备；区域案例以秦皇岛汽车零部件、玻璃、专用装备、电子与医疗器械等行业为观察对象。三份资料分别用于识别技术应用、岗位任务和人才要求，并辅以公开产业报道、企业官方信息及政策文件核对关键背景</w:t>
      </w:r>
      <w:r>
        <w:rPr>
          <w:sz w:val="18"/>
          <w:vertAlign w:val="superscript"/>
        </w:rPr>
        <w:t>[1-7]</w:t>
      </w:r>
      <w:r>
        <w:t>。</w:t>
      </w:r>
    </w:p>
    <w:p>
      <w:pPr>
        <w:jc w:val="both"/>
      </w:pPr>
      <w:r>
        <w:t>在证据使用上，本文区分产业事实、案例归纳和培养建议。产业规模等数据保留其统计年份与行业口径；招聘描述用于归纳资料所涉及岗位的能力特征；学习路线与项目评价方法则属于本文在案例比较基础上提出的建议。企业校招规则、学历偏好与英语要求随年度和岗位变化，不能由个别描述推导出统一录用门槛。</w:t>
      </w:r>
    </w:p>
    <w:p>
      <w:pPr>
        <w:pStyle w:val="Heading2"/>
      </w:pPr>
      <w:r>
        <w:t>2 2 比较框架与研究边界</w:t>
      </w:r>
    </w:p>
    <w:p>
      <w:pPr>
        <w:jc w:val="both"/>
      </w:pPr>
      <w:r>
        <w:t>本文按照“产业场景—技术任务—岗位分工—能力要求—培养路径”的顺序展开比较。首先提取各行业的控制对象和生产目标，再将电气设计、程序开发、设备调试、测试验证和数据管理等任务归类，最后讨论课程与实践活动的对应关系。该方法着重解释不同案例之间的联系，而非对企业进行排名。</w:t>
      </w:r>
    </w:p>
    <w:p>
      <w:pPr>
        <w:jc w:val="both"/>
      </w:pPr>
      <w:r>
        <w:t>资料型研究能够呈现岗位结构和技术需求，但不具有统计代表性。招聘区间也不等同于实际录用收入，不能据此计算城市平均薪资、研发岗位占比或某学历的就业概率。对缺乏一致时间与样本口径的比较，本文仅保留定性讨论，不作因果推断。</w:t>
      </w:r>
    </w:p>
    <w:p>
      <w:pPr>
        <w:pStyle w:val="Heading1"/>
      </w:pPr>
      <w:r>
        <w:t>3 自动化产业结构与秦皇岛应用场景</w:t>
      </w:r>
    </w:p>
    <w:p>
      <w:pPr>
        <w:pStyle w:val="Heading2"/>
      </w:pPr>
      <w:r>
        <w:t>3 1 从工控产品到制造系统</w:t>
      </w:r>
    </w:p>
    <w:p>
      <w:pPr>
        <w:jc w:val="both"/>
      </w:pPr>
      <w:r>
        <w:t>从产业链看，自动化相关企业大致分布于核心产品、装备与系统集成、终端制造三个层面。核心产品包括控制器、驱动器、传感器和工业软件；装备与集成企业将这些产品组成专机、机器人工作站或完整产线；终端制造企业则围绕产品质量与产能组织设备运行。这些层面相互依赖，但日常工作对象和工程责任并不相同。</w:t>
      </w:r>
    </w:p>
    <w:p>
      <w:pPr>
        <w:jc w:val="both"/>
      </w:pPr>
      <w:r>
        <w:t>调研资料中，汇川技术案例突出PLC、伺服与运动控制产品及应用，埃斯顿和新松案例突出机器人与成套系统，西门子相关岗位材料强调控制平台和工业通信。大疆、拓竹和华为的岗位梳理进一步延伸到嵌入式软件、机电产品、测试与能源装备</w:t>
      </w:r>
      <w:r>
        <w:rPr>
          <w:sz w:val="18"/>
          <w:vertAlign w:val="superscript"/>
        </w:rPr>
        <w:t>[1,3]</w:t>
      </w:r>
      <w:r>
        <w:t>。 这些案例表明，自动化专业的就业边界既包含制造现场，也包含产品与软件开发。</w:t>
      </w:r>
    </w:p>
    <w:p>
      <w:pPr>
        <w:pStyle w:val="Caption"/>
        <w:keepNext/>
        <w:ind w:firstLine="0"/>
        <w:jc w:val="center"/>
      </w:pPr>
      <w:r>
        <w:t>表1 典型企业案例与专业能力侧重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701"/>
        <w:gridCol w:w="3231"/>
        <w:gridCol w:w="4025"/>
      </w:tblGrid>
      <w:tr>
        <w:trPr>
          <w:cantSplit/>
          <w:tblHeader/>
        </w:trPr>
        <w:tc>
          <w:tcPr>
            <w:tcW w:type="dxa" w:w="1701"/>
            <w:vAlign w:val="center"/>
            <w:shd w:fill="EAEAEA"/>
          </w:tcPr>
          <w:p>
            <w:pPr>
              <w:spacing w:line="276" w:lineRule="auto" w:after="20" w:before="20"/>
              <w:ind w:firstLine="0"/>
              <w:jc w:val="center"/>
            </w:pPr>
            <w:r>
              <w:rPr>
                <w:b/>
                <w:sz w:val="20"/>
              </w:rPr>
              <w:t>案例对象</w:t>
            </w:r>
          </w:p>
        </w:tc>
        <w:tc>
          <w:tcPr>
            <w:tcW w:type="dxa" w:w="3231"/>
            <w:vAlign w:val="center"/>
            <w:shd w:fill="EAEAEA"/>
          </w:tcPr>
          <w:p>
            <w:pPr>
              <w:spacing w:line="276" w:lineRule="auto" w:after="20" w:before="20"/>
              <w:ind w:firstLine="0"/>
              <w:jc w:val="center"/>
            </w:pPr>
            <w:r>
              <w:rPr>
                <w:b/>
                <w:sz w:val="20"/>
              </w:rPr>
              <w:t>资料反映的技术场景</w:t>
            </w:r>
          </w:p>
        </w:tc>
        <w:tc>
          <w:tcPr>
            <w:tcW w:type="dxa" w:w="4025"/>
            <w:vAlign w:val="center"/>
            <w:shd w:fill="EAEAEA"/>
          </w:tcPr>
          <w:p>
            <w:pPr>
              <w:spacing w:line="276" w:lineRule="auto" w:after="20" w:before="20"/>
              <w:ind w:firstLine="0"/>
              <w:jc w:val="center"/>
            </w:pPr>
            <w:r>
              <w:rPr>
                <w:b/>
                <w:sz w:val="20"/>
              </w:rPr>
              <w:t>相应能力侧重</w:t>
            </w:r>
          </w:p>
        </w:tc>
      </w:tr>
      <w:tr>
        <w:trPr>
          <w:cantSplit/>
        </w:trPr>
        <w:tc>
          <w:tcPr>
            <w:tcW w:type="dxa" w:w="1701"/>
            <w:vAlign w:val="center"/>
          </w:tcPr>
          <w:p>
            <w:pPr>
              <w:spacing w:line="276" w:lineRule="auto" w:after="20" w:before="20"/>
              <w:ind w:firstLine="0"/>
              <w:jc w:val="center"/>
            </w:pPr>
            <w:r>
              <w:rPr>
                <w:b w:val="0"/>
                <w:sz w:val="20"/>
              </w:rPr>
              <w:t>汇川技术</w:t>
            </w:r>
          </w:p>
        </w:tc>
        <w:tc>
          <w:tcPr>
            <w:tcW w:type="dxa" w:w="3231"/>
            <w:vAlign w:val="center"/>
          </w:tcPr>
          <w:p>
            <w:pPr>
              <w:spacing w:line="276" w:lineRule="auto" w:after="20" w:before="20"/>
              <w:ind w:firstLine="0"/>
              <w:jc w:val="left"/>
            </w:pPr>
            <w:r>
              <w:rPr>
                <w:b w:val="0"/>
                <w:sz w:val="20"/>
              </w:rPr>
              <w:t>工控产品应用与运动控制</w:t>
            </w:r>
          </w:p>
        </w:tc>
        <w:tc>
          <w:tcPr>
            <w:tcW w:type="dxa" w:w="4025"/>
            <w:vAlign w:val="center"/>
          </w:tcPr>
          <w:p>
            <w:pPr>
              <w:spacing w:line="276" w:lineRule="auto" w:after="20" w:before="20"/>
              <w:ind w:firstLine="0"/>
              <w:jc w:val="left"/>
            </w:pPr>
            <w:r>
              <w:rPr>
                <w:b w:val="0"/>
                <w:sz w:val="20"/>
              </w:rPr>
              <w:t>PLC、伺服调试、工业通信、故障分析</w:t>
            </w:r>
          </w:p>
        </w:tc>
      </w:tr>
      <w:tr>
        <w:trPr>
          <w:cantSplit/>
        </w:trPr>
        <w:tc>
          <w:tcPr>
            <w:tcW w:type="dxa" w:w="1701"/>
            <w:vAlign w:val="center"/>
          </w:tcPr>
          <w:p>
            <w:pPr>
              <w:spacing w:line="276" w:lineRule="auto" w:after="20" w:before="20"/>
              <w:ind w:firstLine="0"/>
              <w:jc w:val="center"/>
            </w:pPr>
            <w:r>
              <w:rPr>
                <w:b w:val="0"/>
                <w:sz w:val="20"/>
              </w:rPr>
              <w:t>埃斯顿与新松</w:t>
            </w:r>
          </w:p>
        </w:tc>
        <w:tc>
          <w:tcPr>
            <w:tcW w:type="dxa" w:w="3231"/>
            <w:vAlign w:val="center"/>
          </w:tcPr>
          <w:p>
            <w:pPr>
              <w:spacing w:line="276" w:lineRule="auto" w:after="20" w:before="20"/>
              <w:ind w:firstLine="0"/>
              <w:jc w:val="left"/>
            </w:pPr>
            <w:r>
              <w:rPr>
                <w:b w:val="0"/>
                <w:sz w:val="20"/>
              </w:rPr>
              <w:t>机器人工作站与成套装备</w:t>
            </w:r>
          </w:p>
        </w:tc>
        <w:tc>
          <w:tcPr>
            <w:tcW w:type="dxa" w:w="4025"/>
            <w:vAlign w:val="center"/>
          </w:tcPr>
          <w:p>
            <w:pPr>
              <w:spacing w:line="276" w:lineRule="auto" w:after="20" w:before="20"/>
              <w:ind w:firstLine="0"/>
              <w:jc w:val="left"/>
            </w:pPr>
            <w:r>
              <w:rPr>
                <w:b w:val="0"/>
                <w:sz w:val="20"/>
              </w:rPr>
              <w:t>机器人编程、运动学、联调与工艺协同</w:t>
            </w:r>
          </w:p>
        </w:tc>
      </w:tr>
      <w:tr>
        <w:trPr>
          <w:cantSplit/>
        </w:trPr>
        <w:tc>
          <w:tcPr>
            <w:tcW w:type="dxa" w:w="1701"/>
            <w:vAlign w:val="center"/>
          </w:tcPr>
          <w:p>
            <w:pPr>
              <w:spacing w:line="276" w:lineRule="auto" w:after="20" w:before="20"/>
              <w:ind w:firstLine="0"/>
              <w:jc w:val="center"/>
            </w:pPr>
            <w:r>
              <w:rPr>
                <w:b w:val="0"/>
                <w:sz w:val="20"/>
              </w:rPr>
              <w:t>西门子相关岗位</w:t>
            </w:r>
          </w:p>
        </w:tc>
        <w:tc>
          <w:tcPr>
            <w:tcW w:type="dxa" w:w="3231"/>
            <w:vAlign w:val="center"/>
          </w:tcPr>
          <w:p>
            <w:pPr>
              <w:spacing w:line="276" w:lineRule="auto" w:after="20" w:before="20"/>
              <w:ind w:firstLine="0"/>
              <w:jc w:val="left"/>
            </w:pPr>
            <w:r>
              <w:rPr>
                <w:b w:val="0"/>
                <w:sz w:val="20"/>
              </w:rPr>
              <w:t>工业控制与数字化系统</w:t>
            </w:r>
          </w:p>
        </w:tc>
        <w:tc>
          <w:tcPr>
            <w:tcW w:type="dxa" w:w="4025"/>
            <w:vAlign w:val="center"/>
          </w:tcPr>
          <w:p>
            <w:pPr>
              <w:spacing w:line="276" w:lineRule="auto" w:after="20" w:before="20"/>
              <w:ind w:firstLine="0"/>
              <w:jc w:val="left"/>
            </w:pPr>
            <w:r>
              <w:rPr>
                <w:b w:val="0"/>
                <w:sz w:val="20"/>
              </w:rPr>
              <w:t>TIA Portal、电气设计、通信与系统集成</w:t>
            </w:r>
          </w:p>
        </w:tc>
      </w:tr>
      <w:tr>
        <w:trPr>
          <w:cantSplit/>
        </w:trPr>
        <w:tc>
          <w:tcPr>
            <w:tcW w:type="dxa" w:w="1701"/>
            <w:vAlign w:val="center"/>
          </w:tcPr>
          <w:p>
            <w:pPr>
              <w:spacing w:line="276" w:lineRule="auto" w:after="20" w:before="20"/>
              <w:ind w:firstLine="0"/>
              <w:jc w:val="center"/>
            </w:pPr>
            <w:r>
              <w:rPr>
                <w:b w:val="0"/>
                <w:sz w:val="20"/>
              </w:rPr>
              <w:t>大疆与拓竹相关岗位</w:t>
            </w:r>
          </w:p>
        </w:tc>
        <w:tc>
          <w:tcPr>
            <w:tcW w:type="dxa" w:w="3231"/>
            <w:vAlign w:val="center"/>
          </w:tcPr>
          <w:p>
            <w:pPr>
              <w:spacing w:line="276" w:lineRule="auto" w:after="20" w:before="20"/>
              <w:ind w:firstLine="0"/>
              <w:jc w:val="left"/>
            </w:pPr>
            <w:r>
              <w:rPr>
                <w:b w:val="0"/>
                <w:sz w:val="20"/>
              </w:rPr>
              <w:t>智能硬件及精密机电产品</w:t>
            </w:r>
          </w:p>
        </w:tc>
        <w:tc>
          <w:tcPr>
            <w:tcW w:type="dxa" w:w="4025"/>
            <w:vAlign w:val="center"/>
          </w:tcPr>
          <w:p>
            <w:pPr>
              <w:spacing w:line="276" w:lineRule="auto" w:after="20" w:before="20"/>
              <w:ind w:firstLine="0"/>
              <w:jc w:val="left"/>
            </w:pPr>
            <w:r>
              <w:rPr>
                <w:b w:val="0"/>
                <w:sz w:val="20"/>
              </w:rPr>
              <w:t>嵌入式、传感器、电机与运动控制</w:t>
            </w:r>
          </w:p>
        </w:tc>
      </w:tr>
      <w:tr>
        <w:trPr>
          <w:cantSplit/>
        </w:trPr>
        <w:tc>
          <w:tcPr>
            <w:tcW w:type="dxa" w:w="1701"/>
            <w:vAlign w:val="center"/>
          </w:tcPr>
          <w:p>
            <w:pPr>
              <w:spacing w:line="276" w:lineRule="auto" w:after="20" w:before="20"/>
              <w:ind w:firstLine="0"/>
              <w:jc w:val="center"/>
            </w:pPr>
            <w:r>
              <w:rPr>
                <w:b w:val="0"/>
                <w:sz w:val="20"/>
              </w:rPr>
              <w:t>华为相关岗位</w:t>
            </w:r>
          </w:p>
        </w:tc>
        <w:tc>
          <w:tcPr>
            <w:tcW w:type="dxa" w:w="3231"/>
            <w:vAlign w:val="center"/>
          </w:tcPr>
          <w:p>
            <w:pPr>
              <w:spacing w:line="276" w:lineRule="auto" w:after="20" w:before="20"/>
              <w:ind w:firstLine="0"/>
              <w:jc w:val="left"/>
            </w:pPr>
            <w:r>
              <w:rPr>
                <w:b w:val="0"/>
                <w:sz w:val="20"/>
              </w:rPr>
              <w:t>装备、测试及能源相关场景</w:t>
            </w:r>
          </w:p>
        </w:tc>
        <w:tc>
          <w:tcPr>
            <w:tcW w:type="dxa" w:w="4025"/>
            <w:vAlign w:val="center"/>
          </w:tcPr>
          <w:p>
            <w:pPr>
              <w:spacing w:line="276" w:lineRule="auto" w:after="20" w:before="20"/>
              <w:ind w:firstLine="0"/>
              <w:jc w:val="left"/>
            </w:pPr>
            <w:r>
              <w:rPr>
                <w:b w:val="0"/>
                <w:sz w:val="20"/>
              </w:rPr>
              <w:t>控制、嵌入式、电力电子与测试分析</w:t>
            </w:r>
          </w:p>
        </w:tc>
      </w:tr>
      <w:tr>
        <w:trPr>
          <w:cantSplit/>
        </w:trPr>
        <w:tc>
          <w:tcPr>
            <w:tcW w:type="dxa" w:w="1701"/>
            <w:vAlign w:val="center"/>
          </w:tcPr>
          <w:p>
            <w:pPr>
              <w:spacing w:line="276" w:lineRule="auto" w:after="20" w:before="20"/>
              <w:ind w:firstLine="0"/>
              <w:jc w:val="center"/>
            </w:pPr>
            <w:r>
              <w:rPr>
                <w:b w:val="0"/>
                <w:sz w:val="20"/>
              </w:rPr>
              <w:t>秦皇岛制造企业</w:t>
            </w:r>
          </w:p>
        </w:tc>
        <w:tc>
          <w:tcPr>
            <w:tcW w:type="dxa" w:w="3231"/>
            <w:vAlign w:val="center"/>
          </w:tcPr>
          <w:p>
            <w:pPr>
              <w:spacing w:line="276" w:lineRule="auto" w:after="20" w:before="20"/>
              <w:ind w:firstLine="0"/>
              <w:jc w:val="left"/>
            </w:pPr>
            <w:r>
              <w:rPr>
                <w:b w:val="0"/>
                <w:sz w:val="20"/>
              </w:rPr>
              <w:t>汽车零部件、玻璃及专用装备</w:t>
            </w:r>
          </w:p>
        </w:tc>
        <w:tc>
          <w:tcPr>
            <w:tcW w:type="dxa" w:w="4025"/>
            <w:vAlign w:val="center"/>
          </w:tcPr>
          <w:p>
            <w:pPr>
              <w:spacing w:line="276" w:lineRule="auto" w:after="20" w:before="20"/>
              <w:ind w:firstLine="0"/>
              <w:jc w:val="left"/>
            </w:pPr>
            <w:r>
              <w:rPr>
                <w:b w:val="0"/>
                <w:sz w:val="20"/>
              </w:rPr>
              <w:t>设备运维、质量检测、工艺与数据对接</w:t>
            </w:r>
          </w:p>
        </w:tc>
      </w:tr>
    </w:tbl>
    <w:p>
      <w:pPr>
        <w:spacing w:line="276" w:lineRule="auto" w:before="80" w:after="120"/>
        <w:ind w:firstLine="0"/>
        <w:jc w:val="both"/>
      </w:pPr>
      <w:r>
        <w:rPr>
          <w:sz w:val="18"/>
        </w:rPr>
        <w:t>资料来源：根据文献</w:t>
      </w:r>
      <w:r>
        <w:rPr>
          <w:sz w:val="18"/>
          <w:vertAlign w:val="superscript"/>
        </w:rPr>
        <w:t>[1-3]</w:t>
      </w:r>
      <w:r>
        <w:rPr>
          <w:sz w:val="18"/>
        </w:rPr>
        <w:t>归纳。表中描述用于比较岗位方向，不构成企业当前完整业务目录或招聘承诺。</w:t>
      </w:r>
    </w:p>
    <w:p>
      <w:pPr>
        <w:pStyle w:val="Heading2"/>
      </w:pPr>
      <w:r>
        <w:t>3 2 秦皇岛装备制造业的区域基础</w:t>
      </w:r>
    </w:p>
    <w:p>
      <w:pPr>
        <w:jc w:val="both"/>
      </w:pPr>
      <w:r>
        <w:t>公开报道显示，2025年秦皇岛装备制造产业营业收入达到1089亿元；截至2025年年底，规模以上装备制造企业为186家</w:t>
      </w:r>
      <w:r>
        <w:rPr>
          <w:sz w:val="18"/>
          <w:vertAlign w:val="superscript"/>
        </w:rPr>
        <w:t>[4]</w:t>
      </w:r>
      <w:r>
        <w:t>。 这一数据反映装备制造业的区域规模，其统计对象并非“自动化产业”。对于自动化专业而言，更有意义的是这些企业在汽车零部件、轨道交通、电力装备及船舶制造等场景中形成的设备控制与改造任务。</w:t>
      </w:r>
    </w:p>
    <w:p>
      <w:pPr>
        <w:jc w:val="both"/>
      </w:pPr>
      <w:r>
        <w:t>区域调研将中信戴卡、耀华玻璃、秦皇岛烟机、科力汽车装备、兴龙轮毂、宏启胜精密电子、礼鼎半导体、爱迪特、佰工钢铁、中铁山桥、哈电重装和中粮面业等列为观察案例</w:t>
      </w:r>
      <w:r>
        <w:rPr>
          <w:sz w:val="18"/>
          <w:vertAlign w:val="superscript"/>
        </w:rPr>
        <w:t>[2]</w:t>
      </w:r>
      <w:r>
        <w:t>。 这些企业的产品差异较大，相应任务也从离散制造的工位联动、精密装配，延伸至流程生产的参数控制、能源管理与质量追溯。</w:t>
      </w:r>
    </w:p>
    <w:p>
      <w:pPr>
        <w:jc w:val="both"/>
      </w:pPr>
      <w:r>
        <w:t>中信集团的官方资料确认，中信戴卡秦皇岛铝车轮工厂入选“灯塔工厂”，其建设涉及数字化精益管理与生产过程的智能化应用</w:t>
      </w:r>
      <w:r>
        <w:rPr>
          <w:sz w:val="18"/>
          <w:vertAlign w:val="superscript"/>
        </w:rPr>
        <w:t>[5]</w:t>
      </w:r>
      <w:r>
        <w:t>。 该案例的启示在于，先进制造需要将工艺经验、设备控制和数据分析连为完整过程。区域调研中关于柔性制造、仓储物流与生产管理系统的描述，进一步说明自动化工程师需要理解设备之外的工序关系</w:t>
      </w:r>
      <w:r>
        <w:rPr>
          <w:sz w:val="18"/>
          <w:vertAlign w:val="superscript"/>
        </w:rPr>
        <w:t>[2]</w:t>
      </w:r>
      <w:r>
        <w:t>。</w:t>
      </w:r>
    </w:p>
    <w:p>
      <w:pPr>
        <w:pStyle w:val="Heading2"/>
      </w:pPr>
      <w:r>
        <w:t>3 3 区域企业与全国性企业的互补关系</w:t>
      </w:r>
    </w:p>
    <w:p>
      <w:pPr>
        <w:jc w:val="both"/>
      </w:pPr>
      <w:r>
        <w:t>全国性工控与装备企业提供产品平台、机器人和技术方案，区域制造企业提供具体工艺需求与长期运行场景，系统集成商则承担其中大量接口协调和实施工作。本地资料还涉及非标集成服务商与机器人产业基地，表明区域需求既来自存量工厂改造，也可能来自新装备与新应用</w:t>
      </w:r>
      <w:r>
        <w:rPr>
          <w:sz w:val="18"/>
          <w:vertAlign w:val="superscript"/>
        </w:rPr>
        <w:t>[2]</w:t>
      </w:r>
      <w:r>
        <w:t>。 但产业园规划、投资规模和企业入驻情况不宜直接换算为可招聘岗位。</w:t>
      </w:r>
    </w:p>
    <w:p>
      <w:pPr>
        <w:jc w:val="both"/>
      </w:pPr>
      <w:r>
        <w:t>对学生而言，区域选择与岗位选择应共同考虑。进入制造企业，可以持续观察同一工艺和设备的运行改进；进入集成企业，则可能接触更多不同项目与交付环节；进入产品企业，工作可能集中于产品研发、测试或应用支持。企业规模并不能单独决定培养质量，具体职责、导师支持和项目参与深度更直接影响学习效果。</w:t>
      </w:r>
    </w:p>
    <w:p>
      <w:pPr>
        <w:pStyle w:val="Heading1"/>
      </w:pPr>
      <w:r>
        <w:t>4 典型产线的技术体系与工程问题</w:t>
      </w:r>
    </w:p>
    <w:p>
      <w:pPr>
        <w:pStyle w:val="Heading2"/>
      </w:pPr>
      <w:r>
        <w:t>4 1 设备控制与整线协同</w:t>
      </w:r>
    </w:p>
    <w:p>
      <w:pPr>
        <w:jc w:val="both"/>
      </w:pPr>
      <w:r>
        <w:t>三份资料共同涉及汽车零部件、消费电子、新能源、通用离散制造与精密装备等场景</w:t>
      </w:r>
      <w:r>
        <w:rPr>
          <w:sz w:val="18"/>
          <w:vertAlign w:val="superscript"/>
        </w:rPr>
        <w:t>[1-3]</w:t>
      </w:r>
      <w:r>
        <w:t>。 消费电子装配强调节拍、定位和检测；汽车及零部件制造强调机器人作业、多工序联动和质量一致性；精密装备关注轨迹跟踪、振动与定位误差。行业名称只能提示大致技术方向，具体方案仍取决于工艺、设备结构和质量要求。</w:t>
      </w:r>
    </w:p>
    <w:p>
      <w:pPr>
        <w:jc w:val="both"/>
      </w:pPr>
      <w:r>
        <w:t>在设备层，传感器提供位置、温度、压力或视觉信息，控制器处理时序与控制算法，驱动装置和执行机构完成动作，人机界面（HMI）提供状态显示与操作入口。可编程逻辑控制器（PLC）常用于设备顺序控制，伺服系统承担位置或速度控制。整线运行进一步要求处理工位间握手、物料流转、异常停止与恢复，因而单机正常并不意味着产线能够稳定交付。</w:t>
      </w:r>
    </w:p>
    <w:p>
      <w:pPr>
        <w:jc w:val="both"/>
      </w:pPr>
      <w:r>
        <w:t>调研资料反复提及PROFINET、EtherCAT和Modbus等通信技术</w:t>
      </w:r>
      <w:r>
        <w:rPr>
          <w:sz w:val="18"/>
          <w:vertAlign w:val="superscript"/>
        </w:rPr>
        <w:t>[1-3]</w:t>
      </w:r>
      <w:r>
        <w:t>。 对学习者而言，重点应从记忆协议名称转向理解设备配置、地址映射、数据更新和故障诊断。普通工艺联锁与设备安全功能还应在设计中明确区分；课程项目应在教师或工程人员指导下验证异常工况，避免将正常运行演示等同于完整工程验证。</w:t>
      </w:r>
    </w:p>
    <w:p>
      <w:pPr>
        <w:pStyle w:val="Heading2"/>
      </w:pPr>
      <w:r>
        <w:t>4 2 从生产监控到数据管理</w:t>
      </w:r>
    </w:p>
    <w:p>
      <w:pPr>
        <w:jc w:val="both"/>
      </w:pPr>
      <w:r>
        <w:t>监控与数据采集系统（SCADA）侧重设备状态和过程数据，制造执行系统（MES）连接工单、生产过程与质量追溯，仓储管理系统（WMS）管理库存与物料流转。三类系统与PLC、机器人和检测设备对接后，生产管理才能获得与现场相对应的信息</w:t>
      </w:r>
      <w:r>
        <w:rPr>
          <w:sz w:val="18"/>
          <w:vertAlign w:val="superscript"/>
        </w:rPr>
        <w:t>[1-3]</w:t>
      </w:r>
      <w:r>
        <w:t>。 数据连接本身只是基础，数据含义、时间一致性和异常记录同样重要。</w:t>
      </w:r>
    </w:p>
    <w:p>
      <w:pPr>
        <w:jc w:val="both"/>
      </w:pPr>
      <w:r>
        <w:t>例如，视觉检测发现缺陷后，系统需要识别工件、执行分流、记录检测结果，并将结果与生产批次关联。由此形成的工程任务既包含相机或算法，也包含控制接口和追溯逻辑。本文据此认为，所谓复合能力不必理解为掌握所有工具，而应理解为能够在主专业方向上识别上下游接口，并与其他工程人员完成系统协作。</w:t>
      </w:r>
    </w:p>
    <w:p>
      <w:pPr>
        <w:pStyle w:val="Heading2"/>
      </w:pPr>
      <w:r>
        <w:t>4 3 工程实施中的主要约束</w:t>
      </w:r>
    </w:p>
    <w:p>
      <w:pPr>
        <w:jc w:val="both"/>
      </w:pPr>
      <w:r>
        <w:t>企业资料将非标项目工艺变更、调试周期紧张、部分关键技术积累不足以及中小企业改造预算有限列为常见问题</w:t>
      </w:r>
      <w:r>
        <w:rPr>
          <w:sz w:val="18"/>
          <w:vertAlign w:val="superscript"/>
        </w:rPr>
        <w:t>[1]</w:t>
      </w:r>
      <w:r>
        <w:t>。 这些问题会影响方案选择：定制需求越多，越需要清晰的需求边界和变更记录；现场窗口越短，越需要提前进行接口测试与仿真验证；资金越有限，越需要优先改造质量或效率瓶颈突出的工序。</w:t>
      </w:r>
    </w:p>
    <w:p>
      <w:pPr>
        <w:jc w:val="both"/>
      </w:pPr>
      <w:r>
        <w:t>机器视觉、虚拟调试、数字孪生和数据分析能够辅助工程实施，但其效果依赖模型、数据与现场条件。对实际项目的评价应回到可测量的结果，包括设备稳定性、缺陷漏检、换型时间、维修便利性和交付文档质量。学习与实训也应采用同样思路，使技术展示与工程效果建立明确联系。</w:t>
      </w:r>
    </w:p>
    <w:p>
      <w:pPr>
        <w:pStyle w:val="Heading1"/>
      </w:pPr>
      <w:r>
        <w:t>5 岗位分工与自动化人才能力结构</w:t>
      </w:r>
    </w:p>
    <w:p>
      <w:pPr>
        <w:pStyle w:val="Heading2"/>
      </w:pPr>
      <w:r>
        <w:t>5 1 工程实施与运维岗位</w:t>
      </w:r>
    </w:p>
    <w:p>
      <w:pPr>
        <w:jc w:val="both"/>
      </w:pPr>
      <w:r>
        <w:t>工程实施岗位通常贯穿需求理解、I/O规划、电气图纸、PLC程序、HMI组态、单机调试、整线联调和资料交付。运维岗位则更关注运行状态、故障处理、预防性维护和持续改善。汇川、机器人企业及区域系统集成商的材料均强调现场排错、沟通和项目交付</w:t>
      </w:r>
      <w:r>
        <w:rPr>
          <w:sz w:val="18"/>
          <w:vertAlign w:val="superscript"/>
        </w:rPr>
        <w:t>[1-3]</w:t>
      </w:r>
      <w:r>
        <w:t>。 这类工作要求把程序行为与机械动作、传感器状态和生产条件对应起来。</w:t>
      </w:r>
    </w:p>
    <w:p>
      <w:pPr>
        <w:jc w:val="both"/>
      </w:pPr>
      <w:r>
        <w:t>以工位超时为例，故障可能来自传感器未到位、机构卡滞、通信数据失效或状态逻辑错误。工程人员需要根据报警、信号记录和动作过程逐步缩小范围，再验证修正措施是否带来新的问题。能够解释故障定位过程，比单纯展示一段正常运行程序更能体现工程能力。</w:t>
      </w:r>
    </w:p>
    <w:p>
      <w:pPr>
        <w:pStyle w:val="Heading2"/>
      </w:pPr>
      <w:r>
        <w:t>5 2 装备研发与测试岗位</w:t>
      </w:r>
    </w:p>
    <w:p>
      <w:pPr>
        <w:jc w:val="both"/>
      </w:pPr>
      <w:r>
        <w:t>研发岗位进一步关注对象建模、控制器设计、嵌入式实现和性能优化。智能硬件相关材料涉及C/C++、微控制器、实时操作系统、电机控制、传感器和MATLAB/Simulink等知识</w:t>
      </w:r>
      <w:r>
        <w:rPr>
          <w:sz w:val="18"/>
          <w:vertAlign w:val="superscript"/>
        </w:rPr>
        <w:t>[3]</w:t>
      </w:r>
      <w:r>
        <w:t>。 这些内容与工业现场的PLC路径有所区别，但共享反馈控制、信号处理与机电系统基础。学生需要根据目标岗位选择主线，避免把不同方向的全部要求叠加为一个人的入职标准。</w:t>
      </w:r>
    </w:p>
    <w:p>
      <w:pPr>
        <w:jc w:val="both"/>
      </w:pPr>
      <w:r>
        <w:t>测试岗位承担测试方案设计、工装或脚本开发、故障复现和结果分析，直接影响研发结论是否可信。其难度随产品与测试对象变化，不能笼统归为低门槛岗位。同样，本科学历与研究生学历也不构成工程和研发工作的绝对分界。部分算法研究岗位对研究训练要求更高，但具体录用仍取决于岗位条件和能够证明的能力。</w:t>
      </w:r>
    </w:p>
    <w:p>
      <w:pPr>
        <w:pStyle w:val="Caption"/>
        <w:keepNext/>
        <w:ind w:firstLine="0"/>
        <w:jc w:val="center"/>
      </w:pPr>
      <w:r>
        <w:t>表2 岗位方向与可验证的学习成果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left w:w="85" w:type="dxa"/>
          <w:bottom w:w="85" w:type="dxa"/>
          <w:right w:w="85" w:type="dxa"/>
        </w:tblCellMar>
      </w:tblPr>
      <w:tblGrid>
        <w:gridCol w:w="1587"/>
        <w:gridCol w:w="3231"/>
        <w:gridCol w:w="4139"/>
      </w:tblGrid>
      <w:tr>
        <w:trPr>
          <w:cantSplit/>
          <w:tblHeader/>
        </w:trPr>
        <w:tc>
          <w:tcPr>
            <w:tcW w:type="dxa" w:w="1587"/>
            <w:vAlign w:val="center"/>
            <w:shd w:fill="EAEAEA"/>
          </w:tcPr>
          <w:p>
            <w:pPr>
              <w:spacing w:line="276" w:lineRule="auto" w:after="20" w:before="20"/>
              <w:ind w:firstLine="0"/>
              <w:jc w:val="center"/>
            </w:pPr>
            <w:r>
              <w:rPr>
                <w:b/>
                <w:sz w:val="20"/>
              </w:rPr>
              <w:t>岗位方向</w:t>
            </w:r>
          </w:p>
        </w:tc>
        <w:tc>
          <w:tcPr>
            <w:tcW w:type="dxa" w:w="3231"/>
            <w:vAlign w:val="center"/>
            <w:shd w:fill="EAEAEA"/>
          </w:tcPr>
          <w:p>
            <w:pPr>
              <w:spacing w:line="276" w:lineRule="auto" w:after="20" w:before="20"/>
              <w:ind w:firstLine="0"/>
              <w:jc w:val="center"/>
            </w:pPr>
            <w:r>
              <w:rPr>
                <w:b/>
                <w:sz w:val="20"/>
              </w:rPr>
              <w:t>重点知识与技能</w:t>
            </w:r>
          </w:p>
        </w:tc>
        <w:tc>
          <w:tcPr>
            <w:tcW w:type="dxa" w:w="4139"/>
            <w:vAlign w:val="center"/>
            <w:shd w:fill="EAEAEA"/>
          </w:tcPr>
          <w:p>
            <w:pPr>
              <w:spacing w:line="276" w:lineRule="auto" w:after="20" w:before="20"/>
              <w:ind w:firstLine="0"/>
              <w:jc w:val="center"/>
            </w:pPr>
            <w:r>
              <w:rPr>
                <w:b/>
                <w:sz w:val="20"/>
              </w:rPr>
              <w:t>建议形成的成果</w:t>
            </w:r>
          </w:p>
        </w:tc>
      </w:tr>
      <w:tr>
        <w:trPr>
          <w:cantSplit/>
        </w:trPr>
        <w:tc>
          <w:tcPr>
            <w:tcW w:type="dxa" w:w="1587"/>
            <w:vAlign w:val="center"/>
          </w:tcPr>
          <w:p>
            <w:pPr>
              <w:spacing w:line="276" w:lineRule="auto" w:after="20" w:before="20"/>
              <w:ind w:firstLine="0"/>
              <w:jc w:val="center"/>
            </w:pPr>
            <w:r>
              <w:rPr>
                <w:b w:val="0"/>
                <w:sz w:val="20"/>
              </w:rPr>
              <w:t>电气与集成</w:t>
            </w:r>
          </w:p>
        </w:tc>
        <w:tc>
          <w:tcPr>
            <w:tcW w:type="dxa" w:w="3231"/>
            <w:vAlign w:val="center"/>
          </w:tcPr>
          <w:p>
            <w:pPr>
              <w:spacing w:line="276" w:lineRule="auto" w:after="20" w:before="20"/>
              <w:ind w:firstLine="0"/>
              <w:jc w:val="left"/>
            </w:pPr>
            <w:r>
              <w:rPr>
                <w:b w:val="0"/>
                <w:sz w:val="20"/>
              </w:rPr>
              <w:t>PLC、图纸、HMI、驱动与通信</w:t>
            </w:r>
          </w:p>
        </w:tc>
        <w:tc>
          <w:tcPr>
            <w:tcW w:type="dxa" w:w="4139"/>
            <w:vAlign w:val="center"/>
          </w:tcPr>
          <w:p>
            <w:pPr>
              <w:spacing w:line="276" w:lineRule="auto" w:after="20" w:before="20"/>
              <w:ind w:firstLine="0"/>
              <w:jc w:val="left"/>
            </w:pPr>
            <w:r>
              <w:rPr>
                <w:b w:val="0"/>
                <w:sz w:val="20"/>
              </w:rPr>
              <w:t>I/O表、程序、联调记录、操作说明</w:t>
            </w:r>
          </w:p>
        </w:tc>
      </w:tr>
      <w:tr>
        <w:trPr>
          <w:cantSplit/>
        </w:trPr>
        <w:tc>
          <w:tcPr>
            <w:tcW w:type="dxa" w:w="1587"/>
            <w:vAlign w:val="center"/>
          </w:tcPr>
          <w:p>
            <w:pPr>
              <w:spacing w:line="276" w:lineRule="auto" w:after="20" w:before="20"/>
              <w:ind w:firstLine="0"/>
              <w:jc w:val="center"/>
            </w:pPr>
            <w:r>
              <w:rPr>
                <w:b w:val="0"/>
                <w:sz w:val="20"/>
              </w:rPr>
              <w:t>机器人应用</w:t>
            </w:r>
          </w:p>
        </w:tc>
        <w:tc>
          <w:tcPr>
            <w:tcW w:type="dxa" w:w="3231"/>
            <w:vAlign w:val="center"/>
          </w:tcPr>
          <w:p>
            <w:pPr>
              <w:spacing w:line="276" w:lineRule="auto" w:after="20" w:before="20"/>
              <w:ind w:firstLine="0"/>
              <w:jc w:val="left"/>
            </w:pPr>
            <w:r>
              <w:rPr>
                <w:b w:val="0"/>
                <w:sz w:val="20"/>
              </w:rPr>
              <w:t>示教、坐标系、工艺与节拍</w:t>
            </w:r>
          </w:p>
        </w:tc>
        <w:tc>
          <w:tcPr>
            <w:tcW w:type="dxa" w:w="4139"/>
            <w:vAlign w:val="center"/>
          </w:tcPr>
          <w:p>
            <w:pPr>
              <w:spacing w:line="276" w:lineRule="auto" w:after="20" w:before="20"/>
              <w:ind w:firstLine="0"/>
              <w:jc w:val="left"/>
            </w:pPr>
            <w:r>
              <w:rPr>
                <w:b w:val="0"/>
                <w:sz w:val="20"/>
              </w:rPr>
              <w:t>工作站程序、动作验证、异常处理记录</w:t>
            </w:r>
          </w:p>
        </w:tc>
      </w:tr>
      <w:tr>
        <w:trPr>
          <w:cantSplit/>
        </w:trPr>
        <w:tc>
          <w:tcPr>
            <w:tcW w:type="dxa" w:w="1587"/>
            <w:vAlign w:val="center"/>
          </w:tcPr>
          <w:p>
            <w:pPr>
              <w:spacing w:line="276" w:lineRule="auto" w:after="20" w:before="20"/>
              <w:ind w:firstLine="0"/>
              <w:jc w:val="center"/>
            </w:pPr>
            <w:r>
              <w:rPr>
                <w:b w:val="0"/>
                <w:sz w:val="20"/>
              </w:rPr>
              <w:t>嵌入式与控制</w:t>
            </w:r>
          </w:p>
        </w:tc>
        <w:tc>
          <w:tcPr>
            <w:tcW w:type="dxa" w:w="3231"/>
            <w:vAlign w:val="center"/>
          </w:tcPr>
          <w:p>
            <w:pPr>
              <w:spacing w:line="276" w:lineRule="auto" w:after="20" w:before="20"/>
              <w:ind w:firstLine="0"/>
              <w:jc w:val="left"/>
            </w:pPr>
            <w:r>
              <w:rPr>
                <w:b w:val="0"/>
                <w:sz w:val="20"/>
              </w:rPr>
              <w:t>C/C++、实时系统、电机与传感器</w:t>
            </w:r>
          </w:p>
        </w:tc>
        <w:tc>
          <w:tcPr>
            <w:tcW w:type="dxa" w:w="4139"/>
            <w:vAlign w:val="center"/>
          </w:tcPr>
          <w:p>
            <w:pPr>
              <w:spacing w:line="276" w:lineRule="auto" w:after="20" w:before="20"/>
              <w:ind w:firstLine="0"/>
              <w:jc w:val="left"/>
            </w:pPr>
            <w:r>
              <w:rPr>
                <w:b w:val="0"/>
                <w:sz w:val="20"/>
              </w:rPr>
              <w:t>代码、实测曲线、参数设计与误差分析</w:t>
            </w:r>
          </w:p>
        </w:tc>
      </w:tr>
      <w:tr>
        <w:trPr>
          <w:cantSplit/>
        </w:trPr>
        <w:tc>
          <w:tcPr>
            <w:tcW w:type="dxa" w:w="1587"/>
            <w:vAlign w:val="center"/>
          </w:tcPr>
          <w:p>
            <w:pPr>
              <w:spacing w:line="276" w:lineRule="auto" w:after="20" w:before="20"/>
              <w:ind w:firstLine="0"/>
              <w:jc w:val="center"/>
            </w:pPr>
            <w:r>
              <w:rPr>
                <w:b w:val="0"/>
                <w:sz w:val="20"/>
              </w:rPr>
              <w:t>测试验证</w:t>
            </w:r>
          </w:p>
        </w:tc>
        <w:tc>
          <w:tcPr>
            <w:tcW w:type="dxa" w:w="3231"/>
            <w:vAlign w:val="center"/>
          </w:tcPr>
          <w:p>
            <w:pPr>
              <w:spacing w:line="276" w:lineRule="auto" w:after="20" w:before="20"/>
              <w:ind w:firstLine="0"/>
              <w:jc w:val="left"/>
            </w:pPr>
            <w:r>
              <w:rPr>
                <w:b w:val="0"/>
                <w:sz w:val="20"/>
              </w:rPr>
              <w:t>测试设计、数据采集、故障复现</w:t>
            </w:r>
          </w:p>
        </w:tc>
        <w:tc>
          <w:tcPr>
            <w:tcW w:type="dxa" w:w="4139"/>
            <w:vAlign w:val="center"/>
          </w:tcPr>
          <w:p>
            <w:pPr>
              <w:spacing w:line="276" w:lineRule="auto" w:after="20" w:before="20"/>
              <w:ind w:firstLine="0"/>
              <w:jc w:val="left"/>
            </w:pPr>
            <w:r>
              <w:rPr>
                <w:b w:val="0"/>
                <w:sz w:val="20"/>
              </w:rPr>
              <w:t>测试用例、覆盖说明、缺陷与复测报告</w:t>
            </w:r>
          </w:p>
        </w:tc>
      </w:tr>
      <w:tr>
        <w:trPr>
          <w:cantSplit/>
        </w:trPr>
        <w:tc>
          <w:tcPr>
            <w:tcW w:type="dxa" w:w="1587"/>
            <w:vAlign w:val="center"/>
          </w:tcPr>
          <w:p>
            <w:pPr>
              <w:spacing w:line="276" w:lineRule="auto" w:after="20" w:before="20"/>
              <w:ind w:firstLine="0"/>
              <w:jc w:val="center"/>
            </w:pPr>
            <w:r>
              <w:rPr>
                <w:b w:val="0"/>
                <w:sz w:val="20"/>
              </w:rPr>
              <w:t>工业数据与软件</w:t>
            </w:r>
          </w:p>
        </w:tc>
        <w:tc>
          <w:tcPr>
            <w:tcW w:type="dxa" w:w="3231"/>
            <w:vAlign w:val="center"/>
          </w:tcPr>
          <w:p>
            <w:pPr>
              <w:spacing w:line="276" w:lineRule="auto" w:after="20" w:before="20"/>
              <w:ind w:firstLine="0"/>
              <w:jc w:val="left"/>
            </w:pPr>
            <w:r>
              <w:rPr>
                <w:b w:val="0"/>
                <w:sz w:val="20"/>
              </w:rPr>
              <w:t>设备接口、数据库、生产业务</w:t>
            </w:r>
          </w:p>
        </w:tc>
        <w:tc>
          <w:tcPr>
            <w:tcW w:type="dxa" w:w="4139"/>
            <w:vAlign w:val="center"/>
          </w:tcPr>
          <w:p>
            <w:pPr>
              <w:spacing w:line="276" w:lineRule="auto" w:after="20" w:before="20"/>
              <w:ind w:firstLine="0"/>
              <w:jc w:val="left"/>
            </w:pPr>
            <w:r>
              <w:rPr>
                <w:b w:val="0"/>
                <w:sz w:val="20"/>
              </w:rPr>
              <w:t>采集接口、数据字典、追溯与异常日志</w:t>
            </w:r>
          </w:p>
        </w:tc>
      </w:tr>
    </w:tbl>
    <w:p>
      <w:pPr>
        <w:spacing w:line="276" w:lineRule="auto" w:before="80" w:after="120"/>
        <w:ind w:firstLine="0"/>
        <w:jc w:val="both"/>
      </w:pPr>
      <w:r>
        <w:rPr>
          <w:sz w:val="18"/>
        </w:rPr>
        <w:t>资料来源：岗位主题归纳自文献</w:t>
      </w:r>
      <w:r>
        <w:rPr>
          <w:sz w:val="18"/>
          <w:vertAlign w:val="superscript"/>
        </w:rPr>
        <w:t>[1-3]</w:t>
      </w:r>
      <w:r>
        <w:rPr>
          <w:sz w:val="18"/>
        </w:rPr>
        <w:t>；成果形式为本文提出的实践评价建议。</w:t>
      </w:r>
    </w:p>
    <w:p>
      <w:pPr>
        <w:pStyle w:val="Heading2"/>
      </w:pPr>
      <w:r>
        <w:t>5 3 薪资信息与职业发展的解释边界</w:t>
      </w:r>
    </w:p>
    <w:p>
      <w:pPr>
        <w:jc w:val="both"/>
      </w:pPr>
      <w:r>
        <w:t>企业调研资料给出的汇川技术、埃斯顿和新松本科应用或调试岗位参考范围合计覆盖约7000—12000元/月，硕士研发岗位合计覆盖约11000—20000元/月；秦皇岛资料中的应届或入门岗位参考范围为4000—8000元/月</w:t>
      </w:r>
      <w:r>
        <w:rPr>
          <w:sz w:val="18"/>
          <w:vertAlign w:val="superscript"/>
        </w:rPr>
        <w:t>[1-2]</w:t>
      </w:r>
      <w:r>
        <w:t>。 这些数字来自不同类型的资料整理，企业、地区、学历和岗位条件并不一致，不能据此直接得出地域薪资差距或学历回报率。</w:t>
      </w:r>
    </w:p>
    <w:p>
      <w:pPr>
        <w:jc w:val="both"/>
      </w:pPr>
      <w:r>
        <w:t>薪资比较还需统一税前税后、固定薪酬、奖金、加班和出差补贴等口径。出差补贴对应额外的工作安排，不应直接等同于基本工资；高薪区间也不能代表应届生普遍待遇。求职时应结合实际职责、培训机会、驻场周期与发展方向评价岗位，具体待遇以当期招聘说明和录用条件为依据。</w:t>
      </w:r>
    </w:p>
    <w:p>
      <w:pPr>
        <w:jc w:val="both"/>
      </w:pPr>
      <w:r>
        <w:t>职业成长可表现为从模块执行逐步转向独立解决问题、承担系统设计或项目协调，也可沿产品研发、测试专家和工业软件方向深入。原始资料中的年限划分适合说明成长顺序，却不能作为固定晋升时间表</w:t>
      </w:r>
      <w:r>
        <w:rPr>
          <w:sz w:val="18"/>
          <w:vertAlign w:val="superscript"/>
        </w:rPr>
        <w:t>[1-3]</w:t>
      </w:r>
      <w:r>
        <w:t>。 更可靠的判断依据是能否独立说明方案取舍、处理异常、验证性能并完成规范交付。</w:t>
      </w:r>
    </w:p>
    <w:p>
      <w:pPr>
        <w:pStyle w:val="Heading1"/>
      </w:pPr>
      <w:r>
        <w:t>6 政策环境与产教协同</w:t>
      </w:r>
    </w:p>
    <w:p>
      <w:pPr>
        <w:jc w:val="both"/>
      </w:pPr>
      <w:r>
        <w:t>政策为自动化产业提供发展方向，但不能直接保证某一专业或企业的招聘规模。三份资料引用的“十四五”智能制造与机器人产业规划属于相应规划期的政策背景。进入2026年，应结合“十五五”规划理解产业方向：相关纲要强调先进制造业、机器人与高端装备发展，以及制造业数字化、网络化和智能化建设</w:t>
      </w:r>
      <w:r>
        <w:rPr>
          <w:sz w:val="18"/>
          <w:vertAlign w:val="superscript"/>
        </w:rPr>
        <w:t>[6]</w:t>
      </w:r>
      <w:r>
        <w:t>。 这些方向与自动化的控制、装备和系统集成能力具有联系。</w:t>
      </w:r>
    </w:p>
    <w:p>
      <w:pPr>
        <w:jc w:val="both"/>
      </w:pPr>
      <w:r>
        <w:t>工业和信息化部等部门开展的2025年度智能工厂梯度培育行动，将智能工厂划分为基础级、先进级、卓越级和领航级四个层级</w:t>
      </w:r>
      <w:r>
        <w:rPr>
          <w:sz w:val="18"/>
          <w:vertAlign w:val="superscript"/>
        </w:rPr>
        <w:t>[7]</w:t>
      </w:r>
      <w:r>
        <w:t>。 这一分层有助于理解企业升级的阶段性：基础设备连接、生产过程协同和更高层次智能化需要不同的建设条件。本文由此认为，人才培养也应允许分层进入，使基础控制能力成为后续系统优化与研发训练的支撑。</w:t>
      </w:r>
    </w:p>
    <w:p>
      <w:pPr>
        <w:jc w:val="both"/>
      </w:pPr>
      <w:r>
        <w:t>区域资料涉及燕山大学、东北大学秦皇岛分校及本地职业院校，并归纳了联合实验室、实训基地和企业项目等合作形式</w:t>
      </w:r>
      <w:r>
        <w:rPr>
          <w:sz w:val="18"/>
          <w:vertAlign w:val="superscript"/>
        </w:rPr>
        <w:t>[2]</w:t>
      </w:r>
      <w:r>
        <w:t>。 对自动化专业而言，校企合作的价值在于让学生接触真实工艺约束、工程规范和跨专业协作。项目进入课堂时，应明确学生的任务、企业提供的指导与最终评价依据，使实践从参观认识进一步发展为可验证的工程训练。</w:t>
      </w:r>
    </w:p>
    <w:p>
      <w:pPr>
        <w:jc w:val="both"/>
      </w:pPr>
      <w:r>
        <w:t>地方技改、装备应用和人才支持政策可以改善项目与培养条件，但奖励金额、申报主体和执行期具有差异。政策分析应关注其支持的技术活动及适用范围，不能将企业奖励写成毕业生普遍可领取的个人补贴，也不宜把竞赛经历或合作项目视为自动录用、升学的保证。</w:t>
      </w:r>
    </w:p>
    <w:p>
      <w:pPr>
        <w:pStyle w:val="Heading1"/>
      </w:pPr>
      <w:r>
        <w:t>7 面向自动化专业的培养与实践建议</w:t>
      </w:r>
    </w:p>
    <w:p>
      <w:pPr>
        <w:pStyle w:val="Heading2"/>
      </w:pPr>
      <w:r>
        <w:t>7 1 以专业基础支撑方向选择</w:t>
      </w:r>
    </w:p>
    <w:p>
      <w:pPr>
        <w:jc w:val="both"/>
      </w:pPr>
      <w:r>
        <w:t>课程学习应保持控制理论、电工电子、编程与数学基础之间的联系。学习PID时，可结合阶跃响应理解超调、稳态误差与扰动；学习电机与驱动时，可将负载、速度和电流变化联系起来；学习通信时，应说明数据如何影响控制状态。这样形成的知识结构更易迁移到不同品牌设备和新工具。</w:t>
      </w:r>
    </w:p>
    <w:p>
      <w:pPr>
        <w:jc w:val="both"/>
      </w:pPr>
      <w:r>
        <w:t>在此基础上，学生可根据兴趣形成一个主要方向。偏工程实施者优先完成PLC、HMI、驱动和通信的综合训练；偏装备研发者加强嵌入式、建模、电机与测试；偏工业软件者加强编程、数据库和制造业务理解。各方向都应保留对电气、机械和工艺接口的基本认识，而不必在同一阶段追求所有技术的熟练掌握。</w:t>
      </w:r>
    </w:p>
    <w:p>
      <w:pPr>
        <w:pStyle w:val="Heading2"/>
      </w:pPr>
      <w:r>
        <w:t>7 2 用完整项目组织劳动实践</w:t>
      </w:r>
    </w:p>
    <w:p>
      <w:pPr>
        <w:jc w:val="both"/>
      </w:pPr>
      <w:r>
        <w:t>建议将劳动实践设计为从需求到交付的完整任务。例如，在小型分拣或输送控制项目中，先编写工艺流程与I/O表，再完成状态逻辑、操作界面和设备接口，最后设计正常运行、传感器异常、通信中断及停止恢复等测试。项目的重点是解释每项设计如何回应需求，并形成可复查的记录。此处为教学设计建议，不代表已经完成的实验。</w:t>
      </w:r>
    </w:p>
    <w:p>
      <w:pPr>
        <w:jc w:val="both"/>
      </w:pPr>
      <w:r>
        <w:t>面向运动控制方向，可围绕小型电机或定位平台开展建模、参数整定和误差分析；面向数据方向，可将设备状态、产量与故障信息写入数据库，并建立批次追溯示例。实物条件有限时，可先使用仿真验证逻辑，但应明确仿真与实际设备在负载、噪声、时延和机械误差方面的差别。不得把仿真结果写成实测结果。</w:t>
      </w:r>
    </w:p>
    <w:p>
      <w:pPr>
        <w:jc w:val="both"/>
      </w:pPr>
      <w:r>
        <w:t>评价应同时考察结果与过程：程序能否稳定执行，异常是否可诊断，图纸和代码是否对应，测试是否可复现，说明书是否便于他人使用。团队任务还应记录个人负责模块、接口协商和问题解决过程。这样的材料既能服务课程考核，也能在求职时支持对个人贡献的说明。</w:t>
      </w:r>
    </w:p>
    <w:p>
      <w:pPr>
        <w:pStyle w:val="Heading2"/>
      </w:pPr>
      <w:r>
        <w:t>7 3 建立岗位匹配与持续学习机制</w:t>
      </w:r>
    </w:p>
    <w:p>
      <w:pPr>
        <w:jc w:val="both"/>
      </w:pPr>
      <w:r>
        <w:t>求职准备可从目标岗位的任务清单出发，逐项核对自己能够提供的项目证据。简历应说明承担的模块、约束条件、调试过程和真实结果；面试准备应能够解释为什么采用某个方案，以及失败后如何修正。证书和竞赛可作为辅助证明，但不能替代对原理和项目细节的掌握。</w:t>
      </w:r>
    </w:p>
    <w:p>
      <w:pPr>
        <w:jc w:val="both"/>
      </w:pPr>
      <w:r>
        <w:t>企业选择宜同时考虑技术方向、所在行业、工作地点和培养条件。对秦皇岛就业，可围绕本地制造场景寻找设备、工艺自动化与集成任务；对全国性企业，则应进一步区分产品研发、应用支持和项目实施岗位。入职后应持续整理故障案例、接口规范和测试方法，使重复经验逐步沉淀为可迁移的能力。</w:t>
      </w:r>
    </w:p>
    <w:p>
      <w:pPr>
        <w:pStyle w:val="Heading1"/>
      </w:pPr>
      <w:r>
        <w:t>8 结论</w:t>
      </w:r>
    </w:p>
    <w:p>
      <w:pPr>
        <w:jc w:val="both"/>
      </w:pPr>
      <w:r>
        <w:t>综合企业、区域与岗位资料可以看出，自动化专业的产业价值体现在将控制知识转化为可稳定运行的装备与制造系统。典型企业展示了工控产品、机器人、智能硬件和工业软件等不同路径；秦皇岛案例则体现了这些技术在区域制造业中的具体落点。二者共同说明，专业发展需要同时理解技术原理和应用对象。</w:t>
      </w:r>
    </w:p>
    <w:p>
      <w:pPr>
        <w:jc w:val="both"/>
      </w:pPr>
      <w:r>
        <w:t>人才需求呈现共同基础与岗位分化并存的特点。控制、电气、编程和问题分析构成基础，工艺理解、嵌入式实现、系统集成和测试验证则随岗位而变化。学历、企业名气和工具数量都不足以单独衡量工程胜任力，能够清楚说明问题、完成验证并与他人协作交付，更能体现专业训练的效果。</w:t>
      </w:r>
    </w:p>
    <w:p>
      <w:pPr>
        <w:jc w:val="both"/>
      </w:pPr>
      <w:r>
        <w:t>面向人才培养，应以完整项目连接课程、劳动实践与职业准备，形成可复现、可说明、可评价的工程成果。本文结论属于案例归纳，后续研究可通过企业访谈、统一口径的招聘样本和毕业生跟踪资料进一步验证，从而更准确地讨论不同岗位与培养路径之间的关系。</w:t>
      </w:r>
    </w:p>
    <w:p>
      <w:pPr>
        <w:pStyle w:val="Heading1"/>
      </w:pPr>
      <w:r>
        <w:t>参考文献</w:t>
      </w:r>
    </w:p>
    <w:p>
      <w:pPr>
        <w:keepLines/>
        <w:spacing w:line="300" w:lineRule="auto" w:after="120"/>
        <w:ind w:left="400" w:hanging="400"/>
        <w:jc w:val="both"/>
      </w:pPr>
      <w:r>
        <w:rPr>
          <w:sz w:val="21"/>
        </w:rPr>
      </w:r>
      <w:r>
        <w:rPr>
          <w:sz w:val="21"/>
        </w:rPr>
        <w:t>[1]</w:t>
      </w:r>
      <w:r>
        <w:rPr>
          <w:sz w:val="21"/>
        </w:rPr>
        <w:t xml:space="preserve"> 自动化企业资料[Z]. 企业劳动实践综合调研材料, 成文日期未标注.</w:t>
      </w:r>
    </w:p>
    <w:p>
      <w:pPr>
        <w:keepLines/>
        <w:spacing w:line="300" w:lineRule="auto" w:after="120"/>
        <w:ind w:left="400" w:hanging="400"/>
        <w:jc w:val="both"/>
      </w:pPr>
      <w:r>
        <w:rPr>
          <w:sz w:val="21"/>
        </w:rPr>
      </w:r>
      <w:r>
        <w:rPr>
          <w:sz w:val="21"/>
        </w:rPr>
        <w:t>[2]</w:t>
      </w:r>
      <w:r>
        <w:rPr>
          <w:sz w:val="21"/>
        </w:rPr>
        <w:t xml:space="preserve"> 调研报告（秦皇岛市）[R]. 2026-09.</w:t>
      </w:r>
    </w:p>
    <w:p>
      <w:pPr>
        <w:keepLines/>
        <w:spacing w:line="300" w:lineRule="auto" w:after="120"/>
        <w:ind w:left="400" w:hanging="400"/>
        <w:jc w:val="both"/>
      </w:pPr>
      <w:r>
        <w:rPr>
          <w:sz w:val="21"/>
        </w:rPr>
      </w:r>
      <w:r>
        <w:rPr>
          <w:sz w:val="21"/>
        </w:rPr>
        <w:t>[3]</w:t>
      </w:r>
      <w:r>
        <w:rPr>
          <w:sz w:val="21"/>
        </w:rPr>
        <w:t xml:space="preserve"> 工科之王-自动化[Z]. 企业岗位与专业能力整理材料, 成文日期未标注.</w:t>
      </w:r>
    </w:p>
    <w:p>
      <w:pPr>
        <w:keepLines/>
        <w:spacing w:line="300" w:lineRule="auto" w:after="120"/>
        <w:ind w:left="400" w:hanging="400"/>
        <w:jc w:val="both"/>
      </w:pPr>
      <w:r>
        <w:rPr>
          <w:sz w:val="21"/>
        </w:rPr>
      </w:r>
      <w:r>
        <w:rPr>
          <w:sz w:val="21"/>
        </w:rPr>
        <w:t>[4]</w:t>
      </w:r>
      <w:r>
        <w:rPr>
          <w:sz w:val="21"/>
        </w:rPr>
        <w:t xml:space="preserve"> 王东. 秦皇岛市装备制造产业营收首破千亿大关[EB/OL]. (2026-02-02)</w:t>
      </w:r>
      <w:r>
        <w:rPr>
          <w:sz w:val="21"/>
        </w:rPr>
        <w:t>[2026-09-23]</w:t>
      </w:r>
      <w:r>
        <w:rPr>
          <w:sz w:val="21"/>
        </w:rPr>
        <w:t>. 河北新闻网刊载, 新浪财经转载.</w:t>
      </w:r>
      <w:hyperlink r:id="rId9">
        <w:r>
          <w:rPr>
            <w:sz w:val="21"/>
          </w:rPr>
          <w:t> 原文链接</w:t>
        </w:r>
      </w:hyperlink>
    </w:p>
    <w:p>
      <w:pPr>
        <w:keepLines/>
        <w:spacing w:line="300" w:lineRule="auto" w:after="120"/>
        <w:ind w:left="400" w:hanging="400"/>
        <w:jc w:val="both"/>
      </w:pPr>
      <w:r>
        <w:rPr>
          <w:sz w:val="21"/>
        </w:rPr>
      </w:r>
      <w:r>
        <w:rPr>
          <w:sz w:val="21"/>
        </w:rPr>
        <w:t>[5]</w:t>
      </w:r>
      <w:r>
        <w:rPr>
          <w:sz w:val="21"/>
        </w:rPr>
        <w:t xml:space="preserve"> 中信集团. 新一批“灯塔工厂”公布！中信戴卡铝车轮工厂入选[EB/OL]. (2021-09-29)</w:t>
      </w:r>
      <w:r>
        <w:rPr>
          <w:sz w:val="21"/>
        </w:rPr>
        <w:t>[2026-09-23]</w:t>
      </w:r>
      <w:r>
        <w:rPr>
          <w:sz w:val="21"/>
        </w:rPr>
        <w:t>.</w:t>
      </w:r>
      <w:hyperlink r:id="rId10">
        <w:r>
          <w:rPr>
            <w:sz w:val="21"/>
          </w:rPr>
          <w:t> 原文链接</w:t>
        </w:r>
      </w:hyperlink>
    </w:p>
    <w:p>
      <w:pPr>
        <w:keepLines/>
        <w:spacing w:line="300" w:lineRule="auto" w:after="120"/>
        <w:ind w:left="400" w:hanging="400"/>
        <w:jc w:val="both"/>
      </w:pPr>
      <w:r>
        <w:rPr>
          <w:sz w:val="21"/>
        </w:rPr>
      </w:r>
      <w:r>
        <w:rPr>
          <w:sz w:val="21"/>
        </w:rPr>
        <w:t>[6]</w:t>
      </w:r>
      <w:r>
        <w:rPr>
          <w:sz w:val="21"/>
        </w:rPr>
        <w:t xml:space="preserve"> 中华人民共和国国民经济和社会发展第十五个五年规划纲要[EB/OL]. (2026-03-16)</w:t>
      </w:r>
      <w:r>
        <w:rPr>
          <w:sz w:val="21"/>
        </w:rPr>
        <w:t>[2026-09-23]</w:t>
      </w:r>
      <w:r>
        <w:rPr>
          <w:sz w:val="21"/>
        </w:rPr>
        <w:t>. 全国政协网站转载.</w:t>
      </w:r>
      <w:hyperlink r:id="rId11">
        <w:r>
          <w:rPr>
            <w:sz w:val="21"/>
          </w:rPr>
          <w:t> 原文链接</w:t>
        </w:r>
      </w:hyperlink>
    </w:p>
    <w:p>
      <w:pPr>
        <w:keepLines/>
        <w:spacing w:line="300" w:lineRule="auto" w:after="120"/>
        <w:ind w:left="400" w:hanging="400"/>
        <w:jc w:val="both"/>
      </w:pPr>
      <w:r>
        <w:rPr>
          <w:sz w:val="21"/>
        </w:rPr>
      </w:r>
      <w:r>
        <w:rPr>
          <w:sz w:val="21"/>
        </w:rPr>
        <w:t>[7]</w:t>
      </w:r>
      <w:r>
        <w:rPr>
          <w:sz w:val="21"/>
        </w:rPr>
        <w:t xml:space="preserve"> 工业和信息化部等六部门. 关于开展2025年度智能工厂梯度培育行动的通知[EB/OL]. (2025-06-20)</w:t>
      </w:r>
      <w:r>
        <w:rPr>
          <w:sz w:val="21"/>
        </w:rPr>
        <w:t>[2026-09-23]</w:t>
      </w:r>
      <w:r>
        <w:rPr>
          <w:sz w:val="21"/>
        </w:rPr>
        <w:t>.</w:t>
      </w:r>
      <w:hyperlink r:id="rId12">
        <w:r>
          <w:rPr>
            <w:sz w:val="21"/>
          </w:rPr>
          <w:t> 原文链接</w:t>
        </w:r>
      </w:hyperlink>
    </w:p>
    <w:p>
      <w:r>
        <w:br w:type="page"/>
      </w:r>
    </w:p>
    <w:p>
      <w:pPr>
        <w:pStyle w:val="Heading1"/>
      </w:pPr>
      <w:r>
        <w:t>附录 网络资料增补与实践资源</w:t>
      </w:r>
    </w:p>
    <w:p>
      <w:pPr>
        <w:spacing w:line="336" w:lineRule="auto"/>
      </w:pPr>
      <w:r>
        <w:t>版本v0.1.0，资料核对日期为2026年9月23日。本附录补充行业统计、地方项目与官方学习资源；来源编号S01等与资料库来源表一致。企业业务说明、资料归纳和学习建议分别表述，不将产品介绍作为当期招聘条件。</w:t>
      </w:r>
    </w:p>
    <w:p>
      <w:pPr>
        <w:pStyle w:val="Heading2"/>
      </w:pPr>
      <w:r>
        <w:t>一 工业机器人统计的时间口径</w:t>
      </w:r>
    </w:p>
    <w:p>
      <w:pPr>
        <w:spacing w:line="336" w:lineRule="auto"/>
      </w:pPr>
      <w:r>
        <w:t>国际机器人联合会在2025年发布的World Robotics资料指出，2024年全球新增工业机器人约54.2万台，中国约29.5万台，占全球54%[S01]。该指标是年度新增安装量，不能当作2025年产量、在役保有量或毕业生岗位数量。它能补充产业背景，但不足以支持某企业正在扩招的结论。</w:t>
      </w:r>
    </w:p>
    <w:p>
      <w:pPr>
        <w:pStyle w:val="Heading2"/>
      </w:pPr>
      <w:r>
        <w:t>二 秦皇岛机器人改造项目线索</w:t>
      </w:r>
    </w:p>
    <w:p>
      <w:pPr>
        <w:spacing w:line="336" w:lineRule="auto"/>
      </w:pPr>
      <w:r>
        <w:t>河北省工业和信息化厅2025年12月的拟支持公示列出中信戴卡铝合金精车轮毂自动单元机器人改造，以及秦皇岛兴龙轮毂、戴卡兴龙轮毂和中秦渤海轮毂相关改造项目。部分项目申报单位为秦皇岛中秦智能装备有限公司[S12]。这为观察本地装备服务与制造企业之间的关系提供了具体线索，但公示中的“拟支持”不等于已拨款、已验收或已投产。</w:t>
      </w:r>
    </w:p>
    <w:p>
      <w:pPr>
        <w:spacing w:line="336" w:lineRule="auto"/>
      </w:pPr>
      <w:r>
        <w:t>河北省2026年度智能工厂梯度培育通知进一步提供当年工作背景，涵盖基础级建设、先进级培育及卓越级、领航级推荐[S11]。本报告用于分析改造阶段，不将已经过去的申报日期作为当前申请入口，也不将企业项目支持推导为个人补贴。</w:t>
      </w:r>
    </w:p>
    <w:p>
      <w:pPr>
        <w:pStyle w:val="Heading2"/>
      </w:pPr>
      <w:r>
        <w:t>三 企业案例与岗位分析的分界</w:t>
      </w:r>
    </w:p>
    <w:p>
      <w:pPr>
        <w:spacing w:line="336" w:lineRule="auto"/>
      </w:pPr>
      <w:r>
        <w:t>新松的悬臂轴输送移动机器人产品页列出物流对接与锂电应用场景[S04]；华为数字能源2025年发布材料涉及大型储能电站、微网、工商业和户用场景[S09]。这些材料支持研究技术对象与系统接口，不能直接证明岗位学历、英语条件或薪酬。大疆招聘首页可以作为官方职类入口，但仍需逐条职位页才能核对具体条件[S08]。</w:t>
      </w:r>
    </w:p>
    <w:p>
      <w:pPr>
        <w:pStyle w:val="Heading2"/>
      </w:pPr>
      <w:r>
        <w:t>四 官方学习资源与成果评价</w:t>
      </w:r>
    </w:p>
    <w:p>
      <w:pPr>
        <w:spacing w:line="336" w:lineRule="auto"/>
      </w:pPr>
      <w:r>
        <w:t>RoboMaster官方开发板页面列出传感器及通信接口，并指向配套例程[S06,S16]；FreeRTOS官方教程提供任务间队列通信说明[S17]；OPC Foundation介绍信息建模与数据访问机制[S15]。这些资源可分别支撑嵌入式接口、实时程序和工业数据项目。西门子SCE与CTMS等入口也列入在线资源导航，其中访问不完整的条目标为B级，使用前应再次核对版本与获取条件。</w:t>
      </w:r>
    </w:p>
    <w:p>
      <w:pPr>
        <w:spacing w:line="336" w:lineRule="auto"/>
      </w:pPr>
      <w:r>
        <w:t>结合上述资料，可设计分拣线异常恢复、电机控制实验、设备数据追溯和机器人任务管理四类项目。每个项目均应先规定需求、接口和测试方法，再形成程序、原始记录与复盘。成果评价应区分仿真、模拟与实测，以可复现和可解释为目标。这些属于教学设计建议，不能写成已完成的实验结果。</w:t>
      </w:r>
    </w:p>
    <w:p>
      <w:pPr>
        <w:pStyle w:val="Heading2"/>
      </w:pPr>
      <w:r>
        <w:t>五 来源核对方法</w:t>
      </w:r>
    </w:p>
    <w:p>
      <w:pPr>
        <w:spacing w:line="336" w:lineRule="auto"/>
      </w:pPr>
      <w:r>
        <w:t>本版来源分为A和B两种核对状态：A表示已取得相关页面正文；B表示官方检索文本可核对，但直接访问受限或未返回正文。企业官网内容仍属于企业自述，媒体报道仍保留转述属性。初始文件中未取得原始证据的招聘与待遇线索保留为C级待核实项。完整来源登记与局限说明见资料库sources.md。</w:t>
      </w:r>
    </w:p>
    <w:p>
      <w:pPr>
        <w:pStyle w:val="Heading2"/>
      </w:pPr>
      <w:r>
        <w:t>附录参考来源</w:t>
      </w:r>
    </w:p>
    <w:p>
      <w:pPr>
        <w:keepLines/>
        <w:spacing w:line="276" w:lineRule="auto" w:after="100"/>
        <w:ind w:firstLine="0"/>
      </w:pPr>
      <w:r>
        <w:rPr>
          <w:sz w:val="20"/>
        </w:rPr>
        <w:t xml:space="preserve">[S01] 国际机器人联合会 IFR. World Robotics 2025 industrial robots press release[EB/OL]. 2025-09-25 [2026-09-23]. </w:t>
      </w:r>
      <w:hyperlink r:id="rId14">
        <w:r>
          <w:t>原文链接</w:t>
        </w:r>
      </w:hyperlink>
    </w:p>
    <w:p>
      <w:pPr>
        <w:keepLines/>
        <w:spacing w:line="276" w:lineRule="auto" w:after="100"/>
        <w:ind w:firstLine="0"/>
      </w:pPr>
      <w:r>
        <w:rPr>
          <w:sz w:val="20"/>
        </w:rPr>
        <w:t xml:space="preserve">[S04] 新松机器人. 悬臂轴输送移动机器人[EB/OL]. 发布日期未标注 [2026-09-23]. </w:t>
      </w:r>
      <w:hyperlink r:id="rId15">
        <w:r>
          <w:t>原文链接</w:t>
        </w:r>
      </w:hyperlink>
    </w:p>
    <w:p>
      <w:pPr>
        <w:keepLines/>
        <w:spacing w:line="276" w:lineRule="auto" w:after="100"/>
        <w:ind w:firstLine="0"/>
      </w:pPr>
      <w:r>
        <w:rPr>
          <w:sz w:val="20"/>
        </w:rPr>
        <w:t xml:space="preserve">[S06] RoboMaster. 开发板C型产品与配套例程[EB/OL]. 发布日期未标注 [2026-09-23]. </w:t>
      </w:r>
      <w:hyperlink r:id="rId16">
        <w:r>
          <w:t>原文链接</w:t>
        </w:r>
      </w:hyperlink>
    </w:p>
    <w:p>
      <w:pPr>
        <w:keepLines/>
        <w:spacing w:line="276" w:lineRule="auto" w:after="100"/>
        <w:ind w:firstLine="0"/>
      </w:pPr>
      <w:r>
        <w:rPr>
          <w:sz w:val="20"/>
        </w:rPr>
        <w:t xml:space="preserve">[S08] 大疆 DJI. Careers at DJI[EB/OL]. 发布日期未标注 [2026-09-23]. </w:t>
      </w:r>
      <w:hyperlink r:id="rId17">
        <w:r>
          <w:t>原文链接</w:t>
        </w:r>
      </w:hyperlink>
    </w:p>
    <w:p>
      <w:pPr>
        <w:keepLines/>
        <w:spacing w:line="276" w:lineRule="auto" w:after="100"/>
        <w:ind w:firstLine="0"/>
      </w:pPr>
      <w:r>
        <w:rPr>
          <w:sz w:val="20"/>
        </w:rPr>
        <w:t xml:space="preserve">[S09] 华为数字能源. 全场景构网型储能解决方案发布[EB/OL]. 2025-05-06 [2026-09-23]. </w:t>
      </w:r>
      <w:hyperlink r:id="rId18">
        <w:r>
          <w:t>原文链接</w:t>
        </w:r>
      </w:hyperlink>
    </w:p>
    <w:p>
      <w:pPr>
        <w:keepLines/>
        <w:spacing w:line="276" w:lineRule="auto" w:after="100"/>
        <w:ind w:firstLine="0"/>
      </w:pPr>
      <w:r>
        <w:rPr>
          <w:sz w:val="20"/>
        </w:rPr>
        <w:t xml:space="preserve">[S11] 河北省工业和信息化厅. 关于做好2026年度智能工厂梯度培育工作的通知[EB/OL]. 2026-02-25 [2026-09-23]. </w:t>
      </w:r>
      <w:hyperlink r:id="rId19">
        <w:r>
          <w:t>原文链接</w:t>
        </w:r>
      </w:hyperlink>
    </w:p>
    <w:p>
      <w:pPr>
        <w:keepLines/>
        <w:spacing w:line="276" w:lineRule="auto" w:after="100"/>
        <w:ind w:firstLine="0"/>
      </w:pPr>
      <w:r>
        <w:rPr>
          <w:sz w:val="20"/>
        </w:rPr>
        <w:t xml:space="preserve">[S12] 河北省工业和信息化厅. 2025年省级机器人化技术改造拟支持项目名单公示[EB/OL]. 2025-12-15 [2026-09-23]. </w:t>
      </w:r>
      <w:hyperlink r:id="rId20">
        <w:r>
          <w:t>原文链接</w:t>
        </w:r>
      </w:hyperlink>
    </w:p>
    <w:p>
      <w:pPr>
        <w:keepLines/>
        <w:spacing w:line="276" w:lineRule="auto" w:after="100"/>
        <w:ind w:firstLine="0"/>
      </w:pPr>
      <w:r>
        <w:rPr>
          <w:sz w:val="20"/>
        </w:rPr>
        <w:t xml:space="preserve">[S15] OPC Foundation. OPC Unified Architecture[EB/OL]. 发布日期未标注 [2026-09-23]. </w:t>
      </w:r>
      <w:hyperlink r:id="rId21">
        <w:r>
          <w:t>原文链接</w:t>
        </w:r>
      </w:hyperlink>
    </w:p>
    <w:p>
      <w:pPr>
        <w:keepLines/>
        <w:spacing w:line="276" w:lineRule="auto" w:after="100"/>
        <w:ind w:firstLine="0"/>
      </w:pPr>
      <w:r>
        <w:rPr>
          <w:sz w:val="20"/>
        </w:rPr>
        <w:t xml:space="preserve">[S16] RoboMaster. Development Board C Examples[EB/OL]. 发布日期未标注 [2026-09-23]. </w:t>
      </w:r>
      <w:hyperlink r:id="rId22">
        <w:r>
          <w:t>原文链接</w:t>
        </w:r>
      </w:hyperlink>
    </w:p>
    <w:p>
      <w:pPr>
        <w:keepLines/>
        <w:spacing w:line="276" w:lineRule="auto" w:after="100"/>
        <w:ind w:firstLine="0"/>
      </w:pPr>
      <w:r>
        <w:rPr>
          <w:sz w:val="20"/>
        </w:rPr>
        <w:t xml:space="preserve">[S17] FreeRTOS. FreeRTOS Kernel Book Chapter 5[EB/OL]. 发布日期未标注 [2026-09-23]. </w:t>
      </w:r>
      <w:hyperlink r:id="rId23">
        <w:r>
          <w:t>原文链接</w:t>
        </w:r>
      </w:hyperlink>
    </w:p>
    <w:sectPr w:rsidR="00FC693F" w:rsidRPr="0006063C" w:rsidSect="00034616">
      <w:footerReference w:type="default" r:id="rId13"/>
      <w:pgSz w:w="11906" w:h="16838"/>
      <w:pgMar w:top="1361" w:right="1474" w:bottom="1304" w:left="1474" w:header="72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pPr>
    <w:rPr>
      <w:rFonts w:asciiTheme="majorHAnsi" w:eastAsiaTheme="majorEastAsia" w:hAnsiTheme="majorHAnsi" w:cstheme="majorBidi" w:ascii="Times New Roman" w:hAnsi="Times New Roman" w:eastAsia="黑体"/>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finance.sina.com.cn/jjxw/2026-02-02/doc-inhkkzkc7473740.shtml" TargetMode="External"/><Relationship Id="rId10" Type="http://schemas.openxmlformats.org/officeDocument/2006/relationships/hyperlink" Target="https://www.group.citic/html/2021/media_news_0929/2438.html" TargetMode="External"/><Relationship Id="rId11" Type="http://schemas.openxmlformats.org/officeDocument/2006/relationships/hyperlink" Target="https://www.cppcc.gov.cn/zxww/2026/03/16/ARTI1773644951646391.shtml" TargetMode="External"/><Relationship Id="rId12" Type="http://schemas.openxmlformats.org/officeDocument/2006/relationships/hyperlink" Target="https://www.miit.gov.cn/zwgk/zcwj/wjfb/tz/art/2025/art_57f2e7f7bdfd4bf1bd52e4fbdcd6d69e.html" TargetMode="External"/><Relationship Id="rId13" Type="http://schemas.openxmlformats.org/officeDocument/2006/relationships/footer" Target="footer1.xml"/><Relationship Id="rId14" Type="http://schemas.openxmlformats.org/officeDocument/2006/relationships/hyperlink" Target="https://ifr.org/ifr-press-releases/news/global-robot-demand-in-factories-doubles-over-10-years" TargetMode="External"/><Relationship Id="rId15" Type="http://schemas.openxmlformats.org/officeDocument/2006/relationships/hyperlink" Target="https://www.siasun.com/products/vc.html" TargetMode="External"/><Relationship Id="rId16" Type="http://schemas.openxmlformats.org/officeDocument/2006/relationships/hyperlink" Target="https://www.robomaster.com/zh-CN/products/components/general/development-board-type-c" TargetMode="External"/><Relationship Id="rId17" Type="http://schemas.openxmlformats.org/officeDocument/2006/relationships/hyperlink" Target="https://we.dji.com/index_en.html" TargetMode="External"/><Relationship Id="rId18" Type="http://schemas.openxmlformats.org/officeDocument/2006/relationships/hyperlink" Target="https://digitalpower.huawei.com/cn/news/fusionsolar/intersolar-2025-fusionsolar-strategy-new-product-launch" TargetMode="External"/><Relationship Id="rId19" Type="http://schemas.openxmlformats.org/officeDocument/2006/relationships/hyperlink" Target="https://gxt.hebei.gov.cn/hbgyhxxht/xwzx32/tzgg83/2026022508574592407/index.html" TargetMode="External"/><Relationship Id="rId20" Type="http://schemas.openxmlformats.org/officeDocument/2006/relationships/hyperlink" Target="https://gxt.hebei.gov.cn/hbgyhxxht/zfxxgk/fdzdgknr/gzdt68/tzgg9917/2025121609020163374/index.html" TargetMode="External"/><Relationship Id="rId21" Type="http://schemas.openxmlformats.org/officeDocument/2006/relationships/hyperlink" Target="https://opcfoundation.org/about/opc-technologies/opc-ua/" TargetMode="External"/><Relationship Id="rId22" Type="http://schemas.openxmlformats.org/officeDocument/2006/relationships/hyperlink" Target="https://github.com/RoboMaster/Development-Board-C-Examples" TargetMode="External"/><Relationship Id="rId23" Type="http://schemas.openxmlformats.org/officeDocument/2006/relationships/hyperlink" Target="https://github.com/FreeRTOS/FreeRTOS-Kernel-Book/blob/main/ch05.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自动化专业产业发展与人才培养研究 公开增补版</dc:title>
  <dc:subject>基于典型企业与秦皇岛产业的综合调研</dc:subject>
  <dc:creator/>
  <cp:keywords>自动化专业 智能制造 秦皇岛 工程实践</cp:keywords>
  <dc:description>generated by python-docx</dc:description>
  <cp:lastModifiedBy/>
  <cp:revision>1</cp:revision>
  <dcterms:created xsi:type="dcterms:W3CDTF">2013-12-23T23:15:00Z</dcterms:created>
  <dcterms:modified xsi:type="dcterms:W3CDTF">2013-12-23T23:15:00Z</dcterms:modified>
  <cp:category/>
</cp:coreProperties>
</file>