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1029_原文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普通野生稻人工栽培稻您想象过人类在未掌握栽培种植技术之前的原始生活吗？在原始时代，祖先们都是靠狩猎采集为生的，人们经常是饥一顿饱一顿，他们想到了什么办法来解决呢？在石器时代，祖先们在采集野生稻谷为食的过程中，观察到自然落谷能萌发生长的现象，于是尝试着播种野生的稻谷。在一遍遍重复收获和播种的过程中，人工栽培道慢慢出现。这里是普通野生稻和栽培稻的对比，您可以看出它们很相近。人工栽培稻不但打开了原始农业的大门，还奠定了原始人类定居生活的基础。</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2024-07-09T07:37:34Z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E6636BB100BBAFBB4581D91E6DDB8FE4011CBE3C53DDDD6D3AA6463F44DFE53A3E6B9DEC445DE4D4A81F37383E1F40BD0568F4C3120B28D25E7CDC705108CE08AB3BB35</vt:lpwstr>
  </property>
</Properties>
</file>