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1087_原文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青釉绿彩塔文瓷壶您现在看到的这件青釉绿彩塔文慈悲壶造型取材于北方游牧民族使用的一种可外出携带的轻便酒壶。两侧有细以穿背带，前有多冷短流后有直径胡柳，下部以铁为着色剂，会有一座绿色七级佛塔，塔纹比例匀称，绿彩鲜艳，风格独特。塔身两侧有两棵树木耸立，枝叶点缀，四风吹动，塔径树洞相映成趣，具有强烈的艺术魅力。通常来讲，塔的构造可分四部分，由下而上，分别是地宫、塔基、塔身和塔刹。杯壶上勾绘的这座宝塔，下有方形台基，顶有塔刹。第一层塔身较高，从第二层起，逐层按比例减低和收敛，各层一脚挑起，属于中国楼阁式塔，是研究唐代佛塔的又一重要资料。</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2024-07-09T07:36:53Z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E6636BB100BBAFBB4581D91E6DDB8FB4B10CBE3CE3DDD79D0AA3463F44DFE53A5EDB9DEC4E5DE4D4A81E37D83C1F40B20D69F4C31B0B28225B750C705F08CE0DAD34B35</vt:lpwstr>
  </property>
</Properties>
</file>