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0012_原文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西汉初年郡国分布示意图高祖刘邦在建立西汉王朝以后，吸取秦二世孤立而亡的教训，在沿用秦朝郡县制的同时，又大封功臣子弟为王，推行郡国并行制。最开始，刘邦分封异姓七国及韩、赵楚、淮南、燕、长沙、梁七个异姓诸侯国。吴氏长沙国的疆域北至今湖北南部，南抵金、广东连线，东达今江西鄱阳湖，西与今贵州为邻。到高祖末年，除吴氏长沙国以外，其余异姓王均被解除。同时又分封刘姓诸王，建立了同姓九国齐楚。金代齐、赵、梁、淮阳、淮南、燕利用宗族血缘关系来加强统治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2024-07-09T07:28:08Z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E6636BB100BBAFBB4581D91E6DDB8F5461C8BE3CC3DDD2FDCAA3463F44DFE53A6E2B9DEC4E50E4D4A81E3758CD1F40140261F4C31E0B2822527FFC705908CECDAD35B35</vt:lpwstr>
  </property>
</Properties>
</file>