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0079_原文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帛书春秋事语局部现在您看到的这一页书书记载的是公元前638年，在宋楚两国为争霸进行的红之战中，宋襄公固守传统的仁义道德，结果导致宋军惨败的故事残片选自利息墓中发现的一部古书春秋事语。这本书中记载了公元前713至453年间春秋各国的历史故事，与左传等传世文献中的史实基本相符，有些内容还可以补充其他史书中的不足。通过它，我们可以了解到更多春秋时期未曾得知的史诗，为研究春秋时期的历史提供了新的资料。</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2024-07-09T07:30:15Z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E6636BB100BBAFBB4581D91E6DDB8FF49121BE3C63DDD54D2AA3463F44DFE53A8E8B9DEC4156E4D4A81E37C8E91F40DF0D63F4C31C0B28225B766C705408CE47A538B35</vt:lpwstr>
  </property>
</Properties>
</file>